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Opaleye Management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BOSTON PLACE, 26TH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Sol-Gel Technologies Ltd.</w:t>
              </w:r>
            </w:hyperlink>
            <w:r>
              <w:rPr/>
              <w:t xml:space="preserve"> [ </w:t>
            </w:r>
            <w:r>
              <w:rPr>
                <w:rFonts w:ascii="Times;serif" w:hAnsi="Times;serif"/>
                <w:color w:val="0000FF"/>
                <w:sz w:val="24"/>
                <w:shd w:fill="FFFFFF" w:val="clear"/>
              </w:rPr>
              <w:t>SLGL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2"/>
        <w:gridCol w:w="914"/>
        <w:gridCol w:w="784"/>
        <w:gridCol w:w="607"/>
        <w:gridCol w:w="345"/>
        <w:gridCol w:w="783"/>
        <w:gridCol w:w="438"/>
        <w:gridCol w:w="984"/>
        <w:gridCol w:w="1140"/>
        <w:gridCol w:w="983"/>
        <w:gridCol w:w="107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1.00 per share</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775</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73.8873</w:t>
            </w:r>
            <w:r>
              <w:rPr>
                <w:rFonts w:ascii="Times;serif" w:hAnsi="Times;serif"/>
                <w:color w:val="008000"/>
                <w:position w:val="7"/>
                <w:sz w:val="16"/>
                <w:sz w:val="20"/>
                <w:shd w:fill="FFFFFF" w:val="clear"/>
              </w:rPr>
              <w:t>(3)</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493,016</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Opaleye, L.P.</w:t>
            </w:r>
            <w:r>
              <w:rPr>
                <w:rFonts w:ascii="Times;serif" w:hAnsi="Times;serif"/>
                <w:color w:val="008000"/>
                <w:position w:val="7"/>
                <w:sz w:val="16"/>
                <w:sz w:val="20"/>
                <w:shd w:fill="FFFFFF" w:val="clear"/>
              </w:rPr>
              <w:t>(1)(5)</w:t>
            </w:r>
            <w:r>
              <w:rPr/>
              <w:t xml:space="preserve"> </w:t>
            </w:r>
          </w:p>
        </w:tc>
      </w:tr>
      <w:tr>
        <w:trPr/>
        <w:tc>
          <w:tcPr>
            <w:tcW w:w="21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1.00 per share</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73.4304</w:t>
            </w:r>
            <w:r>
              <w:rPr>
                <w:rFonts w:ascii="Times;serif" w:hAnsi="Times;serif"/>
                <w:color w:val="008000"/>
                <w:position w:val="7"/>
                <w:sz w:val="16"/>
                <w:sz w:val="20"/>
                <w:shd w:fill="FFFFFF" w:val="clear"/>
              </w:rPr>
              <w:t>(4)</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493,936</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Opaleye, L.P.</w:t>
            </w:r>
            <w:r>
              <w:rPr>
                <w:rFonts w:ascii="Times;serif" w:hAnsi="Times;serif"/>
                <w:color w:val="008000"/>
                <w:position w:val="7"/>
                <w:sz w:val="16"/>
                <w:sz w:val="20"/>
                <w:shd w:fill="FFFFFF" w:val="clear"/>
              </w:rPr>
              <w:t>(1)(5)</w:t>
            </w:r>
            <w:r>
              <w:rPr/>
              <w:t xml:space="preserve"> </w:t>
            </w:r>
          </w:p>
        </w:tc>
      </w:tr>
      <w:tr>
        <w:trPr/>
        <w:tc>
          <w:tcPr>
            <w:tcW w:w="21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1.00 per share</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Managed Account</w:t>
            </w:r>
            <w:r>
              <w:rPr>
                <w:rFonts w:ascii="Times;serif" w:hAnsi="Times;serif"/>
                <w:color w:val="008000"/>
                <w:position w:val="7"/>
                <w:sz w:val="16"/>
                <w:sz w:val="20"/>
                <w:shd w:fill="FFFFFF" w:val="clear"/>
              </w:rPr>
              <w:t>(2)(5)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securities owned directly by Opaleye, L.P. (the "Fund"). As the investment manager of the Fund, Opaleye Management, Inc.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Securities owned by a separately managed account (the "Managed Account"). As the portfolio manager of the Managed Account, Opaleye Management, Inc. may be deemed to beneficially own the securities owned directly by the Managed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purchased in multiple transactions at prices ranging from $73.75-$73.95 inclusive. The reporting person undertakes to provide, upon request by the SEC staff, the issuer, or a security holder of the issuer, full information regarding the number of shares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purchased in multiple transactions at prices ranging from $73.34-$73.50 inclusive. The reporting person undertakes to provide, upon request by the SEC staff, the issuer, or a security holder of the issuer, full information regarding the number of shares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Opaleye Management, Inc., By: /s/ James Silverman,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5855" TargetMode="External"/><Relationship Id="rId5" Type="http://schemas.openxmlformats.org/officeDocument/2006/relationships/hyperlink" Target="http://www.sec.gov/cgi-bin/browse-edgar?action=getcompany&amp;CIK=00016846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859</Words>
  <Characters>4637</Characters>
  <CharactersWithSpaces>5423</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