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Opaleye Management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BOSTON PLACE, 26TH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Sol-Gel Technologies Ltd.</w:t>
              </w:r>
            </w:hyperlink>
            <w:r>
              <w:rPr/>
              <w:t xml:space="preserve"> [ </w:t>
            </w:r>
            <w:r>
              <w:rPr>
                <w:rFonts w:ascii="Times;serif" w:hAnsi="Times;serif"/>
                <w:color w:val="0000FF"/>
                <w:sz w:val="24"/>
                <w:shd w:fill="FFFFFF" w:val="clear"/>
              </w:rPr>
              <w:t>SLGL</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82"/>
        <w:gridCol w:w="900"/>
        <w:gridCol w:w="771"/>
        <w:gridCol w:w="598"/>
        <w:gridCol w:w="345"/>
        <w:gridCol w:w="835"/>
        <w:gridCol w:w="447"/>
        <w:gridCol w:w="835"/>
        <w:gridCol w:w="1149"/>
        <w:gridCol w:w="987"/>
        <w:gridCol w:w="10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1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1,631</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66.795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538,507</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(1)(3)</w:t>
            </w:r>
          </w:p>
        </w:tc>
      </w:tr>
      <w:tr>
        <w:trPr/>
        <w:tc>
          <w:tcPr>
            <w:tcW w:w="228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1,493</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65.945</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540,000</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Opaleye, L.P.</w:t>
            </w:r>
            <w:r>
              <w:rPr>
                <w:rFonts w:ascii="Times;serif" w:hAnsi="Times;serif"/>
                <w:color w:val="008000"/>
                <w:position w:val="7"/>
                <w:sz w:val="16"/>
                <w:sz w:val="20"/>
                <w:shd w:fill="FFFFFF" w:val="clear"/>
              </w:rPr>
              <w:t>(1)(3)</w:t>
            </w:r>
          </w:p>
        </w:tc>
      </w:tr>
      <w:tr>
        <w:trPr/>
        <w:tc>
          <w:tcPr>
            <w:tcW w:w="22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 par value NIS 1.00 per share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Managed Account</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securities owned directly by Opaleye, L.P. (the "Fund"). As the investment manager of the Fund, Opaleye Management, Inc.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owned by a separately managed account (the "Managed Account"). As the portfolio manager of the Managed Account, Opaleye Management, Inc. may be deemed to beneficially own the securities owned directly by the Managed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Opaleye Management, Inc. disclaims beneficial ownership of the shares reported herein except to the extent of its pecuniary interest therein, and the filing of this Form 4 shall not be construed as an admission that Opaleye Management, Inc. is the beneficial owner of any such shares for purposes of Section 16(a) of the Securities Exchange Act of 1934, as amended,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Opaleye Management, Inc., By: /s/ James Silverman, President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95855" TargetMode="External"/><Relationship Id="rId5" Type="http://schemas.openxmlformats.org/officeDocument/2006/relationships/hyperlink" Target="http://www.sec.gov/cgi-bin/browse-edgar?action=getcompany&amp;CIK=000168469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740</Words>
  <Characters>4003</Characters>
  <CharactersWithSpaces>4661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