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79"/>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27" w:lineRule="exact"/>
        <w:rPr>
          <w:sz w:val="24"/>
          <w:szCs w:val="24"/>
          <w:color w:val="auto"/>
        </w:rPr>
      </w:pPr>
    </w:p>
    <w:p>
      <w:pPr>
        <w:jc w:val="center"/>
        <w:ind w:right="-379"/>
        <w:spacing w:after="0"/>
        <w:rPr>
          <w:sz w:val="20"/>
          <w:szCs w:val="20"/>
          <w:color w:val="auto"/>
        </w:rPr>
      </w:pPr>
      <w:r>
        <w:rPr>
          <w:rFonts w:ascii="Arial" w:cs="Arial" w:eastAsia="Arial" w:hAnsi="Arial"/>
          <w:sz w:val="25"/>
          <w:szCs w:val="25"/>
          <w:b w:val="1"/>
          <w:bCs w:val="1"/>
          <w:color w:val="auto"/>
        </w:rPr>
        <w:t>SECURITIES AND EXCHANGE COMMISSION</w:t>
      </w:r>
    </w:p>
    <w:p>
      <w:pPr>
        <w:spacing w:after="0" w:line="35" w:lineRule="exact"/>
        <w:rPr>
          <w:sz w:val="24"/>
          <w:szCs w:val="24"/>
          <w:color w:val="auto"/>
        </w:rPr>
      </w:pPr>
    </w:p>
    <w:p>
      <w:pPr>
        <w:jc w:val="center"/>
        <w:ind w:right="-379"/>
        <w:spacing w:after="0"/>
        <w:rPr>
          <w:sz w:val="20"/>
          <w:szCs w:val="20"/>
          <w:color w:val="auto"/>
        </w:rPr>
      </w:pPr>
      <w:r>
        <w:rPr>
          <w:rFonts w:ascii="Arial" w:cs="Arial" w:eastAsia="Arial" w:hAnsi="Arial"/>
          <w:sz w:val="22"/>
          <w:szCs w:val="22"/>
          <w:b w:val="1"/>
          <w:bCs w:val="1"/>
          <w:color w:val="auto"/>
        </w:rPr>
        <w:t>Washington, D.C. 20549</w:t>
      </w:r>
    </w:p>
    <w:p>
      <w:pPr>
        <w:spacing w:after="0" w:line="269" w:lineRule="exact"/>
        <w:rPr>
          <w:sz w:val="24"/>
          <w:szCs w:val="24"/>
          <w:color w:val="auto"/>
        </w:rPr>
      </w:pPr>
    </w:p>
    <w:p>
      <w:pPr>
        <w:jc w:val="center"/>
        <w:ind w:right="-379"/>
        <w:spacing w:after="0"/>
        <w:rPr>
          <w:sz w:val="20"/>
          <w:szCs w:val="20"/>
          <w:color w:val="auto"/>
        </w:rPr>
      </w:pPr>
      <w:r>
        <w:rPr>
          <w:rFonts w:ascii="Arial" w:cs="Arial" w:eastAsia="Arial" w:hAnsi="Arial"/>
          <w:sz w:val="25"/>
          <w:szCs w:val="25"/>
          <w:b w:val="1"/>
          <w:bCs w:val="1"/>
          <w:color w:val="auto"/>
        </w:rPr>
        <w:t>FORM 6-K</w:t>
      </w:r>
    </w:p>
    <w:p>
      <w:pPr>
        <w:spacing w:after="0" w:line="289" w:lineRule="exact"/>
        <w:rPr>
          <w:sz w:val="24"/>
          <w:szCs w:val="24"/>
          <w:color w:val="auto"/>
        </w:rPr>
      </w:pPr>
    </w:p>
    <w:p>
      <w:pPr>
        <w:jc w:val="center"/>
        <w:ind w:right="-379"/>
        <w:spacing w:after="0"/>
        <w:rPr>
          <w:sz w:val="20"/>
          <w:szCs w:val="20"/>
          <w:color w:val="auto"/>
        </w:rPr>
      </w:pPr>
      <w:r>
        <w:rPr>
          <w:rFonts w:ascii="Arial" w:cs="Arial" w:eastAsia="Arial" w:hAnsi="Arial"/>
          <w:sz w:val="22"/>
          <w:szCs w:val="22"/>
          <w:b w:val="1"/>
          <w:bCs w:val="1"/>
          <w:color w:val="auto"/>
        </w:rPr>
        <w:t>Report of Foreign Private Issuer</w:t>
      </w:r>
    </w:p>
    <w:p>
      <w:pPr>
        <w:spacing w:after="0" w:line="27" w:lineRule="exact"/>
        <w:rPr>
          <w:sz w:val="24"/>
          <w:szCs w:val="24"/>
          <w:color w:val="auto"/>
        </w:rPr>
      </w:pPr>
    </w:p>
    <w:p>
      <w:pPr>
        <w:jc w:val="center"/>
        <w:ind w:right="-379"/>
        <w:spacing w:after="0"/>
        <w:rPr>
          <w:sz w:val="20"/>
          <w:szCs w:val="20"/>
          <w:color w:val="auto"/>
        </w:rPr>
      </w:pPr>
      <w:r>
        <w:rPr>
          <w:rFonts w:ascii="Arial" w:cs="Arial" w:eastAsia="Arial" w:hAnsi="Arial"/>
          <w:sz w:val="22"/>
          <w:szCs w:val="22"/>
          <w:b w:val="1"/>
          <w:bCs w:val="1"/>
          <w:color w:val="auto"/>
        </w:rPr>
        <w:t>Pursuant to Rule 13a-16 or 15d-16</w:t>
      </w:r>
    </w:p>
    <w:p>
      <w:pPr>
        <w:spacing w:after="0" w:line="17" w:lineRule="exact"/>
        <w:rPr>
          <w:sz w:val="24"/>
          <w:szCs w:val="24"/>
          <w:color w:val="auto"/>
        </w:rPr>
      </w:pPr>
    </w:p>
    <w:p>
      <w:pPr>
        <w:jc w:val="center"/>
        <w:ind w:right="-37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72" w:lineRule="exact"/>
        <w:rPr>
          <w:sz w:val="24"/>
          <w:szCs w:val="24"/>
          <w:color w:val="auto"/>
        </w:rPr>
      </w:pPr>
    </w:p>
    <w:p>
      <w:pPr>
        <w:jc w:val="center"/>
        <w:ind w:right="-379"/>
        <w:spacing w:after="0"/>
        <w:rPr>
          <w:sz w:val="20"/>
          <w:szCs w:val="20"/>
          <w:color w:val="auto"/>
        </w:rPr>
      </w:pPr>
      <w:r>
        <w:rPr>
          <w:rFonts w:ascii="Arial" w:cs="Arial" w:eastAsia="Arial" w:hAnsi="Arial"/>
          <w:sz w:val="29"/>
          <w:szCs w:val="29"/>
          <w:b w:val="1"/>
          <w:bCs w:val="1"/>
          <w:color w:val="auto"/>
        </w:rPr>
        <w:t>SOL-GEL TECHNOLOGIES LTD.</w:t>
      </w:r>
    </w:p>
    <w:p>
      <w:pPr>
        <w:spacing w:after="0" w:line="41" w:lineRule="exact"/>
        <w:rPr>
          <w:sz w:val="24"/>
          <w:szCs w:val="24"/>
          <w:color w:val="auto"/>
        </w:rPr>
      </w:pPr>
    </w:p>
    <w:p>
      <w:pPr>
        <w:jc w:val="center"/>
        <w:ind w:right="-379"/>
        <w:spacing w:after="0"/>
        <w:rPr>
          <w:sz w:val="20"/>
          <w:szCs w:val="20"/>
          <w:color w:val="auto"/>
        </w:rPr>
      </w:pPr>
      <w:r>
        <w:rPr>
          <w:rFonts w:ascii="Arial" w:cs="Arial" w:eastAsia="Arial" w:hAnsi="Arial"/>
          <w:sz w:val="22"/>
          <w:szCs w:val="22"/>
          <w:color w:val="auto"/>
        </w:rPr>
        <w:t>(Translation of registrant’s name into English)</w:t>
      </w:r>
    </w:p>
    <w:p>
      <w:pPr>
        <w:spacing w:after="0" w:line="268" w:lineRule="exact"/>
        <w:rPr>
          <w:sz w:val="24"/>
          <w:szCs w:val="24"/>
          <w:color w:val="auto"/>
        </w:rPr>
      </w:pPr>
    </w:p>
    <w:p>
      <w:pPr>
        <w:jc w:val="center"/>
        <w:ind w:right="-379"/>
        <w:spacing w:after="0"/>
        <w:rPr>
          <w:sz w:val="20"/>
          <w:szCs w:val="20"/>
          <w:color w:val="auto"/>
        </w:rPr>
      </w:pPr>
      <w:r>
        <w:rPr>
          <w:rFonts w:ascii="Arial" w:cs="Arial" w:eastAsia="Arial" w:hAnsi="Arial"/>
          <w:sz w:val="22"/>
          <w:szCs w:val="22"/>
          <w:b w:val="1"/>
          <w:bCs w:val="1"/>
          <w:color w:val="auto"/>
        </w:rPr>
        <w:t>For the month of March 2021</w:t>
      </w:r>
    </w:p>
    <w:p>
      <w:pPr>
        <w:spacing w:after="0" w:line="287" w:lineRule="exact"/>
        <w:rPr>
          <w:sz w:val="24"/>
          <w:szCs w:val="24"/>
          <w:color w:val="auto"/>
        </w:rPr>
      </w:pPr>
    </w:p>
    <w:p>
      <w:pPr>
        <w:jc w:val="center"/>
        <w:ind w:right="-379"/>
        <w:spacing w:after="0"/>
        <w:rPr>
          <w:sz w:val="20"/>
          <w:szCs w:val="20"/>
          <w:color w:val="auto"/>
        </w:rPr>
      </w:pPr>
      <w:r>
        <w:rPr>
          <w:rFonts w:ascii="Arial" w:cs="Arial" w:eastAsia="Arial" w:hAnsi="Arial"/>
          <w:sz w:val="22"/>
          <w:szCs w:val="22"/>
          <w:b w:val="1"/>
          <w:bCs w:val="1"/>
          <w:color w:val="auto"/>
        </w:rPr>
        <w:t>7 Golda Meir Street</w:t>
      </w:r>
    </w:p>
    <w:p>
      <w:pPr>
        <w:spacing w:after="0" w:line="27" w:lineRule="exact"/>
        <w:rPr>
          <w:sz w:val="24"/>
          <w:szCs w:val="24"/>
          <w:color w:val="auto"/>
        </w:rPr>
      </w:pPr>
    </w:p>
    <w:p>
      <w:pPr>
        <w:jc w:val="center"/>
        <w:ind w:right="-379"/>
        <w:spacing w:after="0"/>
        <w:rPr>
          <w:sz w:val="20"/>
          <w:szCs w:val="20"/>
          <w:color w:val="auto"/>
        </w:rPr>
      </w:pPr>
      <w:r>
        <w:rPr>
          <w:rFonts w:ascii="Arial" w:cs="Arial" w:eastAsia="Arial" w:hAnsi="Arial"/>
          <w:sz w:val="22"/>
          <w:szCs w:val="22"/>
          <w:b w:val="1"/>
          <w:bCs w:val="1"/>
          <w:color w:val="auto"/>
        </w:rPr>
        <w:t>Ness Ziona 7403650, Israel</w:t>
      </w:r>
    </w:p>
    <w:p>
      <w:pPr>
        <w:spacing w:after="0" w:line="17" w:lineRule="exact"/>
        <w:rPr>
          <w:sz w:val="24"/>
          <w:szCs w:val="24"/>
          <w:color w:val="auto"/>
        </w:rPr>
      </w:pPr>
    </w:p>
    <w:p>
      <w:pPr>
        <w:jc w:val="center"/>
        <w:ind w:right="-379"/>
        <w:spacing w:after="0"/>
        <w:rPr>
          <w:sz w:val="20"/>
          <w:szCs w:val="20"/>
          <w:color w:val="auto"/>
        </w:rPr>
      </w:pPr>
      <w:r>
        <w:rPr>
          <w:rFonts w:ascii="Arial" w:cs="Arial" w:eastAsia="Arial" w:hAnsi="Arial"/>
          <w:sz w:val="22"/>
          <w:szCs w:val="22"/>
          <w:color w:val="auto"/>
        </w:rPr>
        <w:t>(Address of principal executive offices)</w:t>
      </w:r>
    </w:p>
    <w:p>
      <w:pPr>
        <w:spacing w:after="0" w:line="283" w:lineRule="exact"/>
        <w:rPr>
          <w:sz w:val="24"/>
          <w:szCs w:val="24"/>
          <w:color w:val="auto"/>
        </w:rPr>
      </w:pPr>
    </w:p>
    <w:p>
      <w:pPr>
        <w:jc w:val="center"/>
        <w:ind w:right="20"/>
        <w:spacing w:after="0"/>
        <w:rPr>
          <w:sz w:val="20"/>
          <w:szCs w:val="20"/>
          <w:color w:val="auto"/>
        </w:rPr>
      </w:pPr>
      <w:r>
        <w:rPr>
          <w:rFonts w:ascii="Arial" w:cs="Arial" w:eastAsia="Arial" w:hAnsi="Arial"/>
          <w:sz w:val="21"/>
          <w:szCs w:val="21"/>
          <w:color w:val="auto"/>
        </w:rPr>
        <w:t>Indicate by check mark whether the registrant files or will file annual reports under cover Form 20-F or Form 40-F.</w:t>
      </w:r>
    </w:p>
    <w:p>
      <w:pPr>
        <w:spacing w:after="0" w:line="259" w:lineRule="exact"/>
        <w:rPr>
          <w:sz w:val="24"/>
          <w:szCs w:val="24"/>
          <w:color w:val="auto"/>
        </w:rPr>
      </w:pPr>
    </w:p>
    <w:p>
      <w:pPr>
        <w:jc w:val="center"/>
        <w:ind w:right="-399"/>
        <w:spacing w:after="0" w:line="253" w:lineRule="exact"/>
        <w:tabs>
          <w:tab w:leader="none" w:pos="560" w:val="left"/>
        </w:tabs>
        <w:rPr>
          <w:sz w:val="20"/>
          <w:szCs w:val="20"/>
          <w:color w:val="auto"/>
        </w:rPr>
      </w:pPr>
      <w:r>
        <w:rPr>
          <w:rFonts w:ascii="Arial" w:cs="Arial" w:eastAsia="Arial" w:hAnsi="Arial"/>
          <w:sz w:val="22"/>
          <w:szCs w:val="22"/>
          <w:color w:val="auto"/>
        </w:rPr>
        <w:t xml:space="preserve">Form 20-F </w:t>
      </w:r>
      <w:r>
        <w:rPr>
          <w:rFonts w:ascii="MS PGothic" w:cs="MS PGothic" w:eastAsia="MS PGothic" w:hAnsi="MS PGothic"/>
          <w:sz w:val="22"/>
          <w:szCs w:val="22"/>
          <w:color w:val="auto"/>
        </w:rPr>
        <w:t>☒</w:t>
      </w:r>
      <w:r>
        <w:rPr>
          <w:sz w:val="20"/>
          <w:szCs w:val="20"/>
          <w:color w:val="auto"/>
        </w:rPr>
        <w:tab/>
      </w:r>
      <w:r>
        <w:rPr>
          <w:rFonts w:ascii="Arial" w:cs="Arial" w:eastAsia="Arial" w:hAnsi="Arial"/>
          <w:sz w:val="19"/>
          <w:szCs w:val="19"/>
          <w:color w:val="auto"/>
        </w:rPr>
        <w:t xml:space="preserve">Form 40-F </w:t>
      </w:r>
      <w:r>
        <w:rPr>
          <w:rFonts w:ascii="MS PGothic" w:cs="MS PGothic" w:eastAsia="MS PGothic" w:hAnsi="MS PGothic"/>
          <w:sz w:val="19"/>
          <w:szCs w:val="19"/>
          <w:color w:val="auto"/>
        </w:rPr>
        <w:t>☐</w:t>
      </w:r>
    </w:p>
    <w:p>
      <w:pPr>
        <w:spacing w:after="0" w:line="327" w:lineRule="exact"/>
        <w:rPr>
          <w:sz w:val="24"/>
          <w:szCs w:val="24"/>
          <w:color w:val="auto"/>
        </w:rPr>
      </w:pPr>
    </w:p>
    <w:p>
      <w:pPr>
        <w:ind w:left="440"/>
        <w:spacing w:after="0"/>
        <w:rPr>
          <w:sz w:val="20"/>
          <w:szCs w:val="20"/>
          <w:color w:val="auto"/>
        </w:rPr>
      </w:pPr>
      <w:r>
        <w:rPr>
          <w:rFonts w:ascii="Arial" w:cs="Arial" w:eastAsia="Arial" w:hAnsi="Arial"/>
          <w:sz w:val="19"/>
          <w:szCs w:val="19"/>
          <w:color w:val="auto"/>
        </w:rPr>
        <w:t>Indicate by check mark if the registrant is submitting the Form 6-K in paper as permitted by Regulation S-T Rule 101(b)</w:t>
      </w:r>
    </w:p>
    <w:p>
      <w:pPr>
        <w:spacing w:after="0" w:line="56" w:lineRule="exact"/>
        <w:rPr>
          <w:sz w:val="24"/>
          <w:szCs w:val="24"/>
          <w:color w:val="auto"/>
        </w:rPr>
      </w:pPr>
    </w:p>
    <w:p>
      <w:pPr>
        <w:spacing w:after="0" w:line="253" w:lineRule="exact"/>
        <w:rPr>
          <w:sz w:val="20"/>
          <w:szCs w:val="20"/>
          <w:color w:val="auto"/>
        </w:rPr>
      </w:pPr>
      <w:r>
        <w:rPr>
          <w:rFonts w:ascii="Arial" w:cs="Arial" w:eastAsia="Arial" w:hAnsi="Arial"/>
          <w:sz w:val="22"/>
          <w:szCs w:val="22"/>
          <w:color w:val="auto"/>
        </w:rPr>
        <w:t xml:space="preserve">(1): </w:t>
      </w:r>
      <w:r>
        <w:rPr>
          <w:rFonts w:ascii="MS PGothic" w:cs="MS PGothic" w:eastAsia="MS PGothic" w:hAnsi="MS PGothic"/>
          <w:sz w:val="22"/>
          <w:szCs w:val="22"/>
          <w:color w:val="auto"/>
        </w:rPr>
        <w:t>☐</w:t>
      </w:r>
    </w:p>
    <w:p>
      <w:pPr>
        <w:spacing w:after="0" w:line="283" w:lineRule="exact"/>
        <w:rPr>
          <w:sz w:val="24"/>
          <w:szCs w:val="24"/>
          <w:color w:val="auto"/>
        </w:rPr>
      </w:pPr>
    </w:p>
    <w:p>
      <w:pPr>
        <w:ind w:left="440"/>
        <w:spacing w:after="0"/>
        <w:rPr>
          <w:sz w:val="20"/>
          <w:szCs w:val="20"/>
          <w:color w:val="auto"/>
        </w:rPr>
      </w:pPr>
      <w:r>
        <w:rPr>
          <w:rFonts w:ascii="Arial" w:cs="Arial" w:eastAsia="Arial" w:hAnsi="Arial"/>
          <w:sz w:val="19"/>
          <w:szCs w:val="19"/>
          <w:color w:val="auto"/>
        </w:rPr>
        <w:t>Indicate by check mark if the registrant is submitting the Form 6-K in paper as permitted by Regulation S-T Rule 101(b)</w:t>
      </w:r>
    </w:p>
    <w:p>
      <w:pPr>
        <w:spacing w:after="0" w:line="56" w:lineRule="exact"/>
        <w:rPr>
          <w:sz w:val="24"/>
          <w:szCs w:val="24"/>
          <w:color w:val="auto"/>
        </w:rPr>
      </w:pPr>
    </w:p>
    <w:p>
      <w:pPr>
        <w:spacing w:after="0" w:line="253" w:lineRule="exact"/>
        <w:rPr>
          <w:sz w:val="20"/>
          <w:szCs w:val="20"/>
          <w:color w:val="auto"/>
        </w:rPr>
      </w:pPr>
      <w:r>
        <w:rPr>
          <w:rFonts w:ascii="Arial" w:cs="Arial" w:eastAsia="Arial" w:hAnsi="Arial"/>
          <w:sz w:val="22"/>
          <w:szCs w:val="22"/>
          <w:color w:val="auto"/>
        </w:rPr>
        <w:t xml:space="preserve">(7): </w:t>
      </w:r>
      <w:r>
        <w:rPr>
          <w:rFonts w:ascii="MS PGothic" w:cs="MS PGothic" w:eastAsia="MS PGothic" w:hAnsi="MS PGothic"/>
          <w:sz w:val="22"/>
          <w:szCs w:val="22"/>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295910</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860"/>
          </w:cols>
          <w:pgMar w:left="320" w:top="814" w:right="719" w:bottom="1440" w:gutter="0" w:footer="0" w:header="0"/>
        </w:sectPr>
      </w:pPr>
    </w:p>
    <w:bookmarkStart w:id="1" w:name="page2"/>
    <w:bookmarkEnd w:id="1"/>
    <w:p>
      <w:pPr>
        <w:jc w:val="center"/>
        <w:spacing w:after="0"/>
        <w:rPr>
          <w:sz w:val="20"/>
          <w:szCs w:val="20"/>
          <w:color w:val="auto"/>
        </w:rPr>
      </w:pPr>
      <w:r>
        <w:rPr>
          <w:rFonts w:ascii="Arial" w:cs="Arial" w:eastAsia="Arial" w:hAnsi="Arial"/>
          <w:sz w:val="22"/>
          <w:szCs w:val="22"/>
          <w:b w:val="1"/>
          <w:bCs w:val="1"/>
          <w:color w:val="auto"/>
        </w:rPr>
        <w:t>INFORMATION CONTAINED IN THIS REPORT ON FORM 6-K</w:t>
      </w:r>
    </w:p>
    <w:p>
      <w:pPr>
        <w:spacing w:after="0" w:line="293" w:lineRule="exact"/>
        <w:rPr>
          <w:sz w:val="20"/>
          <w:szCs w:val="20"/>
          <w:color w:val="auto"/>
        </w:rPr>
      </w:pPr>
    </w:p>
    <w:p>
      <w:pPr>
        <w:ind w:right="200"/>
        <w:spacing w:after="0" w:line="276" w:lineRule="auto"/>
        <w:rPr>
          <w:sz w:val="20"/>
          <w:szCs w:val="20"/>
          <w:color w:val="auto"/>
        </w:rPr>
      </w:pPr>
      <w:r>
        <w:rPr>
          <w:rFonts w:ascii="Arial" w:cs="Arial" w:eastAsia="Arial" w:hAnsi="Arial"/>
          <w:sz w:val="22"/>
          <w:szCs w:val="22"/>
          <w:color w:val="auto"/>
        </w:rPr>
        <w:t>At a Special Meeting of Shareholders of Sol-Gel Technologies Ltd. (the "</w:t>
      </w:r>
      <w:r>
        <w:rPr>
          <w:rFonts w:ascii="Arial" w:cs="Arial" w:eastAsia="Arial" w:hAnsi="Arial"/>
          <w:sz w:val="22"/>
          <w:szCs w:val="22"/>
          <w:u w:val="single" w:color="auto"/>
          <w:color w:val="auto"/>
        </w:rPr>
        <w:t>Company</w:t>
      </w:r>
      <w:r>
        <w:rPr>
          <w:rFonts w:ascii="Arial" w:cs="Arial" w:eastAsia="Arial" w:hAnsi="Arial"/>
          <w:sz w:val="22"/>
          <w:szCs w:val="22"/>
          <w:color w:val="auto"/>
        </w:rPr>
        <w:t>") held today, the following resolutions were approved by the shareholders:</w:t>
      </w:r>
    </w:p>
    <w:p>
      <w:pPr>
        <w:spacing w:after="0" w:line="222" w:lineRule="exact"/>
        <w:rPr>
          <w:sz w:val="20"/>
          <w:szCs w:val="20"/>
          <w:color w:val="auto"/>
        </w:rPr>
      </w:pPr>
    </w:p>
    <w:p>
      <w:pPr>
        <w:ind w:left="320" w:hanging="312"/>
        <w:spacing w:after="0" w:line="277" w:lineRule="auto"/>
        <w:tabs>
          <w:tab w:leader="none" w:pos="320" w:val="left"/>
        </w:tabs>
        <w:numPr>
          <w:ilvl w:val="0"/>
          <w:numId w:val="1"/>
        </w:numPr>
        <w:rPr>
          <w:rFonts w:ascii="Arial" w:cs="Arial" w:eastAsia="Arial" w:hAnsi="Arial"/>
          <w:sz w:val="18"/>
          <w:szCs w:val="18"/>
          <w:color w:val="auto"/>
        </w:rPr>
      </w:pPr>
      <w:r>
        <w:rPr>
          <w:rFonts w:ascii="Arial" w:cs="Arial" w:eastAsia="Arial" w:hAnsi="Arial"/>
          <w:sz w:val="18"/>
          <w:szCs w:val="18"/>
          <w:color w:val="auto"/>
        </w:rPr>
        <w:t>To approve the re-election of each of Mr. Ran Gottfried and Mr. Jerrold S. Gattegno as an external director of the Company, each for a three-year term, subject to, and in accordance with, the provisions of the Israeli Companies Law, 5759-1999, or the Companies Law;</w:t>
      </w:r>
    </w:p>
    <w:p>
      <w:pPr>
        <w:spacing w:after="0" w:line="224" w:lineRule="exact"/>
        <w:rPr>
          <w:rFonts w:ascii="Arial" w:cs="Arial" w:eastAsia="Arial" w:hAnsi="Arial"/>
          <w:sz w:val="18"/>
          <w:szCs w:val="18"/>
          <w:color w:val="auto"/>
        </w:rPr>
      </w:pPr>
    </w:p>
    <w:p>
      <w:pPr>
        <w:ind w:left="320" w:hanging="312"/>
        <w:spacing w:after="0" w:line="277" w:lineRule="auto"/>
        <w:tabs>
          <w:tab w:leader="none" w:pos="320" w:val="left"/>
        </w:tabs>
        <w:numPr>
          <w:ilvl w:val="0"/>
          <w:numId w:val="1"/>
        </w:numPr>
        <w:rPr>
          <w:rFonts w:ascii="Arial" w:cs="Arial" w:eastAsia="Arial" w:hAnsi="Arial"/>
          <w:sz w:val="18"/>
          <w:szCs w:val="18"/>
          <w:color w:val="auto"/>
        </w:rPr>
      </w:pPr>
      <w:r>
        <w:rPr>
          <w:rFonts w:ascii="Arial" w:cs="Arial" w:eastAsia="Arial" w:hAnsi="Arial"/>
          <w:sz w:val="18"/>
          <w:szCs w:val="18"/>
          <w:color w:val="auto"/>
        </w:rPr>
        <w:t>To approve the grant of options to purchase ordinary shares of the Company to each of our external directors and other independent directors in accordance with the requirements of the Companies Law; and</w:t>
      </w:r>
    </w:p>
    <w:p>
      <w:pPr>
        <w:spacing w:after="0" w:line="224" w:lineRule="exact"/>
        <w:rPr>
          <w:rFonts w:ascii="Arial" w:cs="Arial" w:eastAsia="Arial" w:hAnsi="Arial"/>
          <w:sz w:val="18"/>
          <w:szCs w:val="18"/>
          <w:color w:val="auto"/>
        </w:rPr>
      </w:pPr>
    </w:p>
    <w:p>
      <w:pPr>
        <w:ind w:left="340" w:hanging="332"/>
        <w:spacing w:after="0"/>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To approve an amendment to the Compensation Policy of the Company.</w:t>
      </w:r>
    </w:p>
    <w:p>
      <w:pPr>
        <w:spacing w:after="0" w:line="285" w:lineRule="exact"/>
        <w:rPr>
          <w:sz w:val="20"/>
          <w:szCs w:val="20"/>
          <w:color w:val="auto"/>
        </w:rPr>
      </w:pPr>
    </w:p>
    <w:p>
      <w:pPr>
        <w:spacing w:after="0" w:line="276" w:lineRule="auto"/>
        <w:rPr>
          <w:sz w:val="20"/>
          <w:szCs w:val="20"/>
          <w:color w:val="auto"/>
        </w:rPr>
      </w:pPr>
      <w:r>
        <w:rPr>
          <w:rFonts w:ascii="Arial" w:cs="Arial" w:eastAsia="Arial" w:hAnsi="Arial"/>
          <w:sz w:val="22"/>
          <w:szCs w:val="22"/>
          <w:color w:val="auto"/>
        </w:rPr>
        <w:t>This Report on Form 6-K is hereby incorporated by reference into the Company's Registration Statement on Form S-8 (Registration No. 333-223915) and its Registration Statement on Form F-3 (Registration No. 333-230564).</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sectPr>
      </w:pPr>
    </w:p>
    <w:bookmarkStart w:id="2" w:name="page3"/>
    <w:bookmarkEnd w:id="2"/>
    <w:p>
      <w:pPr>
        <w:jc w:val="center"/>
        <w:ind w:right="-99"/>
        <w:spacing w:after="0"/>
        <w:rPr>
          <w:sz w:val="20"/>
          <w:szCs w:val="20"/>
          <w:color w:val="auto"/>
        </w:rPr>
      </w:pPr>
      <w:r>
        <w:rPr>
          <w:rFonts w:ascii="Arial" w:cs="Arial" w:eastAsia="Arial" w:hAnsi="Arial"/>
          <w:sz w:val="22"/>
          <w:szCs w:val="22"/>
          <w:b w:val="1"/>
          <w:bCs w:val="1"/>
          <w:color w:val="auto"/>
        </w:rPr>
        <w:t>SIGNATURES</w:t>
      </w:r>
    </w:p>
    <w:p>
      <w:pPr>
        <w:spacing w:after="0" w:line="293" w:lineRule="exact"/>
        <w:rPr>
          <w:sz w:val="20"/>
          <w:szCs w:val="20"/>
          <w:color w:val="auto"/>
        </w:rPr>
      </w:pPr>
    </w:p>
    <w:p>
      <w:pPr>
        <w:ind w:firstLine="441"/>
        <w:spacing w:after="0" w:line="276"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18" w:lineRule="exact"/>
        <w:rPr>
          <w:sz w:val="20"/>
          <w:szCs w:val="20"/>
          <w:color w:val="auto"/>
        </w:rPr>
      </w:pPr>
    </w:p>
    <w:p>
      <w:pPr>
        <w:ind w:left="5600"/>
        <w:spacing w:after="0"/>
        <w:rPr>
          <w:sz w:val="20"/>
          <w:szCs w:val="20"/>
          <w:color w:val="auto"/>
        </w:rPr>
      </w:pPr>
      <w:r>
        <w:rPr>
          <w:rFonts w:ascii="Arial" w:cs="Arial" w:eastAsia="Arial" w:hAnsi="Arial"/>
          <w:sz w:val="18"/>
          <w:szCs w:val="18"/>
          <w:b w:val="1"/>
          <w:bCs w:val="1"/>
          <w:color w:val="auto"/>
        </w:rPr>
        <w:t>SOL-GEL TECHNOLOGIES LTD.</w:t>
      </w:r>
    </w:p>
    <w:p>
      <w:pPr>
        <w:spacing w:after="0" w:line="229" w:lineRule="exact"/>
        <w:rPr>
          <w:sz w:val="20"/>
          <w:szCs w:val="20"/>
          <w:color w:val="auto"/>
        </w:rPr>
      </w:pPr>
    </w:p>
    <w:p>
      <w:pPr>
        <w:spacing w:after="0"/>
        <w:tabs>
          <w:tab w:leader="none" w:pos="5580" w:val="left"/>
        </w:tabs>
        <w:rPr>
          <w:sz w:val="20"/>
          <w:szCs w:val="20"/>
          <w:color w:val="auto"/>
        </w:rPr>
      </w:pPr>
      <w:r>
        <w:rPr>
          <w:rFonts w:ascii="Arial" w:cs="Arial" w:eastAsia="Arial" w:hAnsi="Arial"/>
          <w:sz w:val="18"/>
          <w:szCs w:val="18"/>
          <w:color w:val="auto"/>
        </w:rPr>
        <w:t>Date: March 22, 2021</w:t>
      </w:r>
      <w:r>
        <w:rPr>
          <w:sz w:val="20"/>
          <w:szCs w:val="20"/>
          <w:color w:val="auto"/>
        </w:rPr>
        <w:tab/>
      </w:r>
      <w:r>
        <w:rPr>
          <w:rFonts w:ascii="Arial" w:cs="Arial" w:eastAsia="Arial" w:hAnsi="Arial"/>
          <w:sz w:val="17"/>
          <w:szCs w:val="17"/>
          <w:color w:val="auto"/>
        </w:rPr>
        <w:t>By:/s/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3725545</wp:posOffset>
            </wp:positionH>
            <wp:positionV relativeFrom="paragraph">
              <wp:posOffset>14605</wp:posOffset>
            </wp:positionV>
            <wp:extent cx="2134235"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134235" cy="17145"/>
                    </a:xfrm>
                    <a:prstGeom prst="rect">
                      <a:avLst/>
                    </a:prstGeom>
                    <a:noFill/>
                  </pic:spPr>
                </pic:pic>
              </a:graphicData>
            </a:graphic>
          </wp:anchor>
        </w:drawing>
      </w:r>
    </w:p>
    <w:p>
      <w:pPr>
        <w:spacing w:after="0" w:line="16"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Gilad Mamlok</w:t>
      </w:r>
    </w:p>
    <w:p>
      <w:pPr>
        <w:spacing w:after="0" w:line="23"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Chief Financial Officer</w:t>
      </w:r>
    </w:p>
    <w:p>
      <w:pPr>
        <w:spacing w:after="0" w:line="258" w:lineRule="exact"/>
        <w:rPr>
          <w:sz w:val="20"/>
          <w:szCs w:val="20"/>
          <w:color w:val="auto"/>
        </w:rPr>
      </w:pPr>
    </w:p>
    <w:p>
      <w:pPr>
        <w:jc w:val="center"/>
        <w:ind w:right="-99"/>
        <w:spacing w:after="0"/>
        <w:rPr>
          <w:sz w:val="20"/>
          <w:szCs w:val="20"/>
          <w:color w:val="auto"/>
        </w:rPr>
      </w:pPr>
      <w:r>
        <w:rPr>
          <w:rFonts w:ascii="Arial" w:cs="Arial" w:eastAsia="Arial" w:hAnsi="Arial"/>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75565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170180</wp:posOffset>
            </wp:positionV>
            <wp:extent cx="713232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sectPr>
      <w:pgSz w:w="11900" w:h="16838" w:orient="portrait"/>
      <w:cols w:equalWidth="0" w:num="1">
        <w:col w:w="11140"/>
      </w:cols>
      <w:pgMar w:left="320" w:top="396"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2021-03-22T12:25:25Z</dcterms:created>
  <dcterms:modified xsi:type="dcterms:W3CDTF">2021-03-22T12:25:25Z</dcterms:modified>
</cp:coreProperties>
</file>