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6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20-F</w:t>
      </w:r>
    </w:p>
    <w:p>
      <w:pPr>
        <w:spacing w:after="0" w:line="288" w:lineRule="exact"/>
        <w:rPr>
          <w:sz w:val="24"/>
          <w:szCs w:val="24"/>
          <w:color w:val="auto"/>
        </w:rPr>
      </w:pPr>
    </w:p>
    <w:p>
      <w:pPr>
        <w:ind w:left="760" w:hanging="752"/>
        <w:spacing w:after="0"/>
        <w:tabs>
          <w:tab w:leader="none" w:pos="7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REGISTRATION STATEMENT PURSUANT TO SECTION 12(b) OR (g) OF THE SECURITIES EXCHANGE ACT OF 1934</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79" w:lineRule="exact"/>
        <w:rPr>
          <w:sz w:val="24"/>
          <w:szCs w:val="24"/>
          <w:color w:val="auto"/>
        </w:rPr>
      </w:pPr>
    </w:p>
    <w:p>
      <w:pPr>
        <w:ind w:left="760" w:right="2300" w:hanging="752"/>
        <w:spacing w:after="0" w:line="277" w:lineRule="auto"/>
        <w:tabs>
          <w:tab w:leader="none" w:pos="7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ANNUAL REPORT PURSUANT TO SECTION 13 OR 15(d) OF THE SECURITIES EXCHANGE ACT OF 1934 For the fiscal year ended December 31, 2018</w:t>
      </w: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79" w:lineRule="exact"/>
        <w:rPr>
          <w:sz w:val="24"/>
          <w:szCs w:val="24"/>
          <w:color w:val="auto"/>
        </w:rPr>
      </w:pPr>
    </w:p>
    <w:p>
      <w:pPr>
        <w:ind w:left="5580" w:right="1980" w:hanging="5572"/>
        <w:spacing w:after="0" w:line="544" w:lineRule="auto"/>
        <w:tabs>
          <w:tab w:leader="none" w:pos="742"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 OR</w:t>
      </w:r>
    </w:p>
    <w:p>
      <w:pPr>
        <w:spacing w:after="0" w:line="34" w:lineRule="exact"/>
        <w:rPr>
          <w:rFonts w:ascii="MS PGothic" w:cs="MS PGothic" w:eastAsia="MS PGothic" w:hAnsi="MS PGothic"/>
          <w:sz w:val="18"/>
          <w:szCs w:val="18"/>
          <w:color w:val="auto"/>
        </w:rPr>
      </w:pPr>
    </w:p>
    <w:p>
      <w:pPr>
        <w:ind w:left="720" w:right="1600" w:hanging="712"/>
        <w:spacing w:after="0" w:line="528" w:lineRule="auto"/>
        <w:tabs>
          <w:tab w:leader="none" w:pos="7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SHELL COMPANY REPORT PURSUANT TO SECTION 13 OR 15(d) OF THE SECURITIES EXCHANGE ACT OF 1934 Date of event requiring this shell company report ________________</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2432050</wp:posOffset>
            </wp:positionH>
            <wp:positionV relativeFrom="paragraph">
              <wp:posOffset>186690</wp:posOffset>
            </wp:positionV>
            <wp:extent cx="2409825" cy="1132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09825" cy="11322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22860</wp:posOffset>
            </wp:positionV>
            <wp:extent cx="578040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14605</wp:posOffset>
            </wp:positionV>
            <wp:extent cx="578040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14605</wp:posOffset>
            </wp:positionV>
            <wp:extent cx="578040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(Jurisdiction of incorporation or organization)</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Gilad Mamlok, Chief Financial Officer</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Telephone, E-mail and/or Facsimile number and Address of Company Contact Person)</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or to be registered pursuant to Section 12(b) of the Act.</w:t>
      </w:r>
    </w:p>
    <w:p>
      <w:pPr>
        <w:spacing w:after="0" w:line="27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5640" w:type="dxa"/>
            <w:vAlign w:val="bottom"/>
            <w:tcBorders>
              <w:bottom w:val="single" w:sz="8" w:color="auto"/>
            </w:tcBorders>
          </w:tcPr>
          <w:p>
            <w:pPr>
              <w:ind w:left="2360"/>
              <w:spacing w:after="0"/>
              <w:rPr>
                <w:sz w:val="20"/>
                <w:szCs w:val="20"/>
                <w:color w:val="auto"/>
              </w:rPr>
            </w:pPr>
            <w:r>
              <w:rPr>
                <w:rFonts w:ascii="Arial" w:cs="Arial" w:eastAsia="Arial" w:hAnsi="Arial"/>
                <w:sz w:val="18"/>
                <w:szCs w:val="18"/>
                <w:color w:val="auto"/>
              </w:rPr>
              <w:t>Title of class</w:t>
            </w:r>
          </w:p>
        </w:tc>
        <w:tc>
          <w:tcPr>
            <w:tcW w:w="260" w:type="dxa"/>
            <w:vAlign w:val="bottom"/>
          </w:tcPr>
          <w:p>
            <w:pPr>
              <w:spacing w:after="0"/>
              <w:rPr>
                <w:sz w:val="20"/>
                <w:szCs w:val="20"/>
                <w:color w:val="auto"/>
              </w:rPr>
            </w:pPr>
          </w:p>
        </w:tc>
        <w:tc>
          <w:tcPr>
            <w:tcW w:w="5520" w:type="dxa"/>
            <w:vAlign w:val="bottom"/>
            <w:tcBorders>
              <w:bottom w:val="single" w:sz="8" w:color="auto"/>
            </w:tcBorders>
          </w:tcPr>
          <w:p>
            <w:pPr>
              <w:ind w:left="1180"/>
              <w:spacing w:after="0"/>
              <w:rPr>
                <w:sz w:val="20"/>
                <w:szCs w:val="20"/>
                <w:color w:val="auto"/>
              </w:rPr>
            </w:pPr>
            <w:r>
              <w:rPr>
                <w:rFonts w:ascii="Arial" w:cs="Arial" w:eastAsia="Arial" w:hAnsi="Arial"/>
                <w:sz w:val="18"/>
                <w:szCs w:val="18"/>
                <w:color w:val="auto"/>
              </w:rPr>
              <w:t>Name of each exchange on which registered</w:t>
            </w:r>
          </w:p>
        </w:tc>
      </w:tr>
      <w:tr>
        <w:trPr>
          <w:trHeight w:val="432"/>
        </w:trPr>
        <w:tc>
          <w:tcPr>
            <w:tcW w:w="5640" w:type="dxa"/>
            <w:vAlign w:val="bottom"/>
          </w:tcPr>
          <w:p>
            <w:pPr>
              <w:spacing w:after="0"/>
              <w:rPr>
                <w:sz w:val="20"/>
                <w:szCs w:val="20"/>
                <w:color w:val="auto"/>
              </w:rPr>
            </w:pPr>
            <w:r>
              <w:rPr>
                <w:rFonts w:ascii="Arial" w:cs="Arial" w:eastAsia="Arial" w:hAnsi="Arial"/>
                <w:sz w:val="18"/>
                <w:szCs w:val="18"/>
                <w:color w:val="auto"/>
              </w:rPr>
              <w:t>Ordinary Shares, par value NIS 0.1 per share</w:t>
            </w:r>
          </w:p>
        </w:tc>
        <w:tc>
          <w:tcPr>
            <w:tcW w:w="5780" w:type="dxa"/>
            <w:vAlign w:val="bottom"/>
            <w:gridSpan w:val="2"/>
          </w:tcPr>
          <w:p>
            <w:pPr>
              <w:ind w:left="260"/>
              <w:spacing w:after="0"/>
              <w:rPr>
                <w:sz w:val="20"/>
                <w:szCs w:val="20"/>
                <w:color w:val="auto"/>
              </w:rPr>
            </w:pPr>
            <w:r>
              <w:rPr>
                <w:rFonts w:ascii="Arial" w:cs="Arial" w:eastAsia="Arial" w:hAnsi="Arial"/>
                <w:sz w:val="18"/>
                <w:szCs w:val="18"/>
                <w:color w:val="auto"/>
              </w:rPr>
              <w:t>The Nasdaq Stock Market LLC</w:t>
            </w:r>
          </w:p>
        </w:tc>
      </w:tr>
    </w:tbl>
    <w:p>
      <w:pPr>
        <w:spacing w:after="0" w:line="200" w:lineRule="exact"/>
        <w:rPr>
          <w:sz w:val="24"/>
          <w:szCs w:val="24"/>
          <w:color w:val="auto"/>
        </w:rPr>
      </w:pPr>
    </w:p>
    <w:p>
      <w:pPr>
        <w:spacing w:after="0" w:line="32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or to be registered pursuant to Section 12(g) of the Act:</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 of Class)</w:t>
      </w:r>
    </w:p>
    <w:p>
      <w:pPr>
        <w:spacing w:after="0" w:line="279" w:lineRule="exact"/>
        <w:rPr>
          <w:sz w:val="24"/>
          <w:szCs w:val="24"/>
          <w:color w:val="auto"/>
        </w:rPr>
      </w:pPr>
    </w:p>
    <w:p>
      <w:pPr>
        <w:spacing w:after="0"/>
        <w:rPr>
          <w:sz w:val="20"/>
          <w:szCs w:val="20"/>
          <w:color w:val="auto"/>
        </w:rPr>
      </w:pPr>
      <w:r>
        <w:rPr>
          <w:rFonts w:ascii="Arial" w:cs="Arial" w:eastAsia="Arial" w:hAnsi="Arial"/>
          <w:sz w:val="18"/>
          <w:szCs w:val="18"/>
          <w:color w:val="auto"/>
        </w:rPr>
        <w:t>Securities for which there is a reporting obligation pursuant to Section 15(d) of the Act:</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 of Class)</w:t>
      </w:r>
    </w:p>
    <w:p>
      <w:pPr>
        <w:sectPr>
          <w:pgSz w:w="11900" w:h="16874" w:orient="portrait"/>
          <w:cols w:equalWidth="0" w:num="1">
            <w:col w:w="11420"/>
          </w:cols>
          <w:pgMar w:left="240" w:top="765" w:right="239" w:bottom="0" w:gutter="0" w:footer="0" w:header="0"/>
        </w:sectPr>
      </w:pPr>
    </w:p>
    <w:bookmarkStart w:id="1" w:name="page2"/>
    <w:bookmarkEnd w:id="1"/>
    <w:p>
      <w:pPr>
        <w:ind w:firstLine="854"/>
        <w:spacing w:after="0" w:line="277" w:lineRule="auto"/>
        <w:rPr>
          <w:sz w:val="20"/>
          <w:szCs w:val="20"/>
          <w:color w:val="auto"/>
        </w:rPr>
      </w:pPr>
      <w:r>
        <w:rPr>
          <w:rFonts w:ascii="Arial" w:cs="Arial" w:eastAsia="Arial" w:hAnsi="Arial"/>
          <w:sz w:val="18"/>
          <w:szCs w:val="18"/>
          <w:color w:val="auto"/>
        </w:rPr>
        <w:t>Indicate the number of outstanding shares of each of the issuer’s classes of capital or common stock as of the close of the period covered by the annual report: 18,949,968 Ordinary Shares, par value NIS 0.1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 w:name="page3"/>
    <w:bookmarkEnd w:id="2"/>
    <w:p>
      <w:pPr>
        <w:ind w:left="660"/>
        <w:spacing w:after="0"/>
        <w:rPr>
          <w:sz w:val="20"/>
          <w:szCs w:val="20"/>
          <w:color w:val="auto"/>
        </w:rPr>
      </w:pPr>
      <w:r>
        <w:rPr>
          <w:rFonts w:ascii="Arial" w:cs="Arial" w:eastAsia="Arial" w:hAnsi="Arial"/>
          <w:sz w:val="18"/>
          <w:szCs w:val="18"/>
          <w:color w:val="auto"/>
        </w:rPr>
        <w:t>Indicate by check mark if the registrant is a well-known seasoned issuer, as defined in Rule 405 of the Securities Act.</w:t>
      </w:r>
    </w:p>
    <w:p>
      <w:pPr>
        <w:spacing w:after="0" w:line="247"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31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If this report is an annual or transition report, indicate by check mark if the registrant is not required to file reports pursuant to Section 13 or 15(d) of the Securities Exchange Act 1934.</w:t>
      </w:r>
    </w:p>
    <w:p>
      <w:pPr>
        <w:spacing w:after="0" w:line="192"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31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203" w:lineRule="exact"/>
        <w:rPr>
          <w:sz w:val="20"/>
          <w:szCs w:val="20"/>
          <w:color w:val="auto"/>
        </w:rPr>
      </w:pPr>
    </w:p>
    <w:p>
      <w:pPr>
        <w:jc w:val="center"/>
        <w:spacing w:after="0" w:line="207" w:lineRule="exact"/>
        <w:tabs>
          <w:tab w:leader="none" w:pos="38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58" w:lineRule="exact"/>
        <w:rPr>
          <w:sz w:val="20"/>
          <w:szCs w:val="20"/>
          <w:color w:val="auto"/>
        </w:rPr>
      </w:pPr>
    </w:p>
    <w:p>
      <w:pPr>
        <w:jc w:val="both"/>
        <w:ind w:firstLine="635"/>
        <w:spacing w:after="0" w:line="342"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44" w:lineRule="exact"/>
        <w:rPr>
          <w:sz w:val="20"/>
          <w:szCs w:val="20"/>
          <w:color w:val="auto"/>
        </w:rPr>
      </w:pPr>
    </w:p>
    <w:p>
      <w:pPr>
        <w:jc w:val="center"/>
        <w:ind w:right="-19"/>
        <w:spacing w:after="0" w:line="253" w:lineRule="exact"/>
        <w:tabs>
          <w:tab w:leader="none" w:pos="46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6"/>
          <w:szCs w:val="16"/>
          <w:color w:val="auto"/>
        </w:rPr>
        <w:t>☐</w:t>
      </w:r>
    </w:p>
    <w:p>
      <w:pPr>
        <w:spacing w:after="0" w:line="32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92" w:lineRule="exact"/>
        <w:rPr>
          <w:sz w:val="20"/>
          <w:szCs w:val="20"/>
          <w:color w:val="auto"/>
        </w:rPr>
      </w:pPr>
    </w:p>
    <w:tbl>
      <w:tblPr>
        <w:tblLayout w:type="fixed"/>
        <w:tblInd w:w="2120" w:type="dxa"/>
        <w:tblCellMar>
          <w:top w:w="0" w:type="dxa"/>
          <w:left w:w="0" w:type="dxa"/>
          <w:bottom w:w="0" w:type="dxa"/>
          <w:right w:w="0" w:type="dxa"/>
        </w:tblCellMar>
      </w:tblPr>
      <w:tr>
        <w:trPr>
          <w:trHeight w:val="249"/>
        </w:trPr>
        <w:tc>
          <w:tcPr>
            <w:tcW w:w="2380" w:type="dxa"/>
            <w:vAlign w:val="bottom"/>
            <w:vMerge w:val="restart"/>
          </w:tcPr>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2580" w:type="dxa"/>
            <w:vAlign w:val="bottom"/>
            <w:vMerge w:val="restart"/>
          </w:tcPr>
          <w:p>
            <w:pPr>
              <w:ind w:left="520"/>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tc>
        <w:tc>
          <w:tcPr>
            <w:tcW w:w="2600" w:type="dxa"/>
            <w:vAlign w:val="bottom"/>
          </w:tcPr>
          <w:p>
            <w:pPr>
              <w:ind w:left="640"/>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42"/>
        </w:trPr>
        <w:tc>
          <w:tcPr>
            <w:tcW w:w="238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2600" w:type="dxa"/>
            <w:vAlign w:val="bottom"/>
            <w:vMerge w:val="restart"/>
          </w:tcPr>
          <w:p>
            <w:pPr>
              <w:ind w:left="640"/>
              <w:spacing w:after="0" w:line="183" w:lineRule="exact"/>
              <w:rPr>
                <w:sz w:val="20"/>
                <w:szCs w:val="20"/>
                <w:color w:val="auto"/>
              </w:rPr>
            </w:pPr>
            <w:r>
              <w:rPr>
                <w:rFonts w:ascii="Arial" w:cs="Arial" w:eastAsia="Arial" w:hAnsi="Arial"/>
                <w:sz w:val="18"/>
                <w:szCs w:val="18"/>
                <w:color w:val="auto"/>
                <w:w w:val="90"/>
              </w:rPr>
              <w:t>Emerging growth company</w:t>
            </w:r>
          </w:p>
        </w:tc>
        <w:tc>
          <w:tcPr>
            <w:tcW w:w="0" w:type="dxa"/>
            <w:vAlign w:val="bottom"/>
          </w:tcPr>
          <w:p>
            <w:pPr>
              <w:spacing w:after="0"/>
              <w:rPr>
                <w:sz w:val="1"/>
                <w:szCs w:val="1"/>
                <w:color w:val="auto"/>
              </w:rPr>
            </w:pPr>
          </w:p>
        </w:tc>
      </w:tr>
      <w:tr>
        <w:trPr>
          <w:trHeight w:val="41"/>
        </w:trPr>
        <w:tc>
          <w:tcPr>
            <w:tcW w:w="2380" w:type="dxa"/>
            <w:vAlign w:val="bottom"/>
          </w:tcPr>
          <w:p>
            <w:pPr>
              <w:spacing w:after="0"/>
              <w:rPr>
                <w:sz w:val="3"/>
                <w:szCs w:val="3"/>
                <w:color w:val="auto"/>
              </w:rPr>
            </w:pPr>
          </w:p>
        </w:tc>
        <w:tc>
          <w:tcPr>
            <w:tcW w:w="2580" w:type="dxa"/>
            <w:vAlign w:val="bottom"/>
          </w:tcPr>
          <w:p>
            <w:pPr>
              <w:spacing w:after="0"/>
              <w:rPr>
                <w:sz w:val="3"/>
                <w:szCs w:val="3"/>
                <w:color w:val="auto"/>
              </w:rPr>
            </w:pPr>
          </w:p>
        </w:tc>
        <w:tc>
          <w:tcPr>
            <w:tcW w:w="26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3"/>
        </w:trPr>
        <w:tc>
          <w:tcPr>
            <w:tcW w:w="23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2600" w:type="dxa"/>
            <w:vAlign w:val="bottom"/>
          </w:tcPr>
          <w:p>
            <w:pPr>
              <w:ind w:left="6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82" w:lineRule="exact"/>
        <w:rPr>
          <w:sz w:val="20"/>
          <w:szCs w:val="20"/>
          <w:color w:val="auto"/>
        </w:rPr>
      </w:pPr>
    </w:p>
    <w:p>
      <w:pPr>
        <w:ind w:right="160" w:firstLine="648"/>
        <w:spacing w:after="0" w:line="227" w:lineRule="exact"/>
        <w:rPr>
          <w:sz w:val="20"/>
          <w:szCs w:val="20"/>
          <w:color w:val="auto"/>
        </w:rPr>
      </w:pPr>
      <w:r>
        <w:rPr>
          <w:rFonts w:ascii="Arial" w:cs="Arial" w:eastAsia="Arial" w:hAnsi="Arial"/>
          <w:sz w:val="18"/>
          <w:szCs w:val="18"/>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Indicate by check mark which basis of accounting the registrant has used to prepare the financial statements included in this filing:</w:t>
      </w:r>
    </w:p>
    <w:p>
      <w:pPr>
        <w:spacing w:after="0" w:line="247"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color w:val="auto"/>
        </w:rPr>
        <w:t xml:space="preserve">U.S. GAAP </w:t>
      </w:r>
      <w:r>
        <w:rPr>
          <w:rFonts w:ascii="MS PGothic" w:cs="MS PGothic" w:eastAsia="MS PGothic" w:hAnsi="MS PGothic"/>
          <w:sz w:val="18"/>
          <w:szCs w:val="18"/>
          <w:color w:val="auto"/>
        </w:rPr>
        <w:t>☒</w:t>
      </w:r>
    </w:p>
    <w:p>
      <w:pPr>
        <w:spacing w:after="0" w:line="279"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 xml:space="preserve">International Financing Reporting Standards as issued by the International Accounting Standards Board </w:t>
      </w:r>
      <w:r>
        <w:rPr>
          <w:rFonts w:ascii="MS PGothic" w:cs="MS PGothic" w:eastAsia="MS PGothic" w:hAnsi="MS PGothic"/>
          <w:sz w:val="18"/>
          <w:szCs w:val="18"/>
          <w:color w:val="auto"/>
        </w:rPr>
        <w:t>☐</w:t>
      </w:r>
      <w:r>
        <w:rPr>
          <w:rFonts w:ascii="Arial" w:cs="Arial" w:eastAsia="Arial" w:hAnsi="Arial"/>
          <w:sz w:val="18"/>
          <w:szCs w:val="18"/>
          <w:color w:val="auto"/>
        </w:rPr>
        <w:t xml:space="preserve"> Other </w:t>
      </w:r>
      <w:r>
        <w:rPr>
          <w:rFonts w:ascii="MS PGothic" w:cs="MS PGothic" w:eastAsia="MS PGothic" w:hAnsi="MS PGothic"/>
          <w:sz w:val="18"/>
          <w:szCs w:val="18"/>
          <w:color w:val="auto"/>
        </w:rPr>
        <w:t>☐</w:t>
      </w:r>
    </w:p>
    <w:p>
      <w:pPr>
        <w:spacing w:after="0" w:line="31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If “Other” has been checked in response to the previous question, indicate by check mark which financial statement item the registrant has elected to</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follow.</w:t>
      </w:r>
    </w:p>
    <w:p>
      <w:pPr>
        <w:spacing w:after="0" w:line="232"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Item 17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Item 18 </w:t>
      </w:r>
      <w:r>
        <w:rPr>
          <w:rFonts w:ascii="MS PGothic" w:cs="MS PGothic" w:eastAsia="MS PGothic" w:hAnsi="MS PGothic"/>
          <w:sz w:val="16"/>
          <w:szCs w:val="16"/>
          <w:color w:val="auto"/>
        </w:rPr>
        <w:t>☐</w:t>
      </w:r>
    </w:p>
    <w:p>
      <w:pPr>
        <w:spacing w:after="0" w:line="312"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If this is an annual report, indicate by check mark whether the registrant is a shell company (as defined in Rule 12b-2 of the Exchange Act).</w:t>
      </w:r>
    </w:p>
    <w:p>
      <w:pPr>
        <w:spacing w:after="0" w:line="247"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540" w:type="dxa"/>
            <w:vAlign w:val="bottom"/>
            <w:gridSpan w:val="12"/>
          </w:tcPr>
          <w:p>
            <w:pPr>
              <w:ind w:left="300"/>
              <w:spacing w:after="0"/>
              <w:rPr>
                <w:sz w:val="20"/>
                <w:szCs w:val="20"/>
                <w:color w:val="auto"/>
              </w:rPr>
            </w:pPr>
            <w:r>
              <w:rPr>
                <w:rFonts w:ascii="Arial" w:cs="Arial" w:eastAsia="Arial" w:hAnsi="Arial"/>
                <w:sz w:val="18"/>
                <w:szCs w:val="18"/>
                <w:b w:val="1"/>
                <w:bCs w:val="1"/>
                <w:color w:val="auto"/>
              </w:rPr>
              <w:t>TABLE OF CONTENTS</w:t>
            </w:r>
          </w:p>
        </w:tc>
        <w:tc>
          <w:tcPr>
            <w:tcW w:w="1420" w:type="dxa"/>
            <w:vAlign w:val="bottom"/>
          </w:tcPr>
          <w:p>
            <w:pPr>
              <w:spacing w:after="0"/>
              <w:rPr>
                <w:sz w:val="20"/>
                <w:szCs w:val="20"/>
                <w:color w:val="auto"/>
              </w:rPr>
            </w:pPr>
          </w:p>
        </w:tc>
      </w:tr>
      <w:tr>
        <w:trPr>
          <w:trHeight w:val="432"/>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ITEM 1.</w:t>
              </w:r>
            </w:hyperlink>
          </w:p>
        </w:tc>
        <w:tc>
          <w:tcPr>
            <w:tcW w:w="8960" w:type="dxa"/>
            <w:vAlign w:val="bottom"/>
            <w:gridSpan w:val="25"/>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IDENTITY OF DIRECTORS, SENIOR MANAGEMENT AND ADVISERS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ITEM 2.</w:t>
              </w:r>
            </w:hyperlink>
          </w:p>
        </w:tc>
        <w:tc>
          <w:tcPr>
            <w:tcW w:w="8960" w:type="dxa"/>
            <w:vAlign w:val="bottom"/>
            <w:gridSpan w:val="25"/>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OFFER STATISTICS AND EXPECTED TIMETABLE</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ITEM 3.</w:t>
              </w:r>
            </w:hyperlink>
          </w:p>
        </w:tc>
        <w:tc>
          <w:tcPr>
            <w:tcW w:w="8960" w:type="dxa"/>
            <w:vAlign w:val="bottom"/>
            <w:gridSpan w:val="25"/>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KEY INFORMATION</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59">
              <w:r>
                <w:rPr>
                  <w:rFonts w:ascii="Arial" w:cs="Arial" w:eastAsia="Arial" w:hAnsi="Arial"/>
                  <w:sz w:val="18"/>
                  <w:szCs w:val="18"/>
                  <w:color w:val="0000EE"/>
                </w:rPr>
                <w:t>ITEM 4.</w:t>
              </w:r>
            </w:hyperlink>
          </w:p>
        </w:tc>
        <w:tc>
          <w:tcPr>
            <w:tcW w:w="8960" w:type="dxa"/>
            <w:vAlign w:val="bottom"/>
            <w:gridSpan w:val="25"/>
          </w:tcPr>
          <w:p>
            <w:pPr>
              <w:spacing w:after="0"/>
              <w:rPr>
                <w:rFonts w:ascii="Arial" w:cs="Arial" w:eastAsia="Arial" w:hAnsi="Arial"/>
                <w:sz w:val="18"/>
                <w:szCs w:val="18"/>
                <w:color w:val="0000EE"/>
              </w:rPr>
            </w:pPr>
            <w:hyperlink w:anchor="page59">
              <w:r>
                <w:rPr>
                  <w:rFonts w:ascii="Arial" w:cs="Arial" w:eastAsia="Arial" w:hAnsi="Arial"/>
                  <w:sz w:val="18"/>
                  <w:szCs w:val="18"/>
                  <w:color w:val="0000EE"/>
                </w:rPr>
                <w:t>INFORMATION ON THE COMPANY</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740" w:type="dxa"/>
            <w:vAlign w:val="bottom"/>
            <w:gridSpan w:val="3"/>
          </w:tcPr>
          <w:p>
            <w:pPr>
              <w:spacing w:after="0"/>
              <w:rPr>
                <w:rFonts w:ascii="Arial" w:cs="Arial" w:eastAsia="Arial" w:hAnsi="Arial"/>
                <w:sz w:val="18"/>
                <w:szCs w:val="18"/>
                <w:color w:val="0000EE"/>
                <w:w w:val="93"/>
              </w:rPr>
            </w:pPr>
            <w:hyperlink w:anchor="page99">
              <w:r>
                <w:rPr>
                  <w:rFonts w:ascii="Arial" w:cs="Arial" w:eastAsia="Arial" w:hAnsi="Arial"/>
                  <w:sz w:val="18"/>
                  <w:szCs w:val="18"/>
                  <w:color w:val="0000EE"/>
                  <w:w w:val="93"/>
                </w:rPr>
                <w:t>ITEM 4A.</w:t>
              </w:r>
            </w:hyperlink>
          </w:p>
        </w:tc>
        <w:tc>
          <w:tcPr>
            <w:tcW w:w="260" w:type="dxa"/>
            <w:vAlign w:val="bottom"/>
            <w:gridSpan w:val="4"/>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99">
              <w:r>
                <w:rPr>
                  <w:rFonts w:ascii="Arial" w:cs="Arial" w:eastAsia="Arial" w:hAnsi="Arial"/>
                  <w:sz w:val="18"/>
                  <w:szCs w:val="18"/>
                  <w:color w:val="0000EE"/>
                </w:rPr>
                <w:t>UNRESOLVED STAFF COMMENTS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0"/>
        </w:trPr>
        <w:tc>
          <w:tcPr>
            <w:tcW w:w="40" w:type="dxa"/>
            <w:vAlign w:val="bottom"/>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740" w:type="dxa"/>
            <w:vAlign w:val="bottom"/>
            <w:gridSpan w:val="3"/>
          </w:tcPr>
          <w:p>
            <w:pPr>
              <w:spacing w:after="0"/>
              <w:rPr>
                <w:rFonts w:ascii="Arial" w:cs="Arial" w:eastAsia="Arial" w:hAnsi="Arial"/>
                <w:sz w:val="18"/>
                <w:szCs w:val="18"/>
                <w:color w:val="0000EE"/>
              </w:rPr>
            </w:pPr>
            <w:hyperlink w:anchor="page99">
              <w:r>
                <w:rPr>
                  <w:rFonts w:ascii="Arial" w:cs="Arial" w:eastAsia="Arial" w:hAnsi="Arial"/>
                  <w:sz w:val="18"/>
                  <w:szCs w:val="18"/>
                  <w:color w:val="0000EE"/>
                </w:rPr>
                <w:t>ITEM 5.</w:t>
              </w:r>
            </w:hyperlink>
          </w:p>
        </w:tc>
        <w:tc>
          <w:tcPr>
            <w:tcW w:w="260" w:type="dxa"/>
            <w:vAlign w:val="bottom"/>
            <w:gridSpan w:val="4"/>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99">
              <w:r>
                <w:rPr>
                  <w:rFonts w:ascii="Arial" w:cs="Arial" w:eastAsia="Arial" w:hAnsi="Arial"/>
                  <w:sz w:val="18"/>
                  <w:szCs w:val="18"/>
                  <w:color w:val="0000EE"/>
                </w:rPr>
                <w:t>OPERATING AND FINANCIAL REVIEW AND PROSPECTS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111">
              <w:r>
                <w:rPr>
                  <w:rFonts w:ascii="Arial" w:cs="Arial" w:eastAsia="Arial" w:hAnsi="Arial"/>
                  <w:sz w:val="18"/>
                  <w:szCs w:val="18"/>
                  <w:color w:val="0000EE"/>
                </w:rPr>
                <w:t>ITEM 6.</w:t>
              </w:r>
            </w:hyperlink>
          </w:p>
        </w:tc>
        <w:tc>
          <w:tcPr>
            <w:tcW w:w="8960" w:type="dxa"/>
            <w:vAlign w:val="bottom"/>
            <w:gridSpan w:val="25"/>
          </w:tcPr>
          <w:p>
            <w:pPr>
              <w:spacing w:after="0"/>
              <w:rPr>
                <w:rFonts w:ascii="Arial" w:cs="Arial" w:eastAsia="Arial" w:hAnsi="Arial"/>
                <w:sz w:val="18"/>
                <w:szCs w:val="18"/>
                <w:color w:val="0000EE"/>
              </w:rPr>
            </w:pPr>
            <w:hyperlink w:anchor="page111">
              <w:r>
                <w:rPr>
                  <w:rFonts w:ascii="Arial" w:cs="Arial" w:eastAsia="Arial" w:hAnsi="Arial"/>
                  <w:sz w:val="18"/>
                  <w:szCs w:val="18"/>
                  <w:color w:val="0000EE"/>
                </w:rPr>
                <w:t>DIRECTORS, SENIOR MANAGEMENT AND EMPLOYEES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108</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137">
              <w:r>
                <w:rPr>
                  <w:rFonts w:ascii="Arial" w:cs="Arial" w:eastAsia="Arial" w:hAnsi="Arial"/>
                  <w:sz w:val="18"/>
                  <w:szCs w:val="18"/>
                  <w:color w:val="0000EE"/>
                </w:rPr>
                <w:t>ITEM 7.</w:t>
              </w:r>
            </w:hyperlink>
          </w:p>
        </w:tc>
        <w:tc>
          <w:tcPr>
            <w:tcW w:w="8960" w:type="dxa"/>
            <w:vAlign w:val="bottom"/>
            <w:gridSpan w:val="25"/>
          </w:tcPr>
          <w:p>
            <w:pPr>
              <w:spacing w:after="0"/>
              <w:rPr>
                <w:rFonts w:ascii="Arial" w:cs="Arial" w:eastAsia="Arial" w:hAnsi="Arial"/>
                <w:sz w:val="18"/>
                <w:szCs w:val="18"/>
                <w:color w:val="0000EE"/>
              </w:rPr>
            </w:pPr>
            <w:hyperlink w:anchor="page137">
              <w:r>
                <w:rPr>
                  <w:rFonts w:ascii="Arial" w:cs="Arial" w:eastAsia="Arial" w:hAnsi="Arial"/>
                  <w:sz w:val="18"/>
                  <w:szCs w:val="18"/>
                  <w:color w:val="0000EE"/>
                </w:rPr>
                <w:t>MAJOR SHAREHOLDERS AND RELATED PARTY TRANSACTIONS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134</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141">
              <w:r>
                <w:rPr>
                  <w:rFonts w:ascii="Arial" w:cs="Arial" w:eastAsia="Arial" w:hAnsi="Arial"/>
                  <w:sz w:val="18"/>
                  <w:szCs w:val="18"/>
                  <w:color w:val="0000EE"/>
                </w:rPr>
                <w:t>ITEM 8.</w:t>
              </w:r>
            </w:hyperlink>
          </w:p>
        </w:tc>
        <w:tc>
          <w:tcPr>
            <w:tcW w:w="8960" w:type="dxa"/>
            <w:vAlign w:val="bottom"/>
            <w:gridSpan w:val="25"/>
          </w:tcPr>
          <w:p>
            <w:pPr>
              <w:spacing w:after="0"/>
              <w:rPr>
                <w:rFonts w:ascii="Arial" w:cs="Arial" w:eastAsia="Arial" w:hAnsi="Arial"/>
                <w:sz w:val="18"/>
                <w:szCs w:val="18"/>
                <w:color w:val="0000EE"/>
              </w:rPr>
            </w:pPr>
            <w:hyperlink w:anchor="page141">
              <w:r>
                <w:rPr>
                  <w:rFonts w:ascii="Arial" w:cs="Arial" w:eastAsia="Arial" w:hAnsi="Arial"/>
                  <w:sz w:val="18"/>
                  <w:szCs w:val="18"/>
                  <w:color w:val="0000EE"/>
                </w:rPr>
                <w:t>FINANCIAL INFORMATION</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138</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142">
              <w:r>
                <w:rPr>
                  <w:rFonts w:ascii="Arial" w:cs="Arial" w:eastAsia="Arial" w:hAnsi="Arial"/>
                  <w:sz w:val="18"/>
                  <w:szCs w:val="18"/>
                  <w:color w:val="0000EE"/>
                </w:rPr>
                <w:t>ITEM 9.</w:t>
              </w:r>
            </w:hyperlink>
          </w:p>
        </w:tc>
        <w:tc>
          <w:tcPr>
            <w:tcW w:w="8960" w:type="dxa"/>
            <w:vAlign w:val="bottom"/>
            <w:gridSpan w:val="25"/>
          </w:tcPr>
          <w:p>
            <w:pPr>
              <w:spacing w:after="0"/>
              <w:rPr>
                <w:rFonts w:ascii="Arial" w:cs="Arial" w:eastAsia="Arial" w:hAnsi="Arial"/>
                <w:sz w:val="18"/>
                <w:szCs w:val="18"/>
                <w:color w:val="0000EE"/>
              </w:rPr>
            </w:pPr>
            <w:hyperlink w:anchor="page142">
              <w:r>
                <w:rPr>
                  <w:rFonts w:ascii="Arial" w:cs="Arial" w:eastAsia="Arial" w:hAnsi="Arial"/>
                  <w:sz w:val="18"/>
                  <w:szCs w:val="18"/>
                  <w:color w:val="0000EE"/>
                </w:rPr>
                <w:t>THE OFFER AND LISTING</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139</w:t>
            </w: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740" w:type="dxa"/>
            <w:vAlign w:val="bottom"/>
            <w:tcBorders>
              <w:bottom w:val="single" w:sz="8" w:color="0000EE"/>
            </w:tcBorders>
            <w:gridSpan w:val="3"/>
          </w:tcPr>
          <w:p>
            <w:pPr>
              <w:spacing w:after="0"/>
              <w:rPr>
                <w:rFonts w:ascii="Arial" w:cs="Arial" w:eastAsia="Arial" w:hAnsi="Arial"/>
                <w:sz w:val="18"/>
                <w:szCs w:val="18"/>
                <w:color w:val="0000EE"/>
                <w:w w:val="95"/>
              </w:rPr>
            </w:pPr>
            <w:hyperlink w:anchor="page143">
              <w:r>
                <w:rPr>
                  <w:rFonts w:ascii="Arial" w:cs="Arial" w:eastAsia="Arial" w:hAnsi="Arial"/>
                  <w:sz w:val="18"/>
                  <w:szCs w:val="18"/>
                  <w:color w:val="0000EE"/>
                  <w:w w:val="95"/>
                </w:rPr>
                <w:t>ITEM 10.</w:t>
              </w:r>
            </w:hyperlink>
          </w:p>
        </w:tc>
        <w:tc>
          <w:tcPr>
            <w:tcW w:w="260" w:type="dxa"/>
            <w:vAlign w:val="bottom"/>
            <w:gridSpan w:val="4"/>
          </w:tcPr>
          <w:p>
            <w:pPr>
              <w:spacing w:after="0"/>
              <w:rPr>
                <w:sz w:val="24"/>
                <w:szCs w:val="24"/>
                <w:color w:val="auto"/>
              </w:rPr>
            </w:pPr>
          </w:p>
        </w:tc>
        <w:tc>
          <w:tcPr>
            <w:tcW w:w="2420" w:type="dxa"/>
            <w:vAlign w:val="bottom"/>
            <w:tcBorders>
              <w:bottom w:val="single" w:sz="8" w:color="0000EE"/>
            </w:tcBorders>
            <w:gridSpan w:val="10"/>
          </w:tcPr>
          <w:p>
            <w:pPr>
              <w:spacing w:after="0"/>
              <w:rPr>
                <w:rFonts w:ascii="Arial" w:cs="Arial" w:eastAsia="Arial" w:hAnsi="Arial"/>
                <w:sz w:val="18"/>
                <w:szCs w:val="18"/>
                <w:color w:val="0000EE"/>
              </w:rPr>
            </w:pPr>
            <w:hyperlink w:anchor="page143">
              <w:r>
                <w:rPr>
                  <w:rFonts w:ascii="Arial" w:cs="Arial" w:eastAsia="Arial" w:hAnsi="Arial"/>
                  <w:sz w:val="18"/>
                  <w:szCs w:val="18"/>
                  <w:color w:val="0000EE"/>
                </w:rPr>
                <w:t>ADDITIONAL INFORMATION</w:t>
              </w:r>
            </w:hyperlink>
          </w:p>
        </w:tc>
        <w:tc>
          <w:tcPr>
            <w:tcW w:w="6540" w:type="dxa"/>
            <w:vAlign w:val="bottom"/>
            <w:gridSpan w:val="15"/>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140</w:t>
            </w:r>
          </w:p>
        </w:tc>
      </w:tr>
      <w:tr>
        <w:trPr>
          <w:trHeight w:val="277"/>
        </w:trPr>
        <w:tc>
          <w:tcPr>
            <w:tcW w:w="40" w:type="dxa"/>
            <w:vAlign w:val="bottom"/>
          </w:tcPr>
          <w:p>
            <w:pPr>
              <w:spacing w:after="0"/>
              <w:rPr>
                <w:sz w:val="24"/>
                <w:szCs w:val="24"/>
                <w:color w:val="auto"/>
              </w:rPr>
            </w:pPr>
          </w:p>
        </w:tc>
        <w:tc>
          <w:tcPr>
            <w:tcW w:w="720" w:type="dxa"/>
            <w:vAlign w:val="bottom"/>
            <w:gridSpan w:val="2"/>
          </w:tcPr>
          <w:p>
            <w:pPr>
              <w:spacing w:after="0"/>
              <w:rPr>
                <w:rFonts w:ascii="Arial" w:cs="Arial" w:eastAsia="Arial" w:hAnsi="Arial"/>
                <w:sz w:val="18"/>
                <w:szCs w:val="18"/>
                <w:color w:val="0000EE"/>
                <w:w w:val="95"/>
              </w:rPr>
            </w:pPr>
            <w:hyperlink w:anchor="page164">
              <w:r>
                <w:rPr>
                  <w:rFonts w:ascii="Arial" w:cs="Arial" w:eastAsia="Arial" w:hAnsi="Arial"/>
                  <w:sz w:val="18"/>
                  <w:szCs w:val="18"/>
                  <w:color w:val="0000EE"/>
                  <w:w w:val="95"/>
                </w:rPr>
                <w:t>ITEM 11.</w:t>
              </w:r>
            </w:hyperlink>
          </w:p>
        </w:tc>
        <w:tc>
          <w:tcPr>
            <w:tcW w:w="280" w:type="dxa"/>
            <w:vAlign w:val="bottom"/>
            <w:gridSpan w:val="5"/>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64">
              <w:r>
                <w:rPr>
                  <w:rFonts w:ascii="Arial" w:cs="Arial" w:eastAsia="Arial" w:hAnsi="Arial"/>
                  <w:sz w:val="18"/>
                  <w:szCs w:val="18"/>
                  <w:color w:val="0000EE"/>
                </w:rPr>
                <w:t>QUANTITATIVE AND QUALITATIVE DISCLOSURES ABOUT MARKET RISK</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161</w:t>
            </w:r>
          </w:p>
        </w:tc>
      </w:tr>
      <w:tr>
        <w:trPr>
          <w:trHeight w:val="277"/>
        </w:trPr>
        <w:tc>
          <w:tcPr>
            <w:tcW w:w="40" w:type="dxa"/>
            <w:vAlign w:val="bottom"/>
          </w:tcPr>
          <w:p>
            <w:pPr>
              <w:spacing w:after="0"/>
              <w:rPr>
                <w:sz w:val="24"/>
                <w:szCs w:val="24"/>
                <w:color w:val="auto"/>
              </w:rPr>
            </w:pPr>
          </w:p>
        </w:tc>
        <w:tc>
          <w:tcPr>
            <w:tcW w:w="720" w:type="dxa"/>
            <w:vAlign w:val="bottom"/>
            <w:tcBorders>
              <w:top w:val="single" w:sz="8" w:color="0000EE"/>
            </w:tcBorders>
            <w:gridSpan w:val="2"/>
          </w:tcPr>
          <w:p>
            <w:pPr>
              <w:spacing w:after="0"/>
              <w:rPr>
                <w:rFonts w:ascii="Arial" w:cs="Arial" w:eastAsia="Arial" w:hAnsi="Arial"/>
                <w:sz w:val="18"/>
                <w:szCs w:val="18"/>
                <w:color w:val="0000EE"/>
                <w:w w:val="95"/>
              </w:rPr>
            </w:pPr>
            <w:hyperlink w:anchor="page165">
              <w:r>
                <w:rPr>
                  <w:rFonts w:ascii="Arial" w:cs="Arial" w:eastAsia="Arial" w:hAnsi="Arial"/>
                  <w:sz w:val="18"/>
                  <w:szCs w:val="18"/>
                  <w:color w:val="0000EE"/>
                  <w:w w:val="95"/>
                </w:rPr>
                <w:t>ITEM 12.</w:t>
              </w:r>
            </w:hyperlink>
          </w:p>
        </w:tc>
        <w:tc>
          <w:tcPr>
            <w:tcW w:w="20" w:type="dxa"/>
            <w:vAlign w:val="bottom"/>
          </w:tcPr>
          <w:p>
            <w:pPr>
              <w:spacing w:after="0"/>
              <w:rPr>
                <w:sz w:val="24"/>
                <w:szCs w:val="24"/>
                <w:color w:val="auto"/>
              </w:rPr>
            </w:pPr>
          </w:p>
        </w:tc>
        <w:tc>
          <w:tcPr>
            <w:tcW w:w="260" w:type="dxa"/>
            <w:vAlign w:val="bottom"/>
            <w:gridSpan w:val="4"/>
          </w:tcPr>
          <w:p>
            <w:pPr>
              <w:spacing w:after="0"/>
              <w:rPr>
                <w:sz w:val="24"/>
                <w:szCs w:val="24"/>
                <w:color w:val="auto"/>
              </w:rPr>
            </w:pPr>
          </w:p>
        </w:tc>
        <w:tc>
          <w:tcPr>
            <w:tcW w:w="6140" w:type="dxa"/>
            <w:vAlign w:val="bottom"/>
            <w:tcBorders>
              <w:top w:val="single" w:sz="8" w:color="0000EE"/>
            </w:tcBorders>
            <w:gridSpan w:val="21"/>
          </w:tcPr>
          <w:p>
            <w:pPr>
              <w:spacing w:after="0"/>
              <w:rPr>
                <w:rFonts w:ascii="Arial" w:cs="Arial" w:eastAsia="Arial" w:hAnsi="Arial"/>
                <w:sz w:val="18"/>
                <w:szCs w:val="18"/>
                <w:color w:val="0000EE"/>
              </w:rPr>
            </w:pPr>
            <w:hyperlink w:anchor="page165">
              <w:r>
                <w:rPr>
                  <w:rFonts w:ascii="Arial" w:cs="Arial" w:eastAsia="Arial" w:hAnsi="Arial"/>
                  <w:sz w:val="18"/>
                  <w:szCs w:val="18"/>
                  <w:color w:val="0000EE"/>
                </w:rPr>
                <w:t>DESCRIPTION OF SECURITIES OTHER THAN EQUITY SECURITIES</w:t>
              </w:r>
            </w:hyperlink>
          </w:p>
        </w:tc>
        <w:tc>
          <w:tcPr>
            <w:tcW w:w="2820" w:type="dxa"/>
            <w:vAlign w:val="bottom"/>
            <w:gridSpan w:val="4"/>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162</w:t>
            </w:r>
          </w:p>
        </w:tc>
      </w:tr>
      <w:tr>
        <w:trPr>
          <w:trHeight w:val="277"/>
        </w:trPr>
        <w:tc>
          <w:tcPr>
            <w:tcW w:w="40" w:type="dxa"/>
            <w:vAlign w:val="bottom"/>
          </w:tcPr>
          <w:p>
            <w:pPr>
              <w:spacing w:after="0"/>
              <w:rPr>
                <w:sz w:val="24"/>
                <w:szCs w:val="24"/>
                <w:color w:val="auto"/>
              </w:rPr>
            </w:pPr>
          </w:p>
        </w:tc>
        <w:tc>
          <w:tcPr>
            <w:tcW w:w="740" w:type="dxa"/>
            <w:vAlign w:val="bottom"/>
            <w:tcBorders>
              <w:top w:val="single" w:sz="8" w:color="0000EE"/>
            </w:tcBorders>
            <w:gridSpan w:val="3"/>
          </w:tcPr>
          <w:p>
            <w:pPr>
              <w:spacing w:after="0"/>
              <w:rPr>
                <w:rFonts w:ascii="Arial" w:cs="Arial" w:eastAsia="Arial" w:hAnsi="Arial"/>
                <w:sz w:val="18"/>
                <w:szCs w:val="18"/>
                <w:color w:val="0000EE"/>
                <w:w w:val="95"/>
              </w:rPr>
            </w:pPr>
            <w:hyperlink w:anchor="page165">
              <w:r>
                <w:rPr>
                  <w:rFonts w:ascii="Arial" w:cs="Arial" w:eastAsia="Arial" w:hAnsi="Arial"/>
                  <w:sz w:val="18"/>
                  <w:szCs w:val="18"/>
                  <w:color w:val="0000EE"/>
                  <w:w w:val="95"/>
                </w:rPr>
                <w:t>ITEM 13.</w:t>
              </w:r>
            </w:hyperlink>
          </w:p>
        </w:tc>
        <w:tc>
          <w:tcPr>
            <w:tcW w:w="260" w:type="dxa"/>
            <w:vAlign w:val="bottom"/>
            <w:gridSpan w:val="4"/>
          </w:tcPr>
          <w:p>
            <w:pPr>
              <w:spacing w:after="0"/>
              <w:rPr>
                <w:sz w:val="24"/>
                <w:szCs w:val="24"/>
                <w:color w:val="auto"/>
              </w:rPr>
            </w:pPr>
          </w:p>
        </w:tc>
        <w:tc>
          <w:tcPr>
            <w:tcW w:w="5480" w:type="dxa"/>
            <w:vAlign w:val="bottom"/>
            <w:tcBorders>
              <w:top w:val="single" w:sz="8" w:color="0000EE"/>
            </w:tcBorders>
            <w:gridSpan w:val="19"/>
          </w:tcPr>
          <w:p>
            <w:pPr>
              <w:spacing w:after="0"/>
              <w:rPr>
                <w:rFonts w:ascii="Arial" w:cs="Arial" w:eastAsia="Arial" w:hAnsi="Arial"/>
                <w:sz w:val="18"/>
                <w:szCs w:val="18"/>
                <w:color w:val="0000EE"/>
              </w:rPr>
            </w:pPr>
            <w:hyperlink w:anchor="page165">
              <w:r>
                <w:rPr>
                  <w:rFonts w:ascii="Arial" w:cs="Arial" w:eastAsia="Arial" w:hAnsi="Arial"/>
                  <w:sz w:val="18"/>
                  <w:szCs w:val="18"/>
                  <w:color w:val="0000EE"/>
                </w:rPr>
                <w:t>DEFAULTS, DIVIDEND ARREARAGES AND DELINQUENCIES</w:t>
              </w:r>
            </w:hyperlink>
          </w:p>
        </w:tc>
        <w:tc>
          <w:tcPr>
            <w:tcW w:w="3480" w:type="dxa"/>
            <w:vAlign w:val="bottom"/>
            <w:gridSpan w:val="6"/>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162</w:t>
            </w:r>
          </w:p>
        </w:tc>
      </w:tr>
      <w:tr>
        <w:trPr>
          <w:trHeight w:val="20"/>
        </w:trPr>
        <w:tc>
          <w:tcPr>
            <w:tcW w:w="40" w:type="dxa"/>
            <w:vAlign w:val="bottom"/>
          </w:tcPr>
          <w:p>
            <w:pPr>
              <w:spacing w:after="0" w:line="20" w:lineRule="exact"/>
              <w:rPr>
                <w:sz w:val="1"/>
                <w:szCs w:val="1"/>
                <w:color w:val="auto"/>
              </w:rPr>
            </w:pPr>
          </w:p>
        </w:tc>
        <w:tc>
          <w:tcPr>
            <w:tcW w:w="740" w:type="dxa"/>
            <w:vAlign w:val="bottom"/>
            <w:gridSpan w:val="3"/>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00" w:type="dxa"/>
            <w:vAlign w:val="bottom"/>
            <w:gridSpan w:val="5"/>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740" w:type="dxa"/>
            <w:vAlign w:val="bottom"/>
            <w:gridSpan w:val="3"/>
          </w:tcPr>
          <w:p>
            <w:pPr>
              <w:spacing w:after="0"/>
              <w:rPr>
                <w:rFonts w:ascii="Arial" w:cs="Arial" w:eastAsia="Arial" w:hAnsi="Arial"/>
                <w:sz w:val="18"/>
                <w:szCs w:val="18"/>
                <w:color w:val="0000EE"/>
                <w:w w:val="95"/>
              </w:rPr>
            </w:pPr>
            <w:hyperlink w:anchor="page166">
              <w:r>
                <w:rPr>
                  <w:rFonts w:ascii="Arial" w:cs="Arial" w:eastAsia="Arial" w:hAnsi="Arial"/>
                  <w:sz w:val="18"/>
                  <w:szCs w:val="18"/>
                  <w:color w:val="0000EE"/>
                  <w:w w:val="95"/>
                </w:rPr>
                <w:t>ITEM 14.</w:t>
              </w:r>
            </w:hyperlink>
          </w:p>
        </w:tc>
        <w:tc>
          <w:tcPr>
            <w:tcW w:w="260" w:type="dxa"/>
            <w:vAlign w:val="bottom"/>
            <w:gridSpan w:val="4"/>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66">
              <w:r>
                <w:rPr>
                  <w:rFonts w:ascii="Arial" w:cs="Arial" w:eastAsia="Arial" w:hAnsi="Arial"/>
                  <w:sz w:val="18"/>
                  <w:szCs w:val="18"/>
                  <w:color w:val="0000EE"/>
                </w:rPr>
                <w:t>MATERIAL MODIFICATIONS TO THE RIGHTS OF SECURITY HOLDERS AND USE OF PROCEEDS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163</w:t>
            </w:r>
          </w:p>
        </w:tc>
      </w:tr>
      <w:tr>
        <w:trPr>
          <w:trHeight w:val="277"/>
        </w:trPr>
        <w:tc>
          <w:tcPr>
            <w:tcW w:w="40" w:type="dxa"/>
            <w:vAlign w:val="bottom"/>
          </w:tcPr>
          <w:p>
            <w:pPr>
              <w:spacing w:after="0"/>
              <w:rPr>
                <w:sz w:val="24"/>
                <w:szCs w:val="24"/>
                <w:color w:val="auto"/>
              </w:rPr>
            </w:pPr>
          </w:p>
        </w:tc>
        <w:tc>
          <w:tcPr>
            <w:tcW w:w="740" w:type="dxa"/>
            <w:vAlign w:val="bottom"/>
            <w:tcBorders>
              <w:top w:val="single" w:sz="8" w:color="0000EE"/>
            </w:tcBorders>
            <w:gridSpan w:val="3"/>
          </w:tcPr>
          <w:p>
            <w:pPr>
              <w:spacing w:after="0"/>
              <w:rPr>
                <w:rFonts w:ascii="Arial" w:cs="Arial" w:eastAsia="Arial" w:hAnsi="Arial"/>
                <w:sz w:val="18"/>
                <w:szCs w:val="18"/>
                <w:color w:val="0000EE"/>
                <w:w w:val="95"/>
              </w:rPr>
            </w:pPr>
            <w:hyperlink w:anchor="page166">
              <w:r>
                <w:rPr>
                  <w:rFonts w:ascii="Arial" w:cs="Arial" w:eastAsia="Arial" w:hAnsi="Arial"/>
                  <w:sz w:val="18"/>
                  <w:szCs w:val="18"/>
                  <w:color w:val="0000EE"/>
                  <w:w w:val="95"/>
                </w:rPr>
                <w:t>ITEM 15.</w:t>
              </w:r>
            </w:hyperlink>
          </w:p>
        </w:tc>
        <w:tc>
          <w:tcPr>
            <w:tcW w:w="260" w:type="dxa"/>
            <w:vAlign w:val="bottom"/>
            <w:gridSpan w:val="4"/>
          </w:tcPr>
          <w:p>
            <w:pPr>
              <w:spacing w:after="0"/>
              <w:rPr>
                <w:sz w:val="24"/>
                <w:szCs w:val="24"/>
                <w:color w:val="auto"/>
              </w:rPr>
            </w:pPr>
          </w:p>
        </w:tc>
        <w:tc>
          <w:tcPr>
            <w:tcW w:w="7860" w:type="dxa"/>
            <w:vAlign w:val="bottom"/>
            <w:tcBorders>
              <w:top w:val="single" w:sz="8" w:color="0000EE"/>
            </w:tcBorders>
            <w:gridSpan w:val="24"/>
          </w:tcPr>
          <w:p>
            <w:pPr>
              <w:spacing w:after="0"/>
              <w:rPr>
                <w:rFonts w:ascii="Arial" w:cs="Arial" w:eastAsia="Arial" w:hAnsi="Arial"/>
                <w:sz w:val="18"/>
                <w:szCs w:val="18"/>
                <w:color w:val="0000EE"/>
              </w:rPr>
            </w:pPr>
            <w:hyperlink w:anchor="page166">
              <w:r>
                <w:rPr>
                  <w:rFonts w:ascii="Arial" w:cs="Arial" w:eastAsia="Arial" w:hAnsi="Arial"/>
                  <w:sz w:val="18"/>
                  <w:szCs w:val="18"/>
                  <w:color w:val="0000EE"/>
                </w:rPr>
                <w:t>CONTROLS AND PROCEDURES</w:t>
              </w:r>
            </w:hyperlink>
          </w:p>
        </w:tc>
        <w:tc>
          <w:tcPr>
            <w:tcW w:w="1100" w:type="dxa"/>
            <w:vAlign w:val="bottom"/>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163</w:t>
            </w:r>
          </w:p>
        </w:tc>
      </w:tr>
      <w:tr>
        <w:trPr>
          <w:trHeight w:val="277"/>
        </w:trPr>
        <w:tc>
          <w:tcPr>
            <w:tcW w:w="40" w:type="dxa"/>
            <w:vAlign w:val="bottom"/>
          </w:tcPr>
          <w:p>
            <w:pPr>
              <w:spacing w:after="0"/>
              <w:rPr>
                <w:sz w:val="24"/>
                <w:szCs w:val="24"/>
                <w:color w:val="auto"/>
              </w:rPr>
            </w:pPr>
          </w:p>
        </w:tc>
        <w:tc>
          <w:tcPr>
            <w:tcW w:w="740" w:type="dxa"/>
            <w:vAlign w:val="bottom"/>
            <w:tcBorders>
              <w:top w:val="single" w:sz="8" w:color="0000EE"/>
            </w:tcBorders>
            <w:gridSpan w:val="3"/>
          </w:tcPr>
          <w:p>
            <w:pPr>
              <w:spacing w:after="0"/>
              <w:rPr>
                <w:rFonts w:ascii="Arial" w:cs="Arial" w:eastAsia="Arial" w:hAnsi="Arial"/>
                <w:sz w:val="18"/>
                <w:szCs w:val="18"/>
                <w:color w:val="0000EE"/>
                <w:w w:val="95"/>
              </w:rPr>
            </w:pPr>
            <w:hyperlink w:anchor="page167">
              <w:r>
                <w:rPr>
                  <w:rFonts w:ascii="Arial" w:cs="Arial" w:eastAsia="Arial" w:hAnsi="Arial"/>
                  <w:sz w:val="18"/>
                  <w:szCs w:val="18"/>
                  <w:color w:val="0000EE"/>
                  <w:w w:val="95"/>
                </w:rPr>
                <w:t>ITEM 16.</w:t>
              </w:r>
            </w:hyperlink>
          </w:p>
        </w:tc>
        <w:tc>
          <w:tcPr>
            <w:tcW w:w="260" w:type="dxa"/>
            <w:vAlign w:val="bottom"/>
            <w:gridSpan w:val="4"/>
          </w:tcPr>
          <w:p>
            <w:pPr>
              <w:spacing w:after="0"/>
              <w:rPr>
                <w:sz w:val="24"/>
                <w:szCs w:val="24"/>
                <w:color w:val="auto"/>
              </w:rPr>
            </w:pPr>
          </w:p>
        </w:tc>
        <w:tc>
          <w:tcPr>
            <w:tcW w:w="2600" w:type="dxa"/>
            <w:vAlign w:val="bottom"/>
            <w:tcBorders>
              <w:top w:val="single" w:sz="8" w:color="0000EE"/>
            </w:tcBorders>
            <w:gridSpan w:val="11"/>
          </w:tcPr>
          <w:p>
            <w:pPr>
              <w:spacing w:after="0"/>
              <w:rPr>
                <w:rFonts w:ascii="Arial" w:cs="Arial" w:eastAsia="Arial" w:hAnsi="Arial"/>
                <w:sz w:val="18"/>
                <w:szCs w:val="18"/>
                <w:color w:val="0000EE"/>
              </w:rPr>
            </w:pPr>
            <w:hyperlink w:anchor="page167">
              <w:r>
                <w:rPr>
                  <w:rFonts w:ascii="Arial" w:cs="Arial" w:eastAsia="Arial" w:hAnsi="Arial"/>
                  <w:sz w:val="18"/>
                  <w:szCs w:val="18"/>
                  <w:color w:val="0000EE"/>
                </w:rPr>
                <w:t>[RESERVED]</w:t>
              </w:r>
            </w:hyperlink>
          </w:p>
        </w:tc>
        <w:tc>
          <w:tcPr>
            <w:tcW w:w="6360" w:type="dxa"/>
            <w:vAlign w:val="bottom"/>
            <w:gridSpan w:val="14"/>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164</w:t>
            </w:r>
          </w:p>
        </w:tc>
      </w:tr>
      <w:tr>
        <w:trPr>
          <w:trHeight w:val="20"/>
        </w:trPr>
        <w:tc>
          <w:tcPr>
            <w:tcW w:w="40" w:type="dxa"/>
            <w:vAlign w:val="bottom"/>
          </w:tcPr>
          <w:p>
            <w:pPr>
              <w:spacing w:after="0" w:line="20" w:lineRule="exact"/>
              <w:rPr>
                <w:sz w:val="1"/>
                <w:szCs w:val="1"/>
                <w:color w:val="auto"/>
              </w:rPr>
            </w:pPr>
          </w:p>
        </w:tc>
        <w:tc>
          <w:tcPr>
            <w:tcW w:w="740" w:type="dxa"/>
            <w:vAlign w:val="bottom"/>
            <w:gridSpan w:val="3"/>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80" w:type="dxa"/>
            <w:vAlign w:val="bottom"/>
            <w:gridSpan w:val="4"/>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500" w:type="dxa"/>
            <w:vAlign w:val="bottom"/>
            <w:gridSpan w:val="6"/>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860" w:type="dxa"/>
            <w:vAlign w:val="bottom"/>
            <w:tcBorders>
              <w:bottom w:val="single" w:sz="8" w:color="0000EE"/>
            </w:tcBorders>
            <w:gridSpan w:val="6"/>
          </w:tcPr>
          <w:p>
            <w:pPr>
              <w:spacing w:after="0"/>
              <w:rPr>
                <w:rFonts w:ascii="Arial" w:cs="Arial" w:eastAsia="Arial" w:hAnsi="Arial"/>
                <w:sz w:val="18"/>
                <w:szCs w:val="18"/>
                <w:color w:val="0000EE"/>
                <w:w w:val="98"/>
              </w:rPr>
            </w:pPr>
            <w:hyperlink w:anchor="page167">
              <w:r>
                <w:rPr>
                  <w:rFonts w:ascii="Arial" w:cs="Arial" w:eastAsia="Arial" w:hAnsi="Arial"/>
                  <w:sz w:val="18"/>
                  <w:szCs w:val="18"/>
                  <w:color w:val="0000EE"/>
                  <w:w w:val="98"/>
                </w:rPr>
                <w:t>ITEM 16A.</w:t>
              </w:r>
            </w:hyperlink>
          </w:p>
        </w:tc>
        <w:tc>
          <w:tcPr>
            <w:tcW w:w="140" w:type="dxa"/>
            <w:vAlign w:val="bottom"/>
          </w:tcPr>
          <w:p>
            <w:pPr>
              <w:spacing w:after="0"/>
              <w:rPr>
                <w:sz w:val="24"/>
                <w:szCs w:val="24"/>
                <w:color w:val="auto"/>
              </w:rPr>
            </w:pPr>
          </w:p>
        </w:tc>
        <w:tc>
          <w:tcPr>
            <w:tcW w:w="3420" w:type="dxa"/>
            <w:vAlign w:val="bottom"/>
            <w:tcBorders>
              <w:bottom w:val="single" w:sz="8" w:color="0000EE"/>
            </w:tcBorders>
            <w:gridSpan w:val="13"/>
          </w:tcPr>
          <w:p>
            <w:pPr>
              <w:spacing w:after="0"/>
              <w:rPr>
                <w:rFonts w:ascii="Arial" w:cs="Arial" w:eastAsia="Arial" w:hAnsi="Arial"/>
                <w:sz w:val="18"/>
                <w:szCs w:val="18"/>
                <w:color w:val="0000EE"/>
                <w:w w:val="99"/>
              </w:rPr>
            </w:pPr>
            <w:hyperlink w:anchor="page167">
              <w:r>
                <w:rPr>
                  <w:rFonts w:ascii="Arial" w:cs="Arial" w:eastAsia="Arial" w:hAnsi="Arial"/>
                  <w:sz w:val="18"/>
                  <w:szCs w:val="18"/>
                  <w:color w:val="0000EE"/>
                  <w:w w:val="99"/>
                </w:rPr>
                <w:t>AUDIT COMMITTEE FINANCIAL EXPERT</w:t>
              </w:r>
            </w:hyperlink>
          </w:p>
        </w:tc>
        <w:tc>
          <w:tcPr>
            <w:tcW w:w="5540" w:type="dxa"/>
            <w:vAlign w:val="bottom"/>
            <w:gridSpan w:val="12"/>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164</w:t>
            </w:r>
          </w:p>
        </w:tc>
      </w:tr>
      <w:tr>
        <w:trPr>
          <w:trHeight w:val="277"/>
        </w:trPr>
        <w:tc>
          <w:tcPr>
            <w:tcW w:w="40" w:type="dxa"/>
            <w:vAlign w:val="bottom"/>
          </w:tcPr>
          <w:p>
            <w:pPr>
              <w:spacing w:after="0"/>
              <w:rPr>
                <w:sz w:val="24"/>
                <w:szCs w:val="24"/>
                <w:color w:val="auto"/>
              </w:rPr>
            </w:pPr>
          </w:p>
        </w:tc>
        <w:tc>
          <w:tcPr>
            <w:tcW w:w="840" w:type="dxa"/>
            <w:vAlign w:val="bottom"/>
            <w:gridSpan w:val="5"/>
          </w:tcPr>
          <w:p>
            <w:pPr>
              <w:spacing w:after="0"/>
              <w:rPr>
                <w:rFonts w:ascii="Arial" w:cs="Arial" w:eastAsia="Arial" w:hAnsi="Arial"/>
                <w:sz w:val="18"/>
                <w:szCs w:val="18"/>
                <w:color w:val="0000EE"/>
                <w:w w:val="94"/>
              </w:rPr>
            </w:pPr>
            <w:hyperlink w:anchor="page168">
              <w:r>
                <w:rPr>
                  <w:rFonts w:ascii="Arial" w:cs="Arial" w:eastAsia="Arial" w:hAnsi="Arial"/>
                  <w:sz w:val="18"/>
                  <w:szCs w:val="18"/>
                  <w:color w:val="0000EE"/>
                  <w:w w:val="94"/>
                </w:rPr>
                <w:t>ITEM 16B.</w:t>
              </w:r>
            </w:hyperlink>
          </w:p>
        </w:tc>
        <w:tc>
          <w:tcPr>
            <w:tcW w:w="160" w:type="dxa"/>
            <w:vAlign w:val="bottom"/>
            <w:gridSpan w:val="2"/>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68">
              <w:r>
                <w:rPr>
                  <w:rFonts w:ascii="Arial" w:cs="Arial" w:eastAsia="Arial" w:hAnsi="Arial"/>
                  <w:sz w:val="18"/>
                  <w:szCs w:val="18"/>
                  <w:color w:val="0000EE"/>
                </w:rPr>
                <w:t>CODE OF ETHICS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0"/>
        </w:trPr>
        <w:tc>
          <w:tcPr>
            <w:tcW w:w="40" w:type="dxa"/>
            <w:vAlign w:val="bottom"/>
          </w:tcPr>
          <w:p>
            <w:pPr>
              <w:spacing w:after="0" w:line="20" w:lineRule="exact"/>
              <w:rPr>
                <w:sz w:val="1"/>
                <w:szCs w:val="1"/>
                <w:color w:val="auto"/>
              </w:rPr>
            </w:pPr>
          </w:p>
        </w:tc>
        <w:tc>
          <w:tcPr>
            <w:tcW w:w="800" w:type="dxa"/>
            <w:vAlign w:val="bottom"/>
            <w:gridSpan w:val="4"/>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680" w:type="dxa"/>
            <w:vAlign w:val="bottom"/>
            <w:gridSpan w:val="5"/>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500" w:type="dxa"/>
            <w:vAlign w:val="bottom"/>
            <w:gridSpan w:val="6"/>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840" w:type="dxa"/>
            <w:vAlign w:val="bottom"/>
            <w:tcBorders>
              <w:bottom w:val="single" w:sz="8" w:color="0000EE"/>
            </w:tcBorders>
            <w:gridSpan w:val="5"/>
          </w:tcPr>
          <w:p>
            <w:pPr>
              <w:spacing w:after="0"/>
              <w:rPr>
                <w:rFonts w:ascii="Arial" w:cs="Arial" w:eastAsia="Arial" w:hAnsi="Arial"/>
                <w:sz w:val="18"/>
                <w:szCs w:val="18"/>
                <w:color w:val="0000EE"/>
                <w:w w:val="92"/>
              </w:rPr>
            </w:pPr>
            <w:hyperlink w:anchor="page168">
              <w:r>
                <w:rPr>
                  <w:rFonts w:ascii="Arial" w:cs="Arial" w:eastAsia="Arial" w:hAnsi="Arial"/>
                  <w:sz w:val="18"/>
                  <w:szCs w:val="18"/>
                  <w:color w:val="0000EE"/>
                  <w:w w:val="92"/>
                </w:rPr>
                <w:t>ITEM 16C.</w:t>
              </w:r>
            </w:hyperlink>
          </w:p>
        </w:tc>
        <w:tc>
          <w:tcPr>
            <w:tcW w:w="160" w:type="dxa"/>
            <w:vAlign w:val="bottom"/>
            <w:gridSpan w:val="2"/>
          </w:tcPr>
          <w:p>
            <w:pPr>
              <w:spacing w:after="0"/>
              <w:rPr>
                <w:sz w:val="24"/>
                <w:szCs w:val="24"/>
                <w:color w:val="auto"/>
              </w:rPr>
            </w:pPr>
          </w:p>
        </w:tc>
        <w:tc>
          <w:tcPr>
            <w:tcW w:w="4020" w:type="dxa"/>
            <w:vAlign w:val="bottom"/>
            <w:tcBorders>
              <w:bottom w:val="single" w:sz="8" w:color="0000EE"/>
            </w:tcBorders>
            <w:gridSpan w:val="14"/>
          </w:tcPr>
          <w:p>
            <w:pPr>
              <w:spacing w:after="0"/>
              <w:rPr>
                <w:rFonts w:ascii="Arial" w:cs="Arial" w:eastAsia="Arial" w:hAnsi="Arial"/>
                <w:sz w:val="18"/>
                <w:szCs w:val="18"/>
                <w:color w:val="0000EE"/>
                <w:w w:val="95"/>
              </w:rPr>
            </w:pPr>
            <w:hyperlink w:anchor="page168">
              <w:r>
                <w:rPr>
                  <w:rFonts w:ascii="Arial" w:cs="Arial" w:eastAsia="Arial" w:hAnsi="Arial"/>
                  <w:sz w:val="18"/>
                  <w:szCs w:val="18"/>
                  <w:color w:val="0000EE"/>
                  <w:w w:val="95"/>
                </w:rPr>
                <w:t>PRINCIPAL ACCOUNTANT FEES AND SERVICES</w:t>
              </w:r>
            </w:hyperlink>
          </w:p>
        </w:tc>
        <w:tc>
          <w:tcPr>
            <w:tcW w:w="4940" w:type="dxa"/>
            <w:vAlign w:val="bottom"/>
            <w:gridSpan w:val="11"/>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77"/>
        </w:trPr>
        <w:tc>
          <w:tcPr>
            <w:tcW w:w="40" w:type="dxa"/>
            <w:vAlign w:val="bottom"/>
          </w:tcPr>
          <w:p>
            <w:pPr>
              <w:spacing w:after="0"/>
              <w:rPr>
                <w:sz w:val="24"/>
                <w:szCs w:val="24"/>
                <w:color w:val="auto"/>
              </w:rPr>
            </w:pPr>
          </w:p>
        </w:tc>
        <w:tc>
          <w:tcPr>
            <w:tcW w:w="86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168">
              <w:r>
                <w:rPr>
                  <w:rFonts w:ascii="Arial" w:cs="Arial" w:eastAsia="Arial" w:hAnsi="Arial"/>
                  <w:sz w:val="18"/>
                  <w:szCs w:val="18"/>
                  <w:color w:val="0000EE"/>
                  <w:w w:val="97"/>
                </w:rPr>
                <w:t>ITEM 16D.</w:t>
              </w:r>
            </w:hyperlink>
          </w:p>
        </w:tc>
        <w:tc>
          <w:tcPr>
            <w:tcW w:w="140" w:type="dxa"/>
            <w:vAlign w:val="bottom"/>
          </w:tcPr>
          <w:p>
            <w:pPr>
              <w:spacing w:after="0"/>
              <w:rPr>
                <w:sz w:val="24"/>
                <w:szCs w:val="24"/>
                <w:color w:val="auto"/>
              </w:rPr>
            </w:pPr>
          </w:p>
        </w:tc>
        <w:tc>
          <w:tcPr>
            <w:tcW w:w="6220" w:type="dxa"/>
            <w:vAlign w:val="bottom"/>
            <w:tcBorders>
              <w:bottom w:val="single" w:sz="8" w:color="0000EE"/>
            </w:tcBorders>
            <w:gridSpan w:val="22"/>
          </w:tcPr>
          <w:p>
            <w:pPr>
              <w:spacing w:after="0"/>
              <w:rPr>
                <w:rFonts w:ascii="Arial" w:cs="Arial" w:eastAsia="Arial" w:hAnsi="Arial"/>
                <w:sz w:val="18"/>
                <w:szCs w:val="18"/>
                <w:color w:val="0000EE"/>
                <w:w w:val="96"/>
              </w:rPr>
            </w:pPr>
            <w:hyperlink w:anchor="page168">
              <w:r>
                <w:rPr>
                  <w:rFonts w:ascii="Arial" w:cs="Arial" w:eastAsia="Arial" w:hAnsi="Arial"/>
                  <w:sz w:val="18"/>
                  <w:szCs w:val="18"/>
                  <w:color w:val="0000EE"/>
                  <w:w w:val="96"/>
                </w:rPr>
                <w:t>EXEMPTIONS FROM THE LISTING STANDARDS FOR AUDIT COMMITTEES.</w:t>
              </w:r>
            </w:hyperlink>
          </w:p>
        </w:tc>
        <w:tc>
          <w:tcPr>
            <w:tcW w:w="2740" w:type="dxa"/>
            <w:vAlign w:val="bottom"/>
            <w:gridSpan w:val="3"/>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77"/>
        </w:trPr>
        <w:tc>
          <w:tcPr>
            <w:tcW w:w="40" w:type="dxa"/>
            <w:vAlign w:val="bottom"/>
          </w:tcPr>
          <w:p>
            <w:pPr>
              <w:spacing w:after="0"/>
              <w:rPr>
                <w:sz w:val="24"/>
                <w:szCs w:val="24"/>
                <w:color w:val="auto"/>
              </w:rPr>
            </w:pPr>
          </w:p>
        </w:tc>
        <w:tc>
          <w:tcPr>
            <w:tcW w:w="1000" w:type="dxa"/>
            <w:vAlign w:val="bottom"/>
            <w:gridSpan w:val="7"/>
          </w:tcPr>
          <w:p>
            <w:pPr>
              <w:spacing w:after="0"/>
              <w:rPr>
                <w:rFonts w:ascii="Arial" w:cs="Arial" w:eastAsia="Arial" w:hAnsi="Arial"/>
                <w:sz w:val="18"/>
                <w:szCs w:val="18"/>
                <w:color w:val="0000EE"/>
              </w:rPr>
            </w:pPr>
            <w:hyperlink w:anchor="page168">
              <w:r>
                <w:rPr>
                  <w:rFonts w:ascii="Arial" w:cs="Arial" w:eastAsia="Arial" w:hAnsi="Arial"/>
                  <w:sz w:val="18"/>
                  <w:szCs w:val="18"/>
                  <w:color w:val="0000EE"/>
                </w:rPr>
                <w:t>ITEM 16E.</w:t>
              </w:r>
            </w:hyperlink>
          </w:p>
        </w:tc>
        <w:tc>
          <w:tcPr>
            <w:tcW w:w="8960" w:type="dxa"/>
            <w:vAlign w:val="bottom"/>
            <w:gridSpan w:val="25"/>
          </w:tcPr>
          <w:p>
            <w:pPr>
              <w:spacing w:after="0"/>
              <w:rPr>
                <w:rFonts w:ascii="Arial" w:cs="Arial" w:eastAsia="Arial" w:hAnsi="Arial"/>
                <w:sz w:val="18"/>
                <w:szCs w:val="18"/>
                <w:color w:val="0000EE"/>
              </w:rPr>
            </w:pPr>
            <w:hyperlink w:anchor="page168">
              <w:r>
                <w:rPr>
                  <w:rFonts w:ascii="Arial" w:cs="Arial" w:eastAsia="Arial" w:hAnsi="Arial"/>
                  <w:sz w:val="18"/>
                  <w:szCs w:val="18"/>
                  <w:color w:val="0000EE"/>
                </w:rPr>
                <w:t>PURCHASES OF EQUITY SECURITIES BY THE ISSUER AND AFFILIATED PURCHASERS.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77"/>
        </w:trPr>
        <w:tc>
          <w:tcPr>
            <w:tcW w:w="40" w:type="dxa"/>
            <w:vAlign w:val="bottom"/>
          </w:tcPr>
          <w:p>
            <w:pPr>
              <w:spacing w:after="0"/>
              <w:rPr>
                <w:sz w:val="24"/>
                <w:szCs w:val="24"/>
                <w:color w:val="auto"/>
              </w:rPr>
            </w:pPr>
          </w:p>
        </w:tc>
        <w:tc>
          <w:tcPr>
            <w:tcW w:w="840" w:type="dxa"/>
            <w:vAlign w:val="bottom"/>
            <w:tcBorders>
              <w:top w:val="single" w:sz="8" w:color="0000EE"/>
            </w:tcBorders>
            <w:gridSpan w:val="5"/>
          </w:tcPr>
          <w:p>
            <w:pPr>
              <w:spacing w:after="0"/>
              <w:rPr>
                <w:rFonts w:ascii="Arial" w:cs="Arial" w:eastAsia="Arial" w:hAnsi="Arial"/>
                <w:sz w:val="18"/>
                <w:szCs w:val="18"/>
                <w:color w:val="0000EE"/>
                <w:w w:val="95"/>
              </w:rPr>
            </w:pPr>
            <w:hyperlink w:anchor="page168">
              <w:r>
                <w:rPr>
                  <w:rFonts w:ascii="Arial" w:cs="Arial" w:eastAsia="Arial" w:hAnsi="Arial"/>
                  <w:sz w:val="18"/>
                  <w:szCs w:val="18"/>
                  <w:color w:val="0000EE"/>
                  <w:w w:val="95"/>
                </w:rPr>
                <w:t>ITEM 16F.</w:t>
              </w:r>
            </w:hyperlink>
          </w:p>
        </w:tc>
        <w:tc>
          <w:tcPr>
            <w:tcW w:w="160" w:type="dxa"/>
            <w:vAlign w:val="bottom"/>
            <w:gridSpan w:val="2"/>
          </w:tcPr>
          <w:p>
            <w:pPr>
              <w:spacing w:after="0"/>
              <w:rPr>
                <w:sz w:val="24"/>
                <w:szCs w:val="24"/>
                <w:color w:val="auto"/>
              </w:rPr>
            </w:pPr>
          </w:p>
        </w:tc>
        <w:tc>
          <w:tcPr>
            <w:tcW w:w="7200" w:type="dxa"/>
            <w:vAlign w:val="bottom"/>
            <w:tcBorders>
              <w:top w:val="single" w:sz="8" w:color="0000EE"/>
            </w:tcBorders>
            <w:gridSpan w:val="23"/>
          </w:tcPr>
          <w:p>
            <w:pPr>
              <w:spacing w:after="0"/>
              <w:rPr>
                <w:rFonts w:ascii="Arial" w:cs="Arial" w:eastAsia="Arial" w:hAnsi="Arial"/>
                <w:sz w:val="18"/>
                <w:szCs w:val="18"/>
                <w:color w:val="0000EE"/>
              </w:rPr>
            </w:pPr>
            <w:hyperlink w:anchor="page168">
              <w:r>
                <w:rPr>
                  <w:rFonts w:ascii="Arial" w:cs="Arial" w:eastAsia="Arial" w:hAnsi="Arial"/>
                  <w:sz w:val="18"/>
                  <w:szCs w:val="18"/>
                  <w:color w:val="0000EE"/>
                </w:rPr>
                <w:t>CHANGE IN REGISTRANT’S CERTIFYING ACCOUNTANT.</w:t>
              </w:r>
            </w:hyperlink>
          </w:p>
        </w:tc>
        <w:tc>
          <w:tcPr>
            <w:tcW w:w="1760" w:type="dxa"/>
            <w:vAlign w:val="bottom"/>
            <w:gridSpan w:val="2"/>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165</w:t>
            </w:r>
          </w:p>
        </w:tc>
      </w:tr>
      <w:tr>
        <w:trPr>
          <w:trHeight w:val="20"/>
        </w:trPr>
        <w:tc>
          <w:tcPr>
            <w:tcW w:w="40" w:type="dxa"/>
            <w:vAlign w:val="bottom"/>
          </w:tcPr>
          <w:p>
            <w:pPr>
              <w:spacing w:after="0" w:line="20" w:lineRule="exact"/>
              <w:rPr>
                <w:sz w:val="1"/>
                <w:szCs w:val="1"/>
                <w:color w:val="auto"/>
              </w:rPr>
            </w:pPr>
          </w:p>
        </w:tc>
        <w:tc>
          <w:tcPr>
            <w:tcW w:w="800" w:type="dxa"/>
            <w:vAlign w:val="bottom"/>
            <w:gridSpan w:val="4"/>
            <w:shd w:val="clear" w:color="auto" w:fill="0000EE"/>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380" w:type="dxa"/>
            <w:vAlign w:val="bottom"/>
            <w:gridSpan w:val="7"/>
            <w:shd w:val="clear" w:color="auto" w:fill="0000EE"/>
          </w:tcPr>
          <w:p>
            <w:pPr>
              <w:spacing w:after="0" w:line="20" w:lineRule="exact"/>
              <w:rPr>
                <w:sz w:val="1"/>
                <w:szCs w:val="1"/>
                <w:color w:val="auto"/>
              </w:rPr>
            </w:pPr>
          </w:p>
        </w:tc>
        <w:tc>
          <w:tcPr>
            <w:tcW w:w="4240" w:type="dxa"/>
            <w:vAlign w:val="bottom"/>
            <w:gridSpan w:val="9"/>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860" w:type="dxa"/>
            <w:vAlign w:val="bottom"/>
            <w:gridSpan w:val="6"/>
          </w:tcPr>
          <w:p>
            <w:pPr>
              <w:spacing w:after="0"/>
              <w:rPr>
                <w:rFonts w:ascii="Arial" w:cs="Arial" w:eastAsia="Arial" w:hAnsi="Arial"/>
                <w:sz w:val="18"/>
                <w:szCs w:val="18"/>
                <w:color w:val="0000EE"/>
                <w:w w:val="96"/>
              </w:rPr>
            </w:pPr>
            <w:hyperlink w:anchor="page169">
              <w:r>
                <w:rPr>
                  <w:rFonts w:ascii="Arial" w:cs="Arial" w:eastAsia="Arial" w:hAnsi="Arial"/>
                  <w:sz w:val="18"/>
                  <w:szCs w:val="18"/>
                  <w:color w:val="0000EE"/>
                  <w:w w:val="96"/>
                </w:rPr>
                <w:t>ITEM 16G.</w:t>
              </w:r>
            </w:hyperlink>
          </w:p>
        </w:tc>
        <w:tc>
          <w:tcPr>
            <w:tcW w:w="140" w:type="dxa"/>
            <w:vAlign w:val="bottom"/>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69">
              <w:r>
                <w:rPr>
                  <w:rFonts w:ascii="Arial" w:cs="Arial" w:eastAsia="Arial" w:hAnsi="Arial"/>
                  <w:sz w:val="18"/>
                  <w:szCs w:val="18"/>
                  <w:color w:val="0000EE"/>
                </w:rPr>
                <w:t>CORPORATE GOVERNANCE</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166</w:t>
            </w:r>
          </w:p>
        </w:tc>
      </w:tr>
      <w:tr>
        <w:trPr>
          <w:trHeight w:val="20"/>
        </w:trPr>
        <w:tc>
          <w:tcPr>
            <w:tcW w:w="40" w:type="dxa"/>
            <w:vAlign w:val="bottom"/>
          </w:tcPr>
          <w:p>
            <w:pPr>
              <w:spacing w:after="0" w:line="20" w:lineRule="exact"/>
              <w:rPr>
                <w:sz w:val="1"/>
                <w:szCs w:val="1"/>
                <w:color w:val="auto"/>
              </w:rPr>
            </w:pPr>
          </w:p>
        </w:tc>
        <w:tc>
          <w:tcPr>
            <w:tcW w:w="860" w:type="dxa"/>
            <w:vAlign w:val="bottom"/>
            <w:gridSpan w:val="6"/>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620" w:type="dxa"/>
            <w:vAlign w:val="bottom"/>
            <w:gridSpan w:val="16"/>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860" w:type="dxa"/>
            <w:vAlign w:val="bottom"/>
            <w:gridSpan w:val="6"/>
          </w:tcPr>
          <w:p>
            <w:pPr>
              <w:spacing w:after="0"/>
              <w:rPr>
                <w:rFonts w:ascii="Arial" w:cs="Arial" w:eastAsia="Arial" w:hAnsi="Arial"/>
                <w:sz w:val="18"/>
                <w:szCs w:val="18"/>
                <w:color w:val="0000EE"/>
                <w:w w:val="97"/>
              </w:rPr>
            </w:pPr>
            <w:hyperlink w:anchor="page170">
              <w:r>
                <w:rPr>
                  <w:rFonts w:ascii="Arial" w:cs="Arial" w:eastAsia="Arial" w:hAnsi="Arial"/>
                  <w:sz w:val="18"/>
                  <w:szCs w:val="18"/>
                  <w:color w:val="0000EE"/>
                  <w:w w:val="97"/>
                </w:rPr>
                <w:t>ITEM 16H.</w:t>
              </w:r>
            </w:hyperlink>
          </w:p>
        </w:tc>
        <w:tc>
          <w:tcPr>
            <w:tcW w:w="140" w:type="dxa"/>
            <w:vAlign w:val="bottom"/>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70">
              <w:r>
                <w:rPr>
                  <w:rFonts w:ascii="Arial" w:cs="Arial" w:eastAsia="Arial" w:hAnsi="Arial"/>
                  <w:sz w:val="18"/>
                  <w:szCs w:val="18"/>
                  <w:color w:val="0000EE"/>
                </w:rPr>
                <w:t>MINE SAFETY DISCLOSURE</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77"/>
        </w:trPr>
        <w:tc>
          <w:tcPr>
            <w:tcW w:w="40" w:type="dxa"/>
            <w:vAlign w:val="bottom"/>
          </w:tcPr>
          <w:p>
            <w:pPr>
              <w:spacing w:after="0"/>
              <w:rPr>
                <w:sz w:val="24"/>
                <w:szCs w:val="24"/>
                <w:color w:val="auto"/>
              </w:rPr>
            </w:pPr>
          </w:p>
        </w:tc>
        <w:tc>
          <w:tcPr>
            <w:tcW w:w="74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95"/>
              </w:rPr>
            </w:pPr>
            <w:hyperlink w:anchor="page170">
              <w:r>
                <w:rPr>
                  <w:rFonts w:ascii="Arial" w:cs="Arial" w:eastAsia="Arial" w:hAnsi="Arial"/>
                  <w:sz w:val="18"/>
                  <w:szCs w:val="18"/>
                  <w:color w:val="0000EE"/>
                  <w:w w:val="95"/>
                </w:rPr>
                <w:t>ITEM 17.</w:t>
              </w:r>
            </w:hyperlink>
          </w:p>
        </w:tc>
        <w:tc>
          <w:tcPr>
            <w:tcW w:w="120" w:type="dxa"/>
            <w:vAlign w:val="bottom"/>
            <w:tcBorders>
              <w:top w:val="single" w:sz="8" w:color="0000EE"/>
            </w:tcBorders>
            <w:gridSpan w:val="3"/>
          </w:tcPr>
          <w:p>
            <w:pPr>
              <w:spacing w:after="0"/>
              <w:rPr>
                <w:sz w:val="24"/>
                <w:szCs w:val="24"/>
                <w:color w:val="auto"/>
              </w:rPr>
            </w:pPr>
          </w:p>
        </w:tc>
        <w:tc>
          <w:tcPr>
            <w:tcW w:w="140" w:type="dxa"/>
            <w:vAlign w:val="bottom"/>
          </w:tcPr>
          <w:p>
            <w:pPr>
              <w:spacing w:after="0"/>
              <w:rPr>
                <w:sz w:val="24"/>
                <w:szCs w:val="24"/>
                <w:color w:val="auto"/>
              </w:rPr>
            </w:pPr>
          </w:p>
        </w:tc>
        <w:tc>
          <w:tcPr>
            <w:tcW w:w="216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97"/>
              </w:rPr>
            </w:pPr>
            <w:hyperlink w:anchor="page170">
              <w:r>
                <w:rPr>
                  <w:rFonts w:ascii="Arial" w:cs="Arial" w:eastAsia="Arial" w:hAnsi="Arial"/>
                  <w:sz w:val="18"/>
                  <w:szCs w:val="18"/>
                  <w:color w:val="0000EE"/>
                  <w:w w:val="97"/>
                </w:rPr>
                <w:t>FINANCIAL STATEMENTS</w:t>
              </w:r>
            </w:hyperlink>
          </w:p>
        </w:tc>
        <w:tc>
          <w:tcPr>
            <w:tcW w:w="180" w:type="dxa"/>
            <w:vAlign w:val="bottom"/>
            <w:tcBorders>
              <w:top w:val="single" w:sz="8" w:color="0000EE"/>
            </w:tcBorders>
            <w:gridSpan w:val="2"/>
          </w:tcPr>
          <w:p>
            <w:pPr>
              <w:spacing w:after="0"/>
              <w:rPr>
                <w:sz w:val="24"/>
                <w:szCs w:val="24"/>
                <w:color w:val="auto"/>
              </w:rPr>
            </w:pPr>
          </w:p>
        </w:tc>
        <w:tc>
          <w:tcPr>
            <w:tcW w:w="6620" w:type="dxa"/>
            <w:vAlign w:val="bottom"/>
            <w:gridSpan w:val="16"/>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77"/>
        </w:trPr>
        <w:tc>
          <w:tcPr>
            <w:tcW w:w="40" w:type="dxa"/>
            <w:vAlign w:val="bottom"/>
          </w:tcPr>
          <w:p>
            <w:pPr>
              <w:spacing w:after="0"/>
              <w:rPr>
                <w:sz w:val="24"/>
                <w:szCs w:val="24"/>
                <w:color w:val="auto"/>
              </w:rPr>
            </w:pPr>
          </w:p>
        </w:tc>
        <w:tc>
          <w:tcPr>
            <w:tcW w:w="740" w:type="dxa"/>
            <w:vAlign w:val="bottom"/>
            <w:tcBorders>
              <w:bottom w:val="single" w:sz="8" w:color="0000EE"/>
            </w:tcBorders>
            <w:gridSpan w:val="3"/>
          </w:tcPr>
          <w:p>
            <w:pPr>
              <w:spacing w:after="0"/>
              <w:rPr>
                <w:rFonts w:ascii="Arial" w:cs="Arial" w:eastAsia="Arial" w:hAnsi="Arial"/>
                <w:sz w:val="18"/>
                <w:szCs w:val="18"/>
                <w:color w:val="0000EE"/>
                <w:w w:val="95"/>
              </w:rPr>
            </w:pPr>
            <w:hyperlink w:anchor="page170">
              <w:r>
                <w:rPr>
                  <w:rFonts w:ascii="Arial" w:cs="Arial" w:eastAsia="Arial" w:hAnsi="Arial"/>
                  <w:sz w:val="18"/>
                  <w:szCs w:val="18"/>
                  <w:color w:val="0000EE"/>
                  <w:w w:val="95"/>
                </w:rPr>
                <w:t>ITEM 18.</w:t>
              </w:r>
            </w:hyperlink>
          </w:p>
        </w:tc>
        <w:tc>
          <w:tcPr>
            <w:tcW w:w="260" w:type="dxa"/>
            <w:vAlign w:val="bottom"/>
            <w:gridSpan w:val="4"/>
          </w:tcPr>
          <w:p>
            <w:pPr>
              <w:spacing w:after="0"/>
              <w:rPr>
                <w:sz w:val="24"/>
                <w:szCs w:val="24"/>
                <w:color w:val="auto"/>
              </w:rPr>
            </w:pPr>
          </w:p>
        </w:tc>
        <w:tc>
          <w:tcPr>
            <w:tcW w:w="2160" w:type="dxa"/>
            <w:vAlign w:val="bottom"/>
            <w:tcBorders>
              <w:bottom w:val="single" w:sz="8" w:color="0000EE"/>
            </w:tcBorders>
            <w:gridSpan w:val="7"/>
          </w:tcPr>
          <w:p>
            <w:pPr>
              <w:spacing w:after="0"/>
              <w:rPr>
                <w:rFonts w:ascii="Arial" w:cs="Arial" w:eastAsia="Arial" w:hAnsi="Arial"/>
                <w:sz w:val="18"/>
                <w:szCs w:val="18"/>
                <w:color w:val="0000EE"/>
                <w:w w:val="97"/>
              </w:rPr>
            </w:pPr>
            <w:hyperlink w:anchor="page170">
              <w:r>
                <w:rPr>
                  <w:rFonts w:ascii="Arial" w:cs="Arial" w:eastAsia="Arial" w:hAnsi="Arial"/>
                  <w:sz w:val="18"/>
                  <w:szCs w:val="18"/>
                  <w:color w:val="0000EE"/>
                  <w:w w:val="97"/>
                </w:rPr>
                <w:t>FINANCIAL STATEMENTS</w:t>
              </w:r>
            </w:hyperlink>
          </w:p>
        </w:tc>
        <w:tc>
          <w:tcPr>
            <w:tcW w:w="6800" w:type="dxa"/>
            <w:vAlign w:val="bottom"/>
            <w:gridSpan w:val="18"/>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77"/>
        </w:trPr>
        <w:tc>
          <w:tcPr>
            <w:tcW w:w="40" w:type="dxa"/>
            <w:vAlign w:val="bottom"/>
          </w:tcPr>
          <w:p>
            <w:pPr>
              <w:spacing w:after="0"/>
              <w:rPr>
                <w:sz w:val="24"/>
                <w:szCs w:val="24"/>
                <w:color w:val="auto"/>
              </w:rPr>
            </w:pPr>
          </w:p>
        </w:tc>
        <w:tc>
          <w:tcPr>
            <w:tcW w:w="740" w:type="dxa"/>
            <w:vAlign w:val="bottom"/>
            <w:gridSpan w:val="3"/>
          </w:tcPr>
          <w:p>
            <w:pPr>
              <w:spacing w:after="0"/>
              <w:rPr>
                <w:rFonts w:ascii="Arial" w:cs="Arial" w:eastAsia="Arial" w:hAnsi="Arial"/>
                <w:sz w:val="18"/>
                <w:szCs w:val="18"/>
                <w:color w:val="0000EE"/>
                <w:w w:val="95"/>
              </w:rPr>
            </w:pPr>
            <w:hyperlink w:anchor="page170">
              <w:r>
                <w:rPr>
                  <w:rFonts w:ascii="Arial" w:cs="Arial" w:eastAsia="Arial" w:hAnsi="Arial"/>
                  <w:sz w:val="18"/>
                  <w:szCs w:val="18"/>
                  <w:color w:val="0000EE"/>
                  <w:w w:val="95"/>
                </w:rPr>
                <w:t>ITEM 19.</w:t>
              </w:r>
            </w:hyperlink>
          </w:p>
        </w:tc>
        <w:tc>
          <w:tcPr>
            <w:tcW w:w="260" w:type="dxa"/>
            <w:vAlign w:val="bottom"/>
            <w:gridSpan w:val="4"/>
          </w:tcPr>
          <w:p>
            <w:pPr>
              <w:spacing w:after="0"/>
              <w:rPr>
                <w:sz w:val="24"/>
                <w:szCs w:val="24"/>
                <w:color w:val="auto"/>
              </w:rPr>
            </w:pPr>
          </w:p>
        </w:tc>
        <w:tc>
          <w:tcPr>
            <w:tcW w:w="8960" w:type="dxa"/>
            <w:vAlign w:val="bottom"/>
            <w:gridSpan w:val="25"/>
          </w:tcPr>
          <w:p>
            <w:pPr>
              <w:spacing w:after="0"/>
              <w:rPr>
                <w:rFonts w:ascii="Arial" w:cs="Arial" w:eastAsia="Arial" w:hAnsi="Arial"/>
                <w:sz w:val="18"/>
                <w:szCs w:val="18"/>
                <w:color w:val="0000EE"/>
              </w:rPr>
            </w:pPr>
            <w:hyperlink w:anchor="page170">
              <w:r>
                <w:rPr>
                  <w:rFonts w:ascii="Arial" w:cs="Arial" w:eastAsia="Arial" w:hAnsi="Arial"/>
                  <w:sz w:val="18"/>
                  <w:szCs w:val="18"/>
                  <w:color w:val="0000EE"/>
                </w:rPr>
                <w:t>EXHIBITS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167</w:t>
            </w:r>
          </w:p>
        </w:tc>
      </w:tr>
      <w:tr>
        <w:trPr>
          <w:trHeight w:val="20"/>
        </w:trPr>
        <w:tc>
          <w:tcPr>
            <w:tcW w:w="40" w:type="dxa"/>
            <w:vAlign w:val="bottom"/>
          </w:tcPr>
          <w:p>
            <w:pPr>
              <w:spacing w:after="0" w:line="20" w:lineRule="exact"/>
              <w:rPr>
                <w:sz w:val="1"/>
                <w:szCs w:val="1"/>
                <w:color w:val="auto"/>
              </w:rPr>
            </w:pPr>
          </w:p>
        </w:tc>
        <w:tc>
          <w:tcPr>
            <w:tcW w:w="740" w:type="dxa"/>
            <w:vAlign w:val="bottom"/>
            <w:gridSpan w:val="3"/>
            <w:shd w:val="clear" w:color="auto" w:fill="0000EE"/>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8140" w:type="dxa"/>
            <w:vAlign w:val="bottom"/>
            <w:gridSpan w:val="2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340" w:type="dxa"/>
            <w:vAlign w:val="bottom"/>
            <w:tcBorders>
              <w:bottom w:val="single" w:sz="8" w:color="0000EE"/>
            </w:tcBorders>
            <w:gridSpan w:val="8"/>
          </w:tcPr>
          <w:p>
            <w:pPr>
              <w:spacing w:after="0"/>
              <w:rPr>
                <w:rFonts w:ascii="Arial" w:cs="Arial" w:eastAsia="Arial" w:hAnsi="Arial"/>
                <w:sz w:val="18"/>
                <w:szCs w:val="18"/>
                <w:color w:val="0000EE"/>
              </w:rPr>
            </w:pPr>
            <w:hyperlink w:anchor="page171">
              <w:r>
                <w:rPr>
                  <w:rFonts w:ascii="Arial" w:cs="Arial" w:eastAsia="Arial" w:hAnsi="Arial"/>
                  <w:sz w:val="18"/>
                  <w:szCs w:val="18"/>
                  <w:color w:val="0000EE"/>
                </w:rPr>
                <w:t>EXHIBIT INDEX</w:t>
              </w:r>
            </w:hyperlink>
          </w:p>
        </w:tc>
        <w:tc>
          <w:tcPr>
            <w:tcW w:w="8620" w:type="dxa"/>
            <w:vAlign w:val="bottom"/>
            <w:gridSpan w:val="24"/>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168</w:t>
            </w:r>
          </w:p>
        </w:tc>
      </w:tr>
      <w:tr>
        <w:trPr>
          <w:trHeight w:val="966"/>
        </w:trPr>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720" w:type="dxa"/>
            <w:vAlign w:val="bottom"/>
            <w:gridSpan w:val="16"/>
          </w:tcPr>
          <w:p>
            <w:pPr>
              <w:ind w:left="4620"/>
              <w:spacing w:after="0"/>
              <w:rPr>
                <w:sz w:val="20"/>
                <w:szCs w:val="20"/>
                <w:color w:val="auto"/>
              </w:rPr>
            </w:pPr>
            <w:r>
              <w:rPr>
                <w:rFonts w:ascii="Arial" w:cs="Arial" w:eastAsia="Arial" w:hAnsi="Arial"/>
                <w:sz w:val="18"/>
                <w:szCs w:val="18"/>
                <w:color w:val="auto"/>
                <w:w w:val="79"/>
              </w:rPr>
              <w:t>1</w:t>
            </w: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61"/>
        </w:trPr>
        <w:tc>
          <w:tcPr>
            <w:tcW w:w="4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121"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INTRODUCTION</w:t>
      </w:r>
    </w:p>
    <w:p>
      <w:pPr>
        <w:spacing w:after="0" w:line="283" w:lineRule="exact"/>
        <w:rPr>
          <w:sz w:val="20"/>
          <w:szCs w:val="20"/>
          <w:color w:val="auto"/>
        </w:rPr>
      </w:pPr>
    </w:p>
    <w:p>
      <w:pPr>
        <w:jc w:val="both"/>
        <w:ind w:firstLine="383"/>
        <w:spacing w:after="0" w:line="276" w:lineRule="auto"/>
        <w:rPr>
          <w:sz w:val="20"/>
          <w:szCs w:val="20"/>
          <w:color w:val="auto"/>
        </w:rPr>
      </w:pPr>
      <w:r>
        <w:rPr>
          <w:rFonts w:ascii="Arial" w:cs="Arial" w:eastAsia="Arial" w:hAnsi="Arial"/>
          <w:sz w:val="17"/>
          <w:szCs w:val="17"/>
          <w:color w:val="auto"/>
        </w:rPr>
        <w:t>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annual report are translated using the rate of NIS 3.7480, NIS 3.467 and NIS 3.845 to $1.00, based on the exchange rates reported by the Bank of Israel on December 31, 2018, December 31, 2017 and December 31, 2016, respectively.</w:t>
      </w:r>
    </w:p>
    <w:p>
      <w:pPr>
        <w:spacing w:after="0" w:line="227" w:lineRule="exact"/>
        <w:rPr>
          <w:sz w:val="20"/>
          <w:szCs w:val="20"/>
          <w:color w:val="auto"/>
        </w:rPr>
      </w:pPr>
    </w:p>
    <w:p>
      <w:pPr>
        <w:ind w:left="400"/>
        <w:spacing w:after="0"/>
        <w:rPr>
          <w:sz w:val="20"/>
          <w:szCs w:val="20"/>
          <w:color w:val="auto"/>
        </w:rPr>
      </w:pPr>
      <w:r>
        <w:rPr>
          <w:rFonts w:ascii="Arial" w:cs="Arial" w:eastAsia="Arial" w:hAnsi="Arial"/>
          <w:sz w:val="18"/>
          <w:szCs w:val="18"/>
          <w:color w:val="auto"/>
        </w:rPr>
        <w:t>All references to the term “product candidates” include both branded product candidates and generic product candidates.</w:t>
      </w:r>
    </w:p>
    <w:p>
      <w:pPr>
        <w:spacing w:after="0" w:line="279" w:lineRule="exact"/>
        <w:rPr>
          <w:sz w:val="20"/>
          <w:szCs w:val="20"/>
          <w:color w:val="auto"/>
        </w:rPr>
      </w:pPr>
    </w:p>
    <w:p>
      <w:pPr>
        <w:jc w:val="both"/>
        <w:ind w:firstLine="383"/>
        <w:spacing w:after="0" w:line="273" w:lineRule="auto"/>
        <w:rPr>
          <w:sz w:val="20"/>
          <w:szCs w:val="20"/>
          <w:color w:val="auto"/>
        </w:rPr>
      </w:pPr>
      <w:r>
        <w:rPr>
          <w:rFonts w:ascii="Arial" w:cs="Arial" w:eastAsia="Arial" w:hAnsi="Arial"/>
          <w:sz w:val="17"/>
          <w:szCs w:val="17"/>
          <w:color w:val="auto"/>
        </w:rPr>
        <w:t>Solely for convenience, the trademarks, service marks, and trade names referred to in this annual report are without the ® and ™ symbols, but such references are not intended to indicate, in any way, that we will not assert, to the fullest extent under applicable law, our rights or the rights of the applicable licensors to these trademarks, service marks and trade names. This annual report contains additional trademarks, service marks and trade names of others, which are the property of their respective owners. All trademarks, service marks and trade names appearing in this annual report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33" w:lineRule="exact"/>
        <w:rPr>
          <w:sz w:val="20"/>
          <w:szCs w:val="20"/>
          <w:color w:val="auto"/>
        </w:rPr>
      </w:pPr>
    </w:p>
    <w:p>
      <w:pPr>
        <w:jc w:val="both"/>
        <w:ind w:firstLine="383"/>
        <w:spacing w:after="0" w:line="253" w:lineRule="auto"/>
        <w:rPr>
          <w:sz w:val="20"/>
          <w:szCs w:val="20"/>
          <w:color w:val="auto"/>
        </w:rPr>
      </w:pPr>
      <w:r>
        <w:rPr>
          <w:rFonts w:ascii="Arial" w:cs="Arial" w:eastAsia="Arial" w:hAnsi="Arial"/>
          <w:sz w:val="18"/>
          <w:szCs w:val="18"/>
          <w:color w:val="auto"/>
        </w:rPr>
        <w:t>This annual report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annual report should be viewed with caution. We believe that information from these industry publications included in this annual report is reliable.</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FORWARD-LOOKING STATEMENTS</w:t>
      </w:r>
    </w:p>
    <w:p>
      <w:pPr>
        <w:spacing w:after="0" w:line="28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make forward-looking statements in this annual report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32" w:lineRule="exact"/>
        <w:rPr>
          <w:sz w:val="20"/>
          <w:szCs w:val="20"/>
          <w:color w:val="auto"/>
        </w:rPr>
      </w:pPr>
    </w:p>
    <w:p>
      <w:pPr>
        <w:ind w:left="720" w:hanging="361"/>
        <w:spacing w:after="0" w:line="277" w:lineRule="auto"/>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timing and results of clinical trials that we may conduct or that our competitors and others may conduct relating to our or their products;</w:t>
      </w:r>
    </w:p>
    <w:p>
      <w:pPr>
        <w:spacing w:after="0" w:line="290" w:lineRule="exact"/>
        <w:rPr>
          <w:rFonts w:ascii="Arial" w:cs="Arial" w:eastAsia="Arial" w:hAnsi="Arial"/>
          <w:sz w:val="17"/>
          <w:szCs w:val="17"/>
          <w:color w:val="auto"/>
        </w:rPr>
      </w:pPr>
    </w:p>
    <w:p>
      <w:pPr>
        <w:ind w:left="720" w:right="20" w:hanging="361"/>
        <w:spacing w:after="0" w:line="277" w:lineRule="auto"/>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279" w:lineRule="exact"/>
        <w:rPr>
          <w:sz w:val="20"/>
          <w:szCs w:val="20"/>
          <w:color w:val="auto"/>
        </w:rPr>
      </w:pPr>
    </w:p>
    <w:p>
      <w:pPr>
        <w:jc w:val="both"/>
        <w:ind w:firstLine="383"/>
        <w:spacing w:after="0" w:line="279"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annual report for a discussion of these and other risks that relate to our business and investing in our ordinary shares. The forward-looking statements contained in this annual report are expressly qualified in their entirety by this cautionary statement. Except as required by law, we undertake no obligation to update publicly any forward-looking statements after the date of this annual report to conform these statements to actual results or to changes in our expectations.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6" w:name="page7"/>
    <w:bookmarkEnd w:id="6"/>
    <w:p>
      <w:pPr>
        <w:spacing w:after="0"/>
        <w:tabs>
          <w:tab w:leader="none" w:pos="114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IDENTITY OF DIRECTORS, SENIOR MANAGEMENT AND ADVISERS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OFFER STATISTICS AND EXPECTED TIMETABLE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KEY INFORMATION</w:t>
      </w:r>
    </w:p>
    <w:p>
      <w:pPr>
        <w:spacing w:after="0" w:line="279" w:lineRule="exact"/>
        <w:rPr>
          <w:sz w:val="20"/>
          <w:szCs w:val="20"/>
          <w:color w:val="auto"/>
        </w:rPr>
      </w:pPr>
    </w:p>
    <w:p>
      <w:pPr>
        <w:ind w:left="720" w:hanging="712"/>
        <w:spacing w:after="0"/>
        <w:tabs>
          <w:tab w:leader="none" w:pos="72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Selected Financial Data</w:t>
      </w:r>
    </w:p>
    <w:p>
      <w:pPr>
        <w:spacing w:after="0" w:line="28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The following table sets forth our selected historical financial data, which is derived from our audited financial statements, which have been prepared in accordance with U.S. GAAP. The selected balance sheet data as of December 31, 2017 and 2018 and our selected statement of operations data for the years ended December 31, 2016, 2017 and 2018 is derived from our audited financial statements included elsewhere in this annual report. The selected financial data as of December 31, 2015 and December 31, 2016 and our selected statement of operations data for the years ended December 31, 2015 have been derived from our audited financial statements not included in this annual report. Our historical results are not necessarily indicative of the results that should be expected in the future. You should read this selected financial data in conjunction with, and it is qualified in its entirety by, our historical financial information and other information provided in this annual report including “Item 5. Operating and Financial Review and Prospects” and our audited financial statements and related notes appearing elsewhere in this annual report.</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5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480" w:type="dxa"/>
            <w:vAlign w:val="bottom"/>
            <w:tcBorders>
              <w:bottom w:val="single" w:sz="8" w:color="auto"/>
            </w:tcBorders>
            <w:gridSpan w:val="5"/>
          </w:tcPr>
          <w:p>
            <w:pPr>
              <w:jc w:val="right"/>
              <w:ind w:right="400"/>
              <w:spacing w:after="0"/>
              <w:rPr>
                <w:sz w:val="20"/>
                <w:szCs w:val="20"/>
                <w:color w:val="auto"/>
              </w:rPr>
            </w:pPr>
            <w:r>
              <w:rPr>
                <w:rFonts w:ascii="Arial" w:cs="Arial" w:eastAsia="Arial" w:hAnsi="Arial"/>
                <w:sz w:val="18"/>
                <w:szCs w:val="18"/>
                <w:b w:val="1"/>
                <w:bCs w:val="1"/>
                <w:color w:val="auto"/>
                <w:w w:val="93"/>
              </w:rPr>
              <w:t>Year Ended December 31,</w:t>
            </w:r>
          </w:p>
        </w:tc>
        <w:tc>
          <w:tcPr>
            <w:tcW w:w="8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2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99"/>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(in</w:t>
            </w:r>
          </w:p>
        </w:tc>
        <w:tc>
          <w:tcPr>
            <w:tcW w:w="1380" w:type="dxa"/>
            <w:vAlign w:val="bottom"/>
            <w:tcBorders>
              <w:bottom w:val="single" w:sz="8" w:color="auto"/>
            </w:tcBorders>
            <w:gridSpan w:val="5"/>
          </w:tcPr>
          <w:p>
            <w:pPr>
              <w:jc w:val="right"/>
              <w:ind w:right="30"/>
              <w:spacing w:after="0"/>
              <w:rPr>
                <w:sz w:val="20"/>
                <w:szCs w:val="20"/>
                <w:color w:val="auto"/>
              </w:rPr>
            </w:pPr>
            <w:r>
              <w:rPr>
                <w:rFonts w:ascii="Arial" w:cs="Arial" w:eastAsia="Arial" w:hAnsi="Arial"/>
                <w:sz w:val="18"/>
                <w:szCs w:val="18"/>
                <w:b w:val="1"/>
                <w:bCs w:val="1"/>
                <w:color w:val="auto"/>
                <w:w w:val="78"/>
              </w:rPr>
              <w:t>thousands, except</w:t>
            </w: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77"/>
              </w:rPr>
              <w:t>share and per share</w:t>
            </w:r>
          </w:p>
        </w:tc>
        <w:tc>
          <w:tcPr>
            <w:tcW w:w="220" w:type="dxa"/>
            <w:vAlign w:val="bottom"/>
            <w:tcBorders>
              <w:bottom w:val="single" w:sz="8" w:color="auto"/>
            </w:tcBorders>
            <w:gridSpan w:val="2"/>
          </w:tcPr>
          <w:p>
            <w:pPr>
              <w:spacing w:after="0"/>
              <w:rPr>
                <w:sz w:val="19"/>
                <w:szCs w:val="19"/>
                <w:color w:val="auto"/>
              </w:rPr>
            </w:pPr>
          </w:p>
        </w:tc>
        <w:tc>
          <w:tcPr>
            <w:tcW w:w="320" w:type="dxa"/>
            <w:vAlign w:val="bottom"/>
            <w:tcBorders>
              <w:bottom w:val="single" w:sz="8" w:color="auto"/>
            </w:tcBorders>
          </w:tcPr>
          <w:p>
            <w:pPr>
              <w:spacing w:after="0"/>
              <w:rPr>
                <w:sz w:val="20"/>
                <w:szCs w:val="20"/>
                <w:color w:val="auto"/>
              </w:rPr>
            </w:pPr>
            <w:r>
              <w:rPr>
                <w:rFonts w:ascii="Arial" w:cs="Arial" w:eastAsia="Arial" w:hAnsi="Arial"/>
                <w:sz w:val="17"/>
                <w:szCs w:val="17"/>
                <w:b w:val="1"/>
                <w:bCs w:val="1"/>
                <w:color w:val="auto"/>
                <w:w w:val="73"/>
              </w:rPr>
              <w:t>data)</w:t>
            </w:r>
          </w:p>
        </w:tc>
        <w:tc>
          <w:tcPr>
            <w:tcW w:w="8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Statement of Operations Data:</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Revenues</w:t>
            </w:r>
          </w:p>
        </w:tc>
        <w:tc>
          <w:tcPr>
            <w:tcW w:w="4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174</w:t>
            </w:r>
          </w:p>
        </w:tc>
        <w:tc>
          <w:tcPr>
            <w:tcW w:w="4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7,184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17,023</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25,805</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2,463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10"/>
              <w:spacing w:after="0"/>
              <w:rPr>
                <w:sz w:val="20"/>
                <w:szCs w:val="20"/>
                <w:color w:val="auto"/>
              </w:rPr>
            </w:pPr>
            <w:r>
              <w:rPr>
                <w:rFonts w:ascii="Arial" w:cs="Arial" w:eastAsia="Arial" w:hAnsi="Arial"/>
                <w:sz w:val="18"/>
                <w:szCs w:val="18"/>
                <w:color w:val="auto"/>
              </w:rPr>
              <w:t>3,733</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6,002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5,504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loss</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9,647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20,756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31,633</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33,521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Financial expenses, net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(1,318)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Loss for the year</w:t>
            </w:r>
          </w:p>
        </w:tc>
        <w:tc>
          <w:tcPr>
            <w:tcW w:w="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9,660</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20,771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31,568</w:t>
            </w:r>
          </w:p>
        </w:tc>
        <w:tc>
          <w:tcPr>
            <w:tcW w:w="40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32,203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20" w:type="dxa"/>
            <w:vAlign w:val="bottom"/>
          </w:tcPr>
          <w:p>
            <w:pPr>
              <w:spacing w:after="0"/>
              <w:rPr>
                <w:sz w:val="20"/>
                <w:szCs w:val="20"/>
                <w:color w:val="auto"/>
              </w:rPr>
            </w:pPr>
            <w:r>
              <w:rPr>
                <w:rFonts w:ascii="Arial" w:cs="Arial" w:eastAsia="Arial" w:hAnsi="Arial"/>
                <w:sz w:val="18"/>
                <w:szCs w:val="18"/>
                <w:color w:val="auto"/>
              </w:rPr>
              <w:t>Basic and diluted loss per ordinary share*</w:t>
            </w:r>
          </w:p>
        </w:tc>
        <w:tc>
          <w:tcPr>
            <w:tcW w:w="4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3"/>
          </w:tcPr>
          <w:p>
            <w:pPr>
              <w:jc w:val="right"/>
              <w:ind w:right="120"/>
              <w:spacing w:after="0"/>
              <w:rPr>
                <w:sz w:val="20"/>
                <w:szCs w:val="20"/>
                <w:color w:val="auto"/>
              </w:rPr>
            </w:pPr>
            <w:r>
              <w:rPr>
                <w:rFonts w:ascii="Arial" w:cs="Arial" w:eastAsia="Arial" w:hAnsi="Arial"/>
                <w:sz w:val="18"/>
                <w:szCs w:val="18"/>
                <w:color w:val="auto"/>
              </w:rPr>
              <w:t>1.53</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10"/>
              <w:spacing w:after="0"/>
              <w:rPr>
                <w:sz w:val="20"/>
                <w:szCs w:val="20"/>
                <w:color w:val="auto"/>
              </w:rPr>
            </w:pPr>
            <w:r>
              <w:rPr>
                <w:rFonts w:ascii="Arial" w:cs="Arial" w:eastAsia="Arial" w:hAnsi="Arial"/>
                <w:sz w:val="18"/>
                <w:szCs w:val="18"/>
                <w:color w:val="auto"/>
              </w:rPr>
              <w:t>3.30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5.02</w:t>
            </w:r>
          </w:p>
        </w:tc>
        <w:tc>
          <w:tcPr>
            <w:tcW w:w="4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58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continue"/>
          </w:tcPr>
          <w:p>
            <w:pPr>
              <w:spacing w:after="0"/>
              <w:rPr>
                <w:sz w:val="18"/>
                <w:szCs w:val="18"/>
                <w:color w:val="auto"/>
              </w:rPr>
            </w:pPr>
          </w:p>
        </w:tc>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w w:val="93"/>
              </w:rPr>
              <w:t>Weighted average number of ordinary shares outstanding – basic and diluted*</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6,290,244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17,867,589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jc w:val="both"/>
        <w:ind w:right="200" w:firstLine="8"/>
        <w:spacing w:after="0" w:line="264" w:lineRule="auto"/>
        <w:tabs>
          <w:tab w:leader="none" w:pos="135"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January 19, 2018, we effected a 1-for-1.8 share split of our ordinary shares by way of an issuance of bonus shares. Unless otherwise indicated, except for our authorized capital, all information in this annual report relating to the number of our ordinary shares and loss per ordinary share in this annual report have been adjusted, on a retroactive basis, to reflect this 1-for-1.8 share split.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480" w:type="dxa"/>
            <w:vAlign w:val="bottom"/>
            <w:tcBorders>
              <w:bottom w:val="single" w:sz="8" w:color="auto"/>
            </w:tcBorders>
            <w:gridSpan w:val="5"/>
          </w:tcPr>
          <w:p>
            <w:pPr>
              <w:jc w:val="right"/>
              <w:ind w:right="400"/>
              <w:spacing w:after="0"/>
              <w:rPr>
                <w:sz w:val="20"/>
                <w:szCs w:val="20"/>
                <w:color w:val="auto"/>
              </w:rPr>
            </w:pPr>
            <w:r>
              <w:rPr>
                <w:rFonts w:ascii="Arial" w:cs="Arial" w:eastAsia="Arial" w:hAnsi="Arial"/>
                <w:sz w:val="18"/>
                <w:szCs w:val="18"/>
                <w:b w:val="1"/>
                <w:bCs w:val="1"/>
                <w:color w:val="auto"/>
                <w:w w:val="93"/>
              </w:rPr>
              <w:t>Year Ended December 31,</w:t>
            </w: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5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2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r>
      <w:tr>
        <w:trPr>
          <w:trHeight w:val="223"/>
        </w:trPr>
        <w:tc>
          <w:tcPr>
            <w:tcW w:w="5000" w:type="dxa"/>
            <w:vAlign w:val="bottom"/>
            <w:gridSpan w:val="3"/>
          </w:tcPr>
          <w:p>
            <w:pPr>
              <w:spacing w:after="0"/>
              <w:rPr>
                <w:sz w:val="20"/>
                <w:szCs w:val="20"/>
                <w:color w:val="auto"/>
              </w:rPr>
            </w:pPr>
            <w:r>
              <w:rPr>
                <w:rFonts w:ascii="Arial" w:cs="Arial" w:eastAsia="Arial" w:hAnsi="Arial"/>
                <w:sz w:val="18"/>
                <w:szCs w:val="18"/>
                <w:b w:val="1"/>
                <w:bCs w:val="1"/>
                <w:color w:val="auto"/>
              </w:rPr>
              <w:t>Balance Sheet Data:</w:t>
            </w:r>
          </w:p>
        </w:tc>
        <w:tc>
          <w:tcPr>
            <w:tcW w:w="10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480" w:type="dxa"/>
            <w:vAlign w:val="bottom"/>
            <w:tcBorders>
              <w:bottom w:val="single" w:sz="8" w:color="auto"/>
            </w:tcBorders>
            <w:gridSpan w:val="5"/>
          </w:tcPr>
          <w:p>
            <w:pPr>
              <w:jc w:val="right"/>
              <w:ind w:right="860"/>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5,895</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7,001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5,024</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98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8,244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10,985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15,315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69,682</w:t>
            </w:r>
          </w:p>
        </w:tc>
      </w:tr>
      <w:tr>
        <w:trPr>
          <w:trHeight w:val="216"/>
        </w:trPr>
        <w:tc>
          <w:tcPr>
            <w:tcW w:w="20" w:type="dxa"/>
            <w:vAlign w:val="bottom"/>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19,762</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42,322</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68,014</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5,773</w:t>
            </w:r>
          </w:p>
        </w:tc>
      </w:tr>
      <w:tr>
        <w:trPr>
          <w:trHeight w:val="216"/>
        </w:trPr>
        <w:tc>
          <w:tcPr>
            <w:tcW w:w="20" w:type="dxa"/>
            <w:vAlign w:val="bottom"/>
          </w:tcPr>
          <w:p>
            <w:pPr>
              <w:spacing w:after="0"/>
              <w:rPr>
                <w:sz w:val="18"/>
                <w:szCs w:val="18"/>
                <w:color w:val="auto"/>
              </w:rPr>
            </w:pPr>
          </w:p>
        </w:tc>
        <w:tc>
          <w:tcPr>
            <w:tcW w:w="4980" w:type="dxa"/>
            <w:vAlign w:val="bottom"/>
            <w:gridSpan w:val="2"/>
          </w:tcPr>
          <w:p>
            <w:pPr>
              <w:spacing w:after="0"/>
              <w:rPr>
                <w:sz w:val="20"/>
                <w:szCs w:val="20"/>
                <w:color w:val="auto"/>
              </w:rPr>
            </w:pPr>
            <w:r>
              <w:rPr>
                <w:rFonts w:ascii="Arial" w:cs="Arial" w:eastAsia="Arial" w:hAnsi="Arial"/>
                <w:sz w:val="18"/>
                <w:szCs w:val="18"/>
                <w:color w:val="auto"/>
              </w:rPr>
              <w:t>Accumulated deficit</w:t>
            </w: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(42,922)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(63,693)</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(95,261)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(127,464)</w:t>
            </w:r>
          </w:p>
        </w:tc>
      </w:tr>
      <w:tr>
        <w:trPr>
          <w:trHeight w:val="216"/>
        </w:trPr>
        <w:tc>
          <w:tcPr>
            <w:tcW w:w="20" w:type="dxa"/>
            <w:vAlign w:val="bottom"/>
          </w:tcPr>
          <w:p>
            <w:pPr>
              <w:spacing w:after="0"/>
              <w:rPr>
                <w:sz w:val="18"/>
                <w:szCs w:val="18"/>
                <w:color w:val="auto"/>
              </w:rPr>
            </w:pPr>
          </w:p>
        </w:tc>
        <w:tc>
          <w:tcPr>
            <w:tcW w:w="4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shareholders’ equity (capital deficiency)</w:t>
            </w: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(11,518)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(31,337)</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(52,699)</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63,909</w:t>
            </w:r>
          </w:p>
        </w:tc>
      </w:tr>
      <w:tr>
        <w:trPr>
          <w:trHeight w:val="486"/>
        </w:trPr>
        <w:tc>
          <w:tcPr>
            <w:tcW w:w="420" w:type="dxa"/>
            <w:vAlign w:val="bottom"/>
            <w:gridSpan w:val="2"/>
          </w:tcPr>
          <w:p>
            <w:pPr>
              <w:spacing w:after="0"/>
              <w:rPr>
                <w:sz w:val="20"/>
                <w:szCs w:val="20"/>
                <w:color w:val="auto"/>
              </w:rPr>
            </w:pPr>
            <w:r>
              <w:rPr>
                <w:rFonts w:ascii="Arial" w:cs="Arial" w:eastAsia="Arial" w:hAnsi="Arial"/>
                <w:sz w:val="18"/>
                <w:szCs w:val="18"/>
                <w:b w:val="1"/>
                <w:bCs w:val="1"/>
                <w:color w:val="auto"/>
              </w:rPr>
              <w:t>B.</w:t>
            </w:r>
          </w:p>
        </w:tc>
        <w:tc>
          <w:tcPr>
            <w:tcW w:w="4580" w:type="dxa"/>
            <w:vAlign w:val="bottom"/>
          </w:tcPr>
          <w:p>
            <w:pPr>
              <w:ind w:left="240"/>
              <w:spacing w:after="0"/>
              <w:rPr>
                <w:sz w:val="20"/>
                <w:szCs w:val="20"/>
                <w:color w:val="auto"/>
              </w:rPr>
            </w:pPr>
            <w:r>
              <w:rPr>
                <w:rFonts w:ascii="Arial" w:cs="Arial" w:eastAsia="Arial" w:hAnsi="Arial"/>
                <w:sz w:val="18"/>
                <w:szCs w:val="18"/>
                <w:b w:val="1"/>
                <w:bCs w:val="1"/>
                <w:color w:val="auto"/>
              </w:rPr>
              <w:t>Capitalization and Indebtedness</w:t>
            </w:r>
          </w:p>
        </w:tc>
        <w:tc>
          <w:tcPr>
            <w:tcW w:w="10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86"/>
        </w:trPr>
        <w:tc>
          <w:tcPr>
            <w:tcW w:w="5000" w:type="dxa"/>
            <w:vAlign w:val="bottom"/>
            <w:gridSpan w:val="3"/>
          </w:tcPr>
          <w:p>
            <w:pPr>
              <w:spacing w:after="0"/>
              <w:rPr>
                <w:sz w:val="20"/>
                <w:szCs w:val="20"/>
                <w:color w:val="auto"/>
              </w:rPr>
            </w:pPr>
            <w:r>
              <w:rPr>
                <w:rFonts w:ascii="Arial" w:cs="Arial" w:eastAsia="Arial" w:hAnsi="Arial"/>
                <w:sz w:val="18"/>
                <w:szCs w:val="18"/>
                <w:color w:val="auto"/>
              </w:rPr>
              <w:t>Not applicable.</w:t>
            </w:r>
          </w:p>
        </w:tc>
        <w:tc>
          <w:tcPr>
            <w:tcW w:w="10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86"/>
        </w:trPr>
        <w:tc>
          <w:tcPr>
            <w:tcW w:w="420" w:type="dxa"/>
            <w:vAlign w:val="bottom"/>
            <w:gridSpan w:val="2"/>
          </w:tcPr>
          <w:p>
            <w:pPr>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8"/>
                <w:szCs w:val="18"/>
                <w:color w:val="auto"/>
              </w:rPr>
              <w:t>.</w:t>
            </w:r>
          </w:p>
        </w:tc>
        <w:tc>
          <w:tcPr>
            <w:tcW w:w="4580" w:type="dxa"/>
            <w:vAlign w:val="bottom"/>
          </w:tcPr>
          <w:p>
            <w:pPr>
              <w:ind w:left="260"/>
              <w:spacing w:after="0"/>
              <w:rPr>
                <w:sz w:val="20"/>
                <w:szCs w:val="20"/>
                <w:color w:val="auto"/>
              </w:rPr>
            </w:pPr>
            <w:r>
              <w:rPr>
                <w:rFonts w:ascii="Arial" w:cs="Arial" w:eastAsia="Arial" w:hAnsi="Arial"/>
                <w:sz w:val="18"/>
                <w:szCs w:val="18"/>
                <w:b w:val="1"/>
                <w:bCs w:val="1"/>
                <w:color w:val="auto"/>
              </w:rPr>
              <w:t>Reasons for the Offer and Use of Proceeds</w:t>
            </w:r>
          </w:p>
        </w:tc>
        <w:tc>
          <w:tcPr>
            <w:tcW w:w="10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86"/>
        </w:trPr>
        <w:tc>
          <w:tcPr>
            <w:tcW w:w="5000" w:type="dxa"/>
            <w:vAlign w:val="bottom"/>
            <w:gridSpan w:val="3"/>
          </w:tcPr>
          <w:p>
            <w:pPr>
              <w:spacing w:after="0"/>
              <w:rPr>
                <w:sz w:val="20"/>
                <w:szCs w:val="20"/>
                <w:color w:val="auto"/>
              </w:rPr>
            </w:pPr>
            <w:r>
              <w:rPr>
                <w:rFonts w:ascii="Arial" w:cs="Arial" w:eastAsia="Arial" w:hAnsi="Arial"/>
                <w:sz w:val="18"/>
                <w:szCs w:val="18"/>
                <w:color w:val="auto"/>
              </w:rPr>
              <w:t>Not applicable.</w:t>
            </w:r>
          </w:p>
        </w:tc>
        <w:tc>
          <w:tcPr>
            <w:tcW w:w="10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52" w:lineRule="exact"/>
        <w:rPr>
          <w:sz w:val="20"/>
          <w:szCs w:val="20"/>
          <w:color w:val="auto"/>
        </w:rPr>
      </w:pPr>
    </w:p>
    <w:p>
      <w:pPr>
        <w:ind w:left="680" w:hanging="672"/>
        <w:spacing w:after="0"/>
        <w:tabs>
          <w:tab w:leader="none" w:pos="68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Risk Factors</w:t>
      </w:r>
    </w:p>
    <w:p>
      <w:pPr>
        <w:spacing w:after="0" w:line="28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i w:val="1"/>
          <w:iCs w:val="1"/>
          <w:color w:val="auto"/>
        </w:rPr>
        <w:t>You should carefully consider the risks we describe below, in addition to the other information set forth elsewhere in this annual report, including our financial statements and the related notes beginning on page F-1, before deciding to invest in our ordinary shares (the “Ordinary Shares”). The risks and uncertainties described below in this annual report on Form 20-F for the year ended December 31, 2018 are not the only risks facing us. We may face additional risks and uncertainties not currently known to us or that we currently deem to be immaterial. Any of the risks described below or incorporated by reference in this Form 20-F, and any such additional risks, could materially adversely affect our business, financial condition or results of operations. In such case, you may lose all or part of your investment.</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83"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are a clinical stage company and have incurred significant losses since our inception. We expect to incur losses for the foreseeable future and may never achieve or maintain profitability.</w:t>
      </w:r>
    </w:p>
    <w:p>
      <w:pPr>
        <w:spacing w:after="0" w:line="22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are a clinical stage pharmaceutical company with a limited operating history. We have incurred net losses since our formation in 1997. In particular, we incurred net losses of $20.8 million in 2016, $31.6 million in 2017, and $32.2 million in 2018. As of December 31, 2018, we had an accumulated deficit of $127.5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232" w:lineRule="exact"/>
        <w:rPr>
          <w:sz w:val="20"/>
          <w:szCs w:val="20"/>
          <w:color w:val="auto"/>
        </w:rPr>
      </w:pPr>
    </w:p>
    <w:p>
      <w:pPr>
        <w:jc w:val="both"/>
        <w:ind w:left="720" w:hanging="361"/>
        <w:spacing w:after="0" w:line="209" w:lineRule="auto"/>
        <w:tabs>
          <w:tab w:leader="none" w:pos="7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conduct the Phase III clinical trials for TWIN and the Phase III clinical trials and long-term safety study for Epsolay</w:t>
      </w:r>
      <w:r>
        <w:rPr>
          <w:rFonts w:ascii="Arial" w:cs="Arial" w:eastAsia="Arial" w:hAnsi="Arial"/>
          <w:sz w:val="30"/>
          <w:szCs w:val="30"/>
          <w:color w:val="auto"/>
          <w:vertAlign w:val="superscript"/>
        </w:rPr>
        <w:t>®</w:t>
      </w:r>
      <w:r>
        <w:rPr>
          <w:rFonts w:ascii="Arial" w:cs="Arial" w:eastAsia="Arial" w:hAnsi="Arial"/>
          <w:sz w:val="18"/>
          <w:szCs w:val="18"/>
          <w:color w:val="auto"/>
        </w:rPr>
        <w:t xml:space="preserve"> (formerly known as VERED), which together we refer to collectively as our branded product candidates, and continue the research and development of future branded product candidates;</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931" w:right="239" w:bottom="1440" w:gutter="0" w:footer="0" w:header="0"/>
        </w:sectPr>
      </w:pPr>
    </w:p>
    <w:bookmarkStart w:id="8" w:name="page9"/>
    <w:bookmarkEnd w:id="8"/>
    <w:p>
      <w:pPr>
        <w:ind w:left="720" w:hanging="361"/>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continue the development, bioequivalence and other studies required for ANDA submissions for our generic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seek to enhance our technology platform;</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seek regulatory approvals for any product candidate that successfully completes clinical development;</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potentially establish a sales, marketing and distribution infrastructure and commercial manufacturing capabilities to commercialize any product candidates for which we may obtain regulatory approval;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 clinical, scientific, operational, financial and management information systems and personnel, including personnel to support our product development and potential future commercialization efforts and to support our transition to being a public company;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experience any delays or encounter any issues with any of the above, including but not limited to failed studies, complex results, safety issues or other regulatory challenges.</w:t>
      </w:r>
    </w:p>
    <w:p>
      <w:pPr>
        <w:spacing w:after="0" w:line="224" w:lineRule="exact"/>
        <w:rPr>
          <w:sz w:val="20"/>
          <w:szCs w:val="20"/>
          <w:color w:val="auto"/>
        </w:rPr>
      </w:pPr>
    </w:p>
    <w:p>
      <w:pPr>
        <w:jc w:val="both"/>
        <w:ind w:firstLine="360"/>
        <w:spacing w:after="0" w:line="236" w:lineRule="auto"/>
        <w:rPr>
          <w:sz w:val="20"/>
          <w:szCs w:val="20"/>
          <w:color w:val="auto"/>
        </w:rPr>
      </w:pPr>
      <w:r>
        <w:rPr>
          <w:rFonts w:ascii="Arial" w:cs="Arial" w:eastAsia="Arial" w:hAnsi="Arial"/>
          <w:sz w:val="17"/>
          <w:szCs w:val="17"/>
          <w:color w:val="auto"/>
        </w:rPr>
        <w:t>To date, we have financed our operations primarily through an initial public offering in the U.S., private placements of equity securities and loans from our controlling shareholder. We have devoted a significant portion of our financial resources and efforts to developing the first generic version of Zovirax</w:t>
      </w:r>
      <w:r>
        <w:rPr>
          <w:rFonts w:ascii="Arial" w:cs="Arial" w:eastAsia="Arial" w:hAnsi="Arial"/>
          <w:sz w:val="28"/>
          <w:szCs w:val="28"/>
          <w:color w:val="auto"/>
          <w:vertAlign w:val="superscript"/>
        </w:rPr>
        <w:t>®</w:t>
      </w:r>
      <w:r>
        <w:rPr>
          <w:rFonts w:ascii="Arial" w:cs="Arial" w:eastAsia="Arial" w:hAnsi="Arial"/>
          <w:sz w:val="17"/>
          <w:szCs w:val="17"/>
          <w:color w:val="auto"/>
        </w:rPr>
        <w:t xml:space="preserve"> (acyclovir) cream, 5%, developing our product candidates and conducting pre-clinical studies and our clinical trials for TWIN, Epsolay®, ivermectin cream, 1% and 5-fluorouracil cream, 5%. Other than the first generic version of Zovirax</w:t>
      </w:r>
      <w:r>
        <w:rPr>
          <w:rFonts w:ascii="Arial" w:cs="Arial" w:eastAsia="Arial" w:hAnsi="Arial"/>
          <w:sz w:val="28"/>
          <w:szCs w:val="28"/>
          <w:color w:val="auto"/>
          <w:vertAlign w:val="superscript"/>
        </w:rPr>
        <w:t>®</w:t>
      </w:r>
      <w:r>
        <w:rPr>
          <w:rFonts w:ascii="Arial" w:cs="Arial" w:eastAsia="Arial" w:hAnsi="Arial"/>
          <w:sz w:val="17"/>
          <w:szCs w:val="17"/>
          <w:color w:val="auto"/>
        </w:rPr>
        <w:t xml:space="preserve"> (acyclovir) cream, 5%, we have not completed development of any of our product candidates.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260"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Because of the numerous risks and uncertainties associated with pharmaceutical products, we are unable to accurately predict the timing or amount of increased expenses or when, or if, we will be able to achieve profitability. If we are required by the Food and Drug Administration ("FDA") or other regulatory authorities to perform studies in addition to those we currently anticipate, or if there are any delays in completing our clinical trials, our expenses could increase and revenue could be further delayed.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 w:name="page10"/>
    <w:bookmarkEnd w:id="9"/>
    <w:p>
      <w:pPr>
        <w:jc w:val="both"/>
        <w:ind w:firstLine="360"/>
        <w:spacing w:after="0" w:line="259" w:lineRule="auto"/>
        <w:rPr>
          <w:sz w:val="20"/>
          <w:szCs w:val="20"/>
          <w:color w:val="auto"/>
        </w:rPr>
      </w:pPr>
      <w:r>
        <w:rPr>
          <w:rFonts w:ascii="Arial" w:cs="Arial" w:eastAsia="Arial" w:hAnsi="Arial"/>
          <w:sz w:val="18"/>
          <w:szCs w:val="18"/>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6"/>
          <w:szCs w:val="16"/>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conduct our Phase III clinical trials for TWIN and Epsolay</w:t>
      </w:r>
      <w:r>
        <w:rPr>
          <w:rFonts w:ascii="Arial" w:cs="Arial" w:eastAsia="Arial" w:hAnsi="Arial"/>
          <w:sz w:val="26"/>
          <w:szCs w:val="26"/>
          <w:color w:val="auto"/>
          <w:vertAlign w:val="superscript"/>
        </w:rPr>
        <w:t>®</w:t>
      </w:r>
      <w:r>
        <w:rPr>
          <w:rFonts w:ascii="Arial" w:cs="Arial" w:eastAsia="Arial" w:hAnsi="Arial"/>
          <w:sz w:val="16"/>
          <w:szCs w:val="16"/>
          <w:color w:val="auto"/>
        </w:rPr>
        <w:t>, seek marketing approval for TWIN and Epsolay</w:t>
      </w:r>
      <w:r>
        <w:rPr>
          <w:rFonts w:ascii="Arial" w:cs="Arial" w:eastAsia="Arial" w:hAnsi="Arial"/>
          <w:sz w:val="26"/>
          <w:szCs w:val="26"/>
          <w:color w:val="auto"/>
          <w:vertAlign w:val="superscript"/>
        </w:rPr>
        <w:t>®</w:t>
      </w:r>
      <w:r>
        <w:rPr>
          <w:rFonts w:ascii="Arial" w:cs="Arial" w:eastAsia="Arial" w:hAnsi="Arial"/>
          <w:sz w:val="16"/>
          <w:szCs w:val="16"/>
          <w:color w:val="auto"/>
        </w:rPr>
        <w:t xml:space="preserve"> and advance our other product candidates. In addition, our product candidates, if approved, may not achieve commercial success. Substantial revenue, if any, will be derived from sales of products that we do not expect to be commercially available for a number of years, if at all. If we obtain marketing approval for TWIN or Epsolay® or any other product candidates that we develop, we expect to incur significant commercialization expenses related to product sales, marketing, distribution and manufacturing. We also expect an increase in our expenses associated with creating additional infrastructure to support operations as a public company. . We have based this estimate on assumptions that may prove to be wrong, and we could use our capital resources sooner than we currently expect. Our future capital requirements will depend on many factors, including:</w:t>
      </w:r>
    </w:p>
    <w:p>
      <w:pPr>
        <w:spacing w:after="0" w:line="237" w:lineRule="exact"/>
        <w:rPr>
          <w:sz w:val="20"/>
          <w:szCs w:val="20"/>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progress and results of our pivotal Phase III clinical trials for TWIN and Epsolay®;</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laboratory testing and clinical trials for our generic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 of manufacturing clinical supplies and exhibition batches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timing and outcome of regulatory reviews of any of our product candidates;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manufacturing, marketing, sales and distribution, for any of our product candidates for which we receive marketing approval;</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amount of revenue, if any, received from commercial sales of our product candidates for which we receive marketing approval; and</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extent to which we acquire or invest in businesses, product candidates and technologies, including entering into licensing or collaboration arrangements for any of our product candidates.</w:t>
      </w:r>
    </w:p>
    <w:p>
      <w:pPr>
        <w:spacing w:after="0" w:line="22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In order to continue our future operations, we will need to raise additional capital until becoming profitable. If we are unable to raise sufficient additional capital, we could be forced to curtail our planned operations and the pursuit of our growth strategy.</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We are largely dependent on the success of our branded product candidates for the treatment of topical dermatological conditions.</w:t>
      </w:r>
    </w:p>
    <w:p>
      <w:pPr>
        <w:spacing w:after="0" w:line="279" w:lineRule="exact"/>
        <w:rPr>
          <w:sz w:val="20"/>
          <w:szCs w:val="20"/>
          <w:color w:val="auto"/>
        </w:rPr>
      </w:pPr>
    </w:p>
    <w:p>
      <w:pPr>
        <w:jc w:val="both"/>
        <w:ind w:firstLine="360"/>
        <w:spacing w:after="0" w:line="203" w:lineRule="auto"/>
        <w:rPr>
          <w:sz w:val="20"/>
          <w:szCs w:val="20"/>
          <w:color w:val="auto"/>
        </w:rPr>
      </w:pPr>
      <w:r>
        <w:rPr>
          <w:rFonts w:ascii="Arial" w:cs="Arial" w:eastAsia="Arial" w:hAnsi="Arial"/>
          <w:sz w:val="17"/>
          <w:szCs w:val="17"/>
          <w:color w:val="auto"/>
        </w:rPr>
        <w:t>We have invested a majority of our efforts and financial resources in the research and development of TWIN for the treatment of acne and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for the treatment of subtype II rosacea. We are currently investing a majority of our efforts and resources in the conduct of our Phase III clinical trials for TWIN and Epsolay</w:t>
      </w:r>
      <w:r>
        <w:rPr>
          <w:rFonts w:ascii="Arial" w:cs="Arial" w:eastAsia="Arial" w:hAnsi="Arial"/>
          <w:sz w:val="28"/>
          <w:szCs w:val="28"/>
          <w:color w:val="auto"/>
          <w:vertAlign w:val="superscript"/>
        </w:rPr>
        <w:t>®</w:t>
      </w:r>
      <w:r>
        <w:rPr>
          <w:rFonts w:ascii="Arial" w:cs="Arial" w:eastAsia="Arial" w:hAnsi="Arial"/>
          <w:sz w:val="17"/>
          <w:szCs w:val="17"/>
          <w:color w:val="auto"/>
        </w:rPr>
        <w:t>. The success of our business depends largely on our ability to fund, execute and complete the development of, obtain regulatory approval for and successfully commercialize our branded product candidates in the United States in a timely manner.</w:t>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not obtained regulatory approval for most of our product candidates in the United States or any other country.</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Other than the first generic version of Zovirax® (acyclovir) cream, 5% for which Perrigo, our collaborator, received final FDA approval in February 2019, we do not currently have any product candidates that have obtained regulatory approval for sale in the United States or any other country, , and we cannot guarantee that our other product candidates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219"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We intend to submit NDAs that are subject to the requirements of section 505(b)(2) of the Food, Drug and Cosmetic Act, or FDCA, which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the applicable regulatory requirements, and may inspect our clinical trial sites to ensure that the clinical trials conducted at the inspected site were performed in accordance with good clinical practices, or "GCP", and our clinical protocol.</w:t>
      </w: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1" w:name="page12"/>
    <w:bookmarkEnd w:id="11"/>
    <w:p>
      <w:pPr>
        <w:jc w:val="both"/>
        <w:ind w:firstLine="360"/>
        <w:spacing w:after="0" w:line="293" w:lineRule="auto"/>
        <w:rPr>
          <w:sz w:val="20"/>
          <w:szCs w:val="20"/>
          <w:color w:val="auto"/>
        </w:rPr>
      </w:pPr>
      <w:r>
        <w:rPr>
          <w:rFonts w:ascii="Arial" w:cs="Arial" w:eastAsia="Arial" w:hAnsi="Arial"/>
          <w:sz w:val="16"/>
          <w:szCs w:val="16"/>
          <w:color w:val="auto"/>
        </w:rPr>
        <w:t>Obtaining approval of an NDA is a lengthy, expensive and uncertain process, and approval is never guaranteed. Upon submission of an 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approval, the FDA may require that we conduct additional clinical trials or pre-clinical studies, or take other actions before it will reconsider our application. If the FDA requires additional studies or data,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219"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23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Additionally, continuing and increasingly sophisticated studies of the proper utilization, safety and efficacy of pharmaceutical products are being conducted by the industry, government 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2" w:name="page13"/>
    <w:bookmarkEnd w:id="12"/>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have a limited operating history in the dermatological prescription drug space and have focused much of our efforts, to date, on the research and development of our product candidates, rather than commercialization. As such,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241" w:lineRule="exact"/>
        <w:rPr>
          <w:sz w:val="20"/>
          <w:szCs w:val="20"/>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have adequate financial or other resources;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be able to manufacture our product candidates in commercial quantities, in an adequate quality or at an acceptable cost;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be able to establish adequate sales, marketing and distribution channels;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be able to find suitable marketing partners;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healthcare professionals and patients may not accept our product candidates;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not be aware of possible complications from the continued use of our product candidates since we have limited clinical experience with respect to the actual use of our product candidates;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changes in the market, new alliances between existing market participants and the entrance of new market participants may interfere with our market penetration efforts;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uncertainty as to market demand may result in inefficient pricing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face third-party claims of intellectual property infringement;</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are dependent upon the results of ongoing clinical trials relating to our product candidates and the products of our competitors;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become involved in lawsuits pertaining to our clinical trials.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 w:name="page14"/>
    <w:bookmarkEnd w:id="13"/>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Raising additional capital may cause dilution to our shareholders, restrict our operations or require us to relinquish rights to our technologies or product candidates.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247"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are able to generate revenues from our operations in the future, our revenues and operating income could fluctuate significantly.</w:t>
      </w:r>
    </w:p>
    <w:p>
      <w:pPr>
        <w:spacing w:after="0" w:line="29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Even if we are able to generate future revenues, our operating income, and results may vary significantly from year-to-year and quarter-to-quarter.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Variations may result from, among other factors:</w:t>
      </w:r>
    </w:p>
    <w:p>
      <w:pPr>
        <w:spacing w:after="0" w:line="265" w:lineRule="exact"/>
        <w:rPr>
          <w:sz w:val="20"/>
          <w:szCs w:val="20"/>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timing of FDA or any other regulatory authority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timing of process validation for particular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timing of product launches and market acceptance of such products launched;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changes in the amount we spend to research, develop, acquire, license or promote new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outcome of our research, development and clinical trial programs;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serious or unexpected health or safety concerns related to our product candidates or the branded product candidates we have genericized;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introduction of new products by others that render our product candidates obsolete or noncompetitive;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ability to maintain selling prices and gross margins on our product candidates;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4" w:name="page15"/>
    <w:bookmarkEnd w:id="14"/>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ability to comply with complex governmental regulations applicable to many aspects of our business;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coverage and reimbursement policies of health plans and other health insurers, including changes to Medicare, Medicaid and similar government healthcare programs;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increases in the cost of raw materials used to manufacture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manufacturing and supply interruptions, including product rejections or recalls due to failure to comply with manufacturing specifications;</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timing of revenue recognition related to our collaboration agreements;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ability to protect our intellectual property and avoid infringing the intellectual property of others;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outcome and cost of possible litigation over patents with third parties.</w:t>
      </w:r>
    </w:p>
    <w:p>
      <w:pPr>
        <w:spacing w:after="0" w:line="2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operations would suffer in the event of computer system failures, cyber-attacks or deficiencies in our cyber-security.</w:t>
      </w:r>
    </w:p>
    <w:p>
      <w:pPr>
        <w:spacing w:after="0" w:line="29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Risks Related to Development and Clinical Testing of Our Product Candidates</w:t>
      </w:r>
    </w:p>
    <w:p>
      <w:pPr>
        <w:spacing w:after="0" w:line="28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201"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Clinical testing, of both innovative and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 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239" w:lineRule="exact"/>
        <w:rPr>
          <w:sz w:val="20"/>
          <w:szCs w:val="20"/>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224"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201" w:lineRule="exact"/>
        <w:rPr>
          <w:sz w:val="20"/>
          <w:szCs w:val="20"/>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obtaining regulatory approval to commence a trial;</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obtaining institutional review board, or IRB, approval at each site;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clinical sites deviating from FDA regulations, including GCPs, or the study protocol, or dropping out of a trial;</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6" w:name="page17"/>
    <w:bookmarkEnd w:id="16"/>
    <w:p>
      <w:pPr>
        <w:ind w:left="720" w:hanging="361"/>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adding new clinical trial sites;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manufacturing sufficient quantities of a product candidate for use in clinical trials;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damage to clinical supplies of a product candidate caused during storage and/or transportation.</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Furthermore, we rely on CROs and clinical trial sites to ensure the proper and timely conduct of our clinical trials and while we have agreements governing their committed activities, we have limited influence over their actual performance.</w:t>
      </w:r>
    </w:p>
    <w:p>
      <w:pPr>
        <w:spacing w:after="0" w:line="224"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We may also encounter delays if a clinical trial is suspended or terminated by us, by the IRBs of the institutions in which such trials are being conducted, by any Data Safety Monitoring Board for such trial,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246"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24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20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7" w:name="page18"/>
    <w:bookmarkEnd w:id="17"/>
    <w:p>
      <w:pPr>
        <w:ind w:left="36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279" w:lineRule="exact"/>
        <w:rPr>
          <w:sz w:val="20"/>
          <w:szCs w:val="20"/>
          <w:color w:val="auto"/>
        </w:rPr>
      </w:pPr>
    </w:p>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224" w:lineRule="exact"/>
        <w:rPr>
          <w:rFonts w:ascii="Arial" w:cs="Arial" w:eastAsia="Arial" w:hAnsi="Arial"/>
          <w:sz w:val="18"/>
          <w:szCs w:val="18"/>
          <w:color w:val="auto"/>
        </w:rPr>
      </w:pPr>
    </w:p>
    <w:p>
      <w:pPr>
        <w:ind w:left="720" w:right="260" w:hanging="361"/>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our interpretation of data from pre-clinical studies or clinical trials;</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224"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208"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8" w:name="page19"/>
    <w:bookmarkEnd w:id="18"/>
    <w:p>
      <w:pPr>
        <w:jc w:val="both"/>
        <w:spacing w:after="0" w:line="264" w:lineRule="auto"/>
        <w:rPr>
          <w:sz w:val="20"/>
          <w:szCs w:val="20"/>
          <w:color w:val="auto"/>
        </w:rPr>
      </w:pPr>
      <w:r>
        <w:rPr>
          <w:rFonts w:ascii="Arial" w:cs="Arial" w:eastAsia="Arial" w:hAnsi="Arial"/>
          <w:sz w:val="18"/>
          <w:szCs w:val="18"/>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235" w:lineRule="exact"/>
        <w:rPr>
          <w:sz w:val="20"/>
          <w:szCs w:val="20"/>
          <w:color w:val="auto"/>
        </w:rPr>
      </w:pPr>
    </w:p>
    <w:p>
      <w:pPr>
        <w:jc w:val="both"/>
        <w:ind w:firstLine="360"/>
        <w:spacing w:after="0" w:line="236" w:lineRule="auto"/>
        <w:rPr>
          <w:sz w:val="20"/>
          <w:szCs w:val="20"/>
          <w:color w:val="auto"/>
        </w:rPr>
      </w:pPr>
      <w:r>
        <w:rPr>
          <w:rFonts w:ascii="Arial" w:cs="Arial" w:eastAsia="Arial" w:hAnsi="Arial"/>
          <w:sz w:val="18"/>
          <w:szCs w:val="18"/>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TWIN and Epsolay</w:t>
      </w:r>
      <w:r>
        <w:rPr>
          <w:rFonts w:ascii="Arial" w:cs="Arial" w:eastAsia="Arial" w:hAnsi="Arial"/>
          <w:sz w:val="30"/>
          <w:szCs w:val="30"/>
          <w:color w:val="auto"/>
          <w:vertAlign w:val="superscript"/>
        </w:rPr>
        <w:t>®</w:t>
      </w:r>
      <w:r>
        <w:rPr>
          <w:rFonts w:ascii="Arial" w:cs="Arial" w:eastAsia="Arial" w:hAnsi="Arial"/>
          <w:sz w:val="18"/>
          <w:szCs w:val="18"/>
          <w:color w:val="auto"/>
        </w:rPr>
        <w:t xml:space="preserve">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 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26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233"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201" w:lineRule="exact"/>
        <w:rPr>
          <w:sz w:val="20"/>
          <w:szCs w:val="20"/>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severity of the disease under investigation;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size and nature of the patient population;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eligibility criteria for the trial;</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9" w:name="page20"/>
    <w:bookmarkEnd w:id="19"/>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design of the trial protocol;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perceived risks and benefits of the product candidate under study;</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proximity to and availability of clinical trial sites for prospective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availability of competing therapies and clinical trials;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ability to monitor patients adequately during and after treatment.</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128 patients, or 17.6% of patients enrolled in our TWIN Phase II clinical trial, did not complete the study protocol. The most common reasons for subjects not completing the study were the withdrawal of informed consent (42 subjects), loss to follow-up (56 subjects) and adverse events (18 subjects).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2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22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0" w:name="page21"/>
    <w:bookmarkEnd w:id="20"/>
    <w:p>
      <w:pPr>
        <w:jc w:val="both"/>
        <w:spacing w:after="0" w:line="302" w:lineRule="auto"/>
        <w:rPr>
          <w:sz w:val="20"/>
          <w:szCs w:val="20"/>
          <w:color w:val="auto"/>
        </w:rPr>
      </w:pPr>
      <w:r>
        <w:rPr>
          <w:rFonts w:ascii="Arial" w:cs="Arial" w:eastAsia="Arial" w:hAnsi="Arial"/>
          <w:sz w:val="16"/>
          <w:szCs w:val="16"/>
          <w:b w:val="1"/>
          <w:bCs w:val="1"/>
          <w:i w:val="1"/>
          <w:iCs w:val="1"/>
          <w:color w:val="auto"/>
        </w:rPr>
        <w:t>If the FDA does not conclude that our product candidates for which we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208"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are developing product candidates for which we intend to seek FDA approval through the Section 505(b)(2) regulatory pathway. The Drug Price Competition and Patent Term Restoration Act of 1984, also known as the Hatch-Waxman Act,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223"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 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505(b)(2) regulatory pathway, there is no guarantee this would ultimately lead to accelerated product development or earlier approval.</w:t>
      </w:r>
    </w:p>
    <w:p>
      <w:pPr>
        <w:spacing w:after="0" w:line="23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20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Risk Evaluation and Mitigation Strategy,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21" w:name="page22"/>
    <w:bookmarkEnd w:id="21"/>
    <w:p>
      <w:pPr>
        <w:jc w:val="both"/>
        <w:ind w:firstLine="360"/>
        <w:spacing w:after="0" w:line="271" w:lineRule="auto"/>
        <w:rPr>
          <w:sz w:val="20"/>
          <w:szCs w:val="20"/>
          <w:color w:val="auto"/>
        </w:rPr>
      </w:pPr>
      <w:r>
        <w:rPr>
          <w:rFonts w:ascii="Arial" w:cs="Arial" w:eastAsia="Arial" w:hAnsi="Arial"/>
          <w:sz w:val="17"/>
          <w:szCs w:val="17"/>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23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235" w:lineRule="exact"/>
        <w:rPr>
          <w:sz w:val="20"/>
          <w:szCs w:val="20"/>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suspend or impose restrictions on operations, including costly new manufacturing requirements;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refuse to approve pending applications or supplements to applications;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suspend any ongoing clinical trials;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suspend or withdraw marketing approval;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seek an injunction or impose civil or criminal penalties or monetary fines;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FDA could ban or restrict imports and exports;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FDA could issue warning letters or untitled letters or similar enforcement actions alleging noncompliance with regulatory requirements; or</w:t>
      </w:r>
    </w:p>
    <w:p>
      <w:pPr>
        <w:spacing w:after="0" w:line="290" w:lineRule="exact"/>
        <w:rPr>
          <w:rFonts w:ascii="Arial" w:cs="Arial" w:eastAsia="Arial" w:hAnsi="Arial"/>
          <w:sz w:val="17"/>
          <w:szCs w:val="17"/>
          <w:color w:val="auto"/>
        </w:rPr>
      </w:pPr>
    </w:p>
    <w:p>
      <w:pPr>
        <w:ind w:left="720" w:hanging="361"/>
        <w:spacing w:after="0" w:line="308" w:lineRule="auto"/>
        <w:tabs>
          <w:tab w:leader="none" w:pos="7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20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2" w:name="page23"/>
    <w:bookmarkEnd w:id="22"/>
    <w:p>
      <w:pPr>
        <w:jc w:val="both"/>
        <w:ind w:firstLine="360"/>
        <w:spacing w:after="0" w:line="291" w:lineRule="auto"/>
        <w:rPr>
          <w:sz w:val="20"/>
          <w:szCs w:val="20"/>
          <w:color w:val="auto"/>
        </w:rPr>
      </w:pPr>
      <w:r>
        <w:rPr>
          <w:rFonts w:ascii="Arial" w:cs="Arial" w:eastAsia="Arial" w:hAnsi="Arial"/>
          <w:sz w:val="16"/>
          <w:szCs w:val="16"/>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For example, in December 2016, the 21th century Cures Act, or Cures Act, was signed into law. The Cures Act, among other things, is intended to modernize the regulation of drugs and spur innovation. If we are slow or unable to adapt to changes in existing requirements or the adoption of new requirements or policies, or if we are not able to maintain regulatory compliance, we may lose any marketing approval that we may have obtained, which would adversely affect our business, prospects and ability to achieve or sustain profitability. In addition, costs arising out of any regulatory developments could be time-consuming and expensive and could divert management resources and attention and, consequently, could adversely affect our business operations and financial performance.</w:t>
      </w:r>
    </w:p>
    <w:p>
      <w:pPr>
        <w:spacing w:after="0" w:line="221"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It is difficult to predict how these executive actions, including the Executive Orders, will be implemented, and the extent to which they will impact the FDA’s ability to exercise its regulatory authority. If these executive actions impose constraints on the FDA’s ability to engage in oversight and implementation activities in the normal course, our business may be negatively impacted.</w:t>
      </w:r>
    </w:p>
    <w:p>
      <w:pPr>
        <w:spacing w:after="0" w:line="2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degree and rate of physician and patient adoption of our branded product candidates and any of our generic product candidates, if approved, will depend on a number of factors, including:</w:t>
      </w:r>
    </w:p>
    <w:p>
      <w:pPr>
        <w:spacing w:after="0" w:line="224" w:lineRule="exact"/>
        <w:rPr>
          <w:sz w:val="20"/>
          <w:szCs w:val="20"/>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clinical indications for which the product is approved;</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3" w:name="page24"/>
    <w:bookmarkEnd w:id="23"/>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safety and efficacy of our product as compared to existing therapies for those indications;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prevalence and severity of adverse side effects;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patient demand for the treatment of acne and rosacea or other indications;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cost of treatment in relation to alternative treatments, the extent to which these costs are reimbursed by third-party payors, and patients’ willingness to pay for our product candidates; and</w:t>
      </w:r>
    </w:p>
    <w:p>
      <w:pPr>
        <w:spacing w:after="0" w:line="224"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23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22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We conduct research and development primarily to enable us to manufacture and market topical dermatological creams containing drugs in accordance with FDA regulations as well as other regulatory authorities. We spent approximately $17.0 million, $25.8 million and $28.1 million on research and development activities during the years ended December 31, 2016, 2017 and 2018, respectively. We are required to obtain FDA approval before marketing our product candidates in the United States. The FDA approval process is costly, time consuming and inherently risky.</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235" w:lineRule="exact"/>
        <w:rPr>
          <w:sz w:val="20"/>
          <w:szCs w:val="20"/>
          <w:color w:val="auto"/>
        </w:rPr>
      </w:pPr>
    </w:p>
    <w:p>
      <w:pPr>
        <w:jc w:val="both"/>
        <w:spacing w:after="0" w:line="381" w:lineRule="auto"/>
        <w:rPr>
          <w:sz w:val="20"/>
          <w:szCs w:val="20"/>
          <w:color w:val="auto"/>
        </w:rPr>
      </w:pPr>
      <w:r>
        <w:rPr>
          <w:rFonts w:ascii="Arial" w:cs="Arial" w:eastAsia="Arial" w:hAnsi="Arial"/>
          <w:sz w:val="15"/>
          <w:szCs w:val="15"/>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15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 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4" w:name="page25"/>
    <w:bookmarkEnd w:id="24"/>
    <w:p>
      <w:pPr>
        <w:jc w:val="both"/>
        <w:ind w:firstLine="360"/>
        <w:spacing w:after="0" w:line="254" w:lineRule="auto"/>
        <w:rPr>
          <w:sz w:val="20"/>
          <w:szCs w:val="20"/>
          <w:color w:val="auto"/>
        </w:rPr>
      </w:pPr>
      <w:r>
        <w:rPr>
          <w:rFonts w:ascii="Arial" w:cs="Arial" w:eastAsia="Arial" w:hAnsi="Arial"/>
          <w:sz w:val="18"/>
          <w:szCs w:val="18"/>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risk as a result of international manufacturing operations.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Certain of our product candidates may be manufactured at third-party facilities located in Canada, New Zealand and India, in addition to our facility in Israel, and therefore our operations are subject to risks inherent in doing business internationally. Such risks include the adverse effects on operations from corruption, war, international terrorism, civil disturbances, political instability, governmental activities, deprivation of contract and property rights and currency valuation changes.</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time necessary to develop generic API or drug products may adversely affect whether, and the extent to which, we receive a return on our capital.</w:t>
      </w:r>
    </w:p>
    <w:p>
      <w:pPr>
        <w:spacing w:after="0" w:line="302"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The development process, including drug formulation where applicable, testing, and FDA review and approval for generic drug products often takes 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 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2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do not comply with laws regulating the protection of the environment and health and human safety, our business could be adversely affected.</w:t>
      </w:r>
    </w:p>
    <w:p>
      <w:pPr>
        <w:spacing w:after="0" w:line="302"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21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in the United States may harm our future business.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 if approved:</w:t>
      </w:r>
    </w:p>
    <w:p>
      <w:pPr>
        <w:spacing w:after="0" w:line="227" w:lineRule="exact"/>
        <w:rPr>
          <w:sz w:val="20"/>
          <w:szCs w:val="20"/>
          <w:color w:val="auto"/>
        </w:rPr>
      </w:pPr>
    </w:p>
    <w:p>
      <w:pPr>
        <w:jc w:val="both"/>
        <w:ind w:left="720" w:hanging="361"/>
        <w:spacing w:after="0" w:line="286" w:lineRule="auto"/>
        <w:tabs>
          <w:tab w:leader="none" w:pos="7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26" w:name="page27"/>
    <w:bookmarkEnd w:id="26"/>
    <w:p>
      <w:pPr>
        <w:ind w:left="7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providing a discount on brand-name prescriptions filled in the Medicare Part D coverage gap as a condition for the manufacturers’ outpatient drugs to be covered under Medicare Part 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imposing increased penalties for the violation of fraud and abuse laws and funding for anti-fraud activities;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creating a new pathway for approval of biosimilar biological products and granting an exclusivity period of 12 years for branded drug manufacturers of biological products before biosimilar products can be approved for marketing in the United States; and</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expanding the definition of “covered entities” that purchase certain outpatient drugs in the 340B Drug Pricing Program of Section 340B of the Public Health Service Act.</w:t>
      </w:r>
    </w:p>
    <w:p>
      <w:pPr>
        <w:spacing w:after="0" w:line="224"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227"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Since its enactment, there have been judicial and Congressional challenges to certain aspects of the Affordable Care Act. The current Presidential Administration and U.S. Congress have attempted and will likely continue to seek to modify, repeal, or otherwise invalidate all, or certain provisions of, the Affordable Care Act. Recently, the Tax Cuts and Jobs Act (the “Tax Act”) was enacted, which, among other things, removes penalties for not complying with the Affordable Care Act’s individual mandate to carry health insurance. Additionally,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While the Trump Administration and the Centers for Medicare &amp; Medicaid Services have both stated that the ruling will have no immediate effect, it is unclear how this decision, subsequent appeals, if any, and other efforts to repeal and replace the Affordable Care Act will impact the Affordable Care Act and our business. There may be additional challenges and amendments to the Affordable Care Act in the future. It is uncertain the extent to which any such changes may impact our business or financial condition.</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27" w:name="page28"/>
    <w:bookmarkEnd w:id="27"/>
    <w:p>
      <w:pPr>
        <w:jc w:val="both"/>
        <w:ind w:firstLine="360"/>
        <w:spacing w:after="0" w:line="286" w:lineRule="auto"/>
        <w:rPr>
          <w:sz w:val="20"/>
          <w:szCs w:val="20"/>
          <w:color w:val="auto"/>
        </w:rPr>
      </w:pPr>
      <w:r>
        <w:rPr>
          <w:rFonts w:ascii="Arial" w:cs="Arial" w:eastAsia="Arial" w:hAnsi="Arial"/>
          <w:sz w:val="16"/>
          <w:szCs w:val="16"/>
          <w:color w:val="auto"/>
        </w:rPr>
        <w:t>Moreover, other legislative changes have been proposed and adopted since the Affordable Care Act was enacted. For example, the Budget Control Act of 2011 resulted in aggregate reductions to Medicare payments to providers of 2% per fiscal year, which went into effect on April 1, 2013, and will remain in effect through 2025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continued growth is dependent on our ability to successfully develop and commercialize new product candidates in a timely manner.</w:t>
      </w:r>
    </w:p>
    <w:p>
      <w:pPr>
        <w:spacing w:after="0" w:line="29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financial results depend upon our ability to introduce and commercialize additional product candidates in a timely manner. Generally, revenue from new products is highest 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224"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TWIN and Epsolay®, if approved, will face significant competition from other approved products, including topical drugs, topical anti-acne drugs such as Acanya, Ziana, Epiduo, Epiduo Forte, Benzaclin, Aczone, Onexton and Differin and topical drugs for the treatment of rosacea such as Metrogel, Finacea and Soolantra, oral drugs such as Solodyn, Doryx, Dynacin and Minocin. If approved, TWIN and Epsolay® may also compete with non-prescription anti-acne products, as well as unapproved and off-label treatments. In addition, if approved, TWIN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8" w:name="page29"/>
    <w:bookmarkEnd w:id="28"/>
    <w:p>
      <w:pPr>
        <w:jc w:val="both"/>
        <w:ind w:firstLine="360"/>
        <w:spacing w:after="0" w:line="259" w:lineRule="auto"/>
        <w:rPr>
          <w:sz w:val="20"/>
          <w:szCs w:val="20"/>
          <w:color w:val="auto"/>
        </w:rPr>
      </w:pPr>
      <w:r>
        <w:rPr>
          <w:rFonts w:ascii="Arial" w:cs="Arial" w:eastAsia="Arial" w:hAnsi="Arial"/>
          <w:sz w:val="18"/>
          <w:szCs w:val="18"/>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believe that our principal competitors are Bausch Health, Inc., Galderma S.A., Almirall, LLC, LEO Pharma A/S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addition to the above listed competitors, some of our product candidates might face internal competition with other product candidates of ours, for the same markets and patient populations, due to overlap in the required treatment and/or symptoms. For example, Epsolay® may compete with ivermectin cream, 1%, for treatment of rosacea.</w:t>
      </w:r>
    </w:p>
    <w:p>
      <w:pPr>
        <w:spacing w:after="0" w:line="23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therefore we will only be able to commercialize this product after Actavis Ltd.’s six-month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9" w:name="page30"/>
    <w:bookmarkEnd w:id="29"/>
    <w:p>
      <w:pPr>
        <w:jc w:val="both"/>
        <w:ind w:firstLine="360"/>
        <w:spacing w:after="0" w:line="270" w:lineRule="auto"/>
        <w:rPr>
          <w:sz w:val="20"/>
          <w:szCs w:val="20"/>
          <w:color w:val="auto"/>
        </w:rPr>
      </w:pPr>
      <w:r>
        <w:rPr>
          <w:rFonts w:ascii="Arial" w:cs="Arial" w:eastAsia="Arial" w:hAnsi="Arial"/>
          <w:sz w:val="17"/>
          <w:szCs w:val="17"/>
          <w:color w:val="auto"/>
        </w:rPr>
        <w:t>In addition to the competition we face from other generic manufacturers, we face competition from brand-name manufacturers related to our generic product candidates. Branded pharmaceutical companies may sell their branded products as “authorized generics” (an industry term that describes instances when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generic versions we are developing, changing product claims and labeling, and seeking approval to market as OTC branded products.</w:t>
      </w:r>
    </w:p>
    <w:p>
      <w:pPr>
        <w:spacing w:after="0" w:line="236"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pacing w:after="0" w:line="23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Other pharmaceutical companies may develop competing products for acne, rosacea and other indications we are pursuing and enter the market ahead of us.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Other pharmaceutical companies are engaged in developing, patenting, manufacturing and marketing healthcare products that compete with those that we are developing. These potential 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41"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30" w:name="page31"/>
    <w:bookmarkEnd w:id="30"/>
    <w:p>
      <w:pPr>
        <w:jc w:val="both"/>
        <w:ind w:firstLine="360"/>
        <w:spacing w:after="0" w:line="264" w:lineRule="auto"/>
        <w:rPr>
          <w:sz w:val="20"/>
          <w:szCs w:val="20"/>
          <w:color w:val="auto"/>
        </w:rPr>
      </w:pPr>
      <w:r>
        <w:rPr>
          <w:rFonts w:ascii="Arial" w:cs="Arial" w:eastAsia="Arial" w:hAnsi="Arial"/>
          <w:sz w:val="18"/>
          <w:szCs w:val="18"/>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23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We currently have limited marketing capabilities and no sales organization. If we are unable to establish sales and marketing capabilities on our own or through third parties, we will be unable to successfully commercialize TWIN, Epsolay® or any other of our other product candidates, if approved, or generate product revenues.</w:t>
      </w:r>
    </w:p>
    <w:p>
      <w:pPr>
        <w:spacing w:after="0" w:line="235"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We currently have limited marketing capabilities and no sales organization. To commercialize TWIN, Epsolay® or any other of our other product candidates, if approved, in the United States and other jurisdictions we may seek to enter, we must build our marketing, sales, distribution, managerial and other non-technical capabilities or make arrangements with third parties to perform these services, and we may not be successful in doing so. For instance, if TWIN and Epsolay® receive regulatory approval from the FDA, we intend to market them in the United States through a specialized internal sales force or a combination of our internal sales force and distributors, which will be expensive and time-consuming. Alternatively, we may choose to collaborate with third parties that have direct sales forces and established distribution systems, either to augment our own sales force and distribution systems or in lieu of our own sales force and distribution systems. If we are unable to enter into such arrangements on acceptable terms or at all, we may not be able to successfully commercialize TWIN, Epsolay® or any of our other product candidates.</w:t>
      </w:r>
    </w:p>
    <w:p>
      <w:pPr>
        <w:spacing w:after="0" w:line="23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There are significant risks involved in building and managing a sales organization, including our ability to hire, retain and incentivize qualified individuals, generate sufficient sales leads, provide adequate training to sales and marketing personnel and effectively manage a geographically dispersed sales and marketing team. Any failure or delay in the development of our internal sales, marketing and distribution capabilities would adversely impact the commercialization of our product candidates.</w:t>
      </w:r>
    </w:p>
    <w:p>
      <w:pPr>
        <w:spacing w:after="0" w:line="241" w:lineRule="exact"/>
        <w:rPr>
          <w:sz w:val="20"/>
          <w:szCs w:val="20"/>
          <w:color w:val="auto"/>
        </w:rPr>
      </w:pPr>
    </w:p>
    <w:p>
      <w:pPr>
        <w:jc w:val="both"/>
        <w:ind w:firstLine="360"/>
        <w:spacing w:after="0" w:line="342" w:lineRule="auto"/>
        <w:rPr>
          <w:sz w:val="20"/>
          <w:szCs w:val="20"/>
          <w:color w:val="auto"/>
        </w:rPr>
      </w:pPr>
      <w:r>
        <w:rPr>
          <w:rFonts w:ascii="Arial" w:cs="Arial" w:eastAsia="Arial" w:hAnsi="Arial"/>
          <w:sz w:val="16"/>
          <w:szCs w:val="16"/>
          <w:color w:val="auto"/>
        </w:rPr>
        <w:t>If we are not successful in establishing sufficient sales and marketing capabilities to commercialize TWIN, Epsolay® or any of our other product candidates, either on our own or through collaborations with one or more third parties, our revenues will suffer and we will incur significant additional losses.</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31" w:name="page32"/>
    <w:bookmarkEnd w:id="31"/>
    <w:p>
      <w:pPr>
        <w:jc w:val="both"/>
        <w:spacing w:after="0" w:line="277" w:lineRule="auto"/>
        <w:rPr>
          <w:sz w:val="20"/>
          <w:szCs w:val="20"/>
          <w:color w:val="auto"/>
        </w:rPr>
      </w:pPr>
      <w:r>
        <w:rPr>
          <w:rFonts w:ascii="Arial" w:cs="Arial" w:eastAsia="Arial" w:hAnsi="Arial"/>
          <w:sz w:val="18"/>
          <w:szCs w:val="18"/>
          <w:b w:val="1"/>
          <w:bCs w:val="1"/>
          <w:i w:val="1"/>
          <w:iCs w:val="1"/>
          <w:color w:val="auto"/>
        </w:rPr>
        <w:t>Third-party payor coverage and adequate reimbursement may not be available for our product candidates, if approved, which could make it difficult for us to sell them profitably.</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 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226"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22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Outside the United States, sales of any approved products are generally subject to extensive governmental price controls and other market regulations, and we believe the increasing emphasis on cost-containment initiatives in Europe and other countries has and will continue to put pressure on the pricing and usage of our products, if any. In many countries, the prices of medical products are subject to varying price control mechanisms as part of national health systems. Other countries allow companies to fix their own prices for medical products but monitor and control company profits. Additional foreign price controls or other changes in pricing regulation could restrict the amount that we are able to charge for our products. Accordingly, in markets outside the United States, the reimbursement for our products may be reduced compared with the United States and may be insufficient to generate commercially reasonable revenue and profits.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2" w:name="page33"/>
    <w:bookmarkEnd w:id="32"/>
    <w:p>
      <w:pPr>
        <w:jc w:val="both"/>
        <w:spacing w:after="0" w:line="277" w:lineRule="auto"/>
        <w:rPr>
          <w:sz w:val="20"/>
          <w:szCs w:val="20"/>
          <w:color w:val="auto"/>
        </w:rPr>
      </w:pPr>
      <w:r>
        <w:rPr>
          <w:rFonts w:ascii="Arial" w:cs="Arial" w:eastAsia="Arial" w:hAnsi="Arial"/>
          <w:sz w:val="18"/>
          <w:szCs w:val="18"/>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241" w:lineRule="exact"/>
        <w:rPr>
          <w:sz w:val="20"/>
          <w:szCs w:val="20"/>
          <w:color w:val="auto"/>
        </w:rPr>
      </w:pPr>
    </w:p>
    <w:p>
      <w:pPr>
        <w:jc w:val="both"/>
        <w:ind w:left="720" w:hanging="361"/>
        <w:spacing w:after="0" w:line="257"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 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w:t>
      </w:r>
    </w:p>
    <w:p>
      <w:pPr>
        <w:spacing w:after="0" w:line="242" w:lineRule="exact"/>
        <w:rPr>
          <w:rFonts w:ascii="Arial" w:cs="Arial" w:eastAsia="Arial" w:hAnsi="Arial"/>
          <w:sz w:val="18"/>
          <w:szCs w:val="18"/>
          <w:color w:val="auto"/>
        </w:rPr>
      </w:pPr>
    </w:p>
    <w:p>
      <w:pPr>
        <w:jc w:val="both"/>
        <w:ind w:left="720" w:hanging="361"/>
        <w:spacing w:after="0" w:line="255"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247"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240"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235" w:lineRule="exact"/>
        <w:rPr>
          <w:rFonts w:ascii="Arial" w:cs="Arial" w:eastAsia="Arial" w:hAnsi="Arial"/>
          <w:sz w:val="18"/>
          <w:szCs w:val="18"/>
          <w:color w:val="auto"/>
        </w:rPr>
      </w:pPr>
    </w:p>
    <w:p>
      <w:pPr>
        <w:jc w:val="both"/>
        <w:ind w:left="720" w:hanging="361"/>
        <w:spacing w:after="0" w:line="255"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90th day of each calendar year;</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33" w:name="page34"/>
    <w:bookmarkEnd w:id="33"/>
    <w:p>
      <w:pPr>
        <w:ind w:left="720" w:hanging="361"/>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federal consumer protection and unfair competition laws, which broadly regulate marketplace activities and activities that potentially harm consumers;</w:t>
      </w:r>
    </w:p>
    <w:p>
      <w:pPr>
        <w:spacing w:after="0" w:line="224" w:lineRule="exact"/>
        <w:rPr>
          <w:rFonts w:ascii="Arial" w:cs="Arial" w:eastAsia="Arial" w:hAnsi="Arial"/>
          <w:sz w:val="18"/>
          <w:szCs w:val="18"/>
          <w:color w:val="auto"/>
        </w:rPr>
      </w:pPr>
    </w:p>
    <w:p>
      <w:pPr>
        <w:jc w:val="both"/>
        <w:ind w:left="720" w:hanging="361"/>
        <w:spacing w:after="0" w:line="290" w:lineRule="auto"/>
        <w:tabs>
          <w:tab w:leader="none" w:pos="7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analogous state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that require the reporting of pricing information and marketing expenditures; and state laws governing the privacy and security of health information in some circumstances, many of which differ from each other in significant ways and often are not preempted by HIPAA, thus complicating compliance efforts; and</w:t>
      </w:r>
    </w:p>
    <w:p>
      <w:pPr>
        <w:spacing w:after="0" w:line="220" w:lineRule="exact"/>
        <w:rPr>
          <w:rFonts w:ascii="Arial" w:cs="Arial" w:eastAsia="Arial" w:hAnsi="Arial"/>
          <w:sz w:val="16"/>
          <w:szCs w:val="16"/>
          <w:color w:val="auto"/>
        </w:rPr>
      </w:pPr>
    </w:p>
    <w:p>
      <w:pPr>
        <w:jc w:val="both"/>
        <w:ind w:left="720" w:hanging="361"/>
        <w:spacing w:after="0" w:line="259"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similar healthcare laws and regulations in the European Union and other non-U.S. jurisdictions, including reporting requirements detailing interactions with and payments to healthcare providers and laws governing the privacy and security of certain protected information, such as the General Data Protection Regulation, or GDPR, which imposes obligations and restrictions on the collection and use of personal data relating to individuals located in the EU (including health data).</w:t>
      </w:r>
    </w:p>
    <w:p>
      <w:pPr>
        <w:spacing w:after="0" w:line="247" w:lineRule="exact"/>
        <w:rPr>
          <w:sz w:val="20"/>
          <w:szCs w:val="20"/>
          <w:color w:val="auto"/>
        </w:rPr>
      </w:pPr>
    </w:p>
    <w:p>
      <w:pPr>
        <w:jc w:val="both"/>
        <w:ind w:firstLine="561"/>
        <w:spacing w:after="0" w:line="271" w:lineRule="auto"/>
        <w:rPr>
          <w:sz w:val="20"/>
          <w:szCs w:val="20"/>
          <w:color w:val="auto"/>
        </w:rPr>
      </w:pPr>
      <w:r>
        <w:rPr>
          <w:rFonts w:ascii="Arial" w:cs="Arial" w:eastAsia="Arial" w:hAnsi="Arial"/>
          <w:sz w:val="21"/>
          <w:szCs w:val="21"/>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integrity oversight and reporting obligations to resolve allegations of non-compliance,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4" w:name="page35"/>
    <w:bookmarkEnd w:id="34"/>
    <w:p>
      <w:pPr>
        <w:jc w:val="both"/>
        <w:spacing w:after="0" w:line="277" w:lineRule="auto"/>
        <w:rPr>
          <w:sz w:val="20"/>
          <w:szCs w:val="20"/>
          <w:color w:val="auto"/>
        </w:rPr>
      </w:pPr>
      <w:r>
        <w:rPr>
          <w:rFonts w:ascii="Arial" w:cs="Arial" w:eastAsia="Arial" w:hAnsi="Arial"/>
          <w:sz w:val="18"/>
          <w:szCs w:val="18"/>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22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225"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22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Public loss of confidence in the integrity of our pharmaceutical products as a result of counterfeiting or theft could have a material adverse effect on our business, financial position and results of operations.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Dependence on Third Parties</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242"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We are currently party to collaborative arrangements with respect to the development, manufacture, study and commercialization of certain of our product candidates including arrangements with Perrigo and Douglas Pharmaceuticals. Any current or future potential collaborative arrangements may require us to rely on external consultants, advisors, and experts for assistance in several key functions, including clinical development, manufacturing, regulatory and intellectual property.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212" w:lineRule="exact"/>
        <w:rPr>
          <w:sz w:val="20"/>
          <w:szCs w:val="20"/>
          <w:color w:val="auto"/>
        </w:rPr>
      </w:pPr>
    </w:p>
    <w:p>
      <w:pPr>
        <w:ind w:left="720" w:hanging="361"/>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may not be able to control the amount and timing of resources that our collaborators may devote to our product candidates;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should a collaborator fail to comply with applicable laws, rules, or regulations when performing services for us, we could be held liable for such violations;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35" w:name="page36"/>
    <w:bookmarkEnd w:id="35"/>
    <w:p>
      <w:pPr>
        <w:ind w:left="720" w:hanging="361"/>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current or future collaborators may fail to comply with local or any foreign health authorities’ laws and regulations, and as a result, the receipt of a site manufacturing, export or import license may be delayed or withheld for an undefined period;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current or future collaborators may experience financial difficulties or changes in business focus;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current or future collaborators’ partners may fail to secure adequate commercial supplies of our product candidates upon marketing approval, if at all;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current or future collaborators’ partners may have a shortage of qualified personnel;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we may be required to relinquish important rights, such as marketing and distribution rights;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business combinations or significant changes in a collaborator’s business strategy may adversely affect a collaborator’s willingness or ability to complete its obligations under any arrangement;</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under certain circumstances, a collaborator could move forward with a competing product developed either independently or in collaboration with others, including our competitors;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current or future collaborators may utilize our proprietary information in a way that could expose us to competitive harm; and</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collaborative arrangements are often terminated or allowed to expire, which could delay the development and may increase the cost of developing our product candidates.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any of these scenarios materialize, they could have an adverse effect on our business, financial condition or results of operations.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6" w:name="page37"/>
    <w:bookmarkEnd w:id="36"/>
    <w:p>
      <w:pPr>
        <w:jc w:val="both"/>
        <w:spacing w:after="0" w:line="279" w:lineRule="auto"/>
        <w:rPr>
          <w:sz w:val="20"/>
          <w:szCs w:val="20"/>
          <w:color w:val="auto"/>
        </w:rPr>
      </w:pPr>
      <w:r>
        <w:rPr>
          <w:rFonts w:ascii="Arial" w:cs="Arial" w:eastAsia="Arial" w:hAnsi="Arial"/>
          <w:sz w:val="17"/>
          <w:szCs w:val="17"/>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is approved, we may not have access to sufficient quantities or such quantities at an acceptable cost, which could delay, prevent or impair our development or commercialization efforts.</w:t>
      </w:r>
    </w:p>
    <w:p>
      <w:pPr>
        <w:spacing w:after="0" w:line="22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 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227"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236"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pacing w:after="0" w:line="23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37" w:name="page38"/>
    <w:bookmarkEnd w:id="37"/>
    <w:p>
      <w:pPr>
        <w:jc w:val="both"/>
        <w:spacing w:after="0" w:line="264" w:lineRule="auto"/>
        <w:rPr>
          <w:sz w:val="20"/>
          <w:szCs w:val="20"/>
          <w:color w:val="auto"/>
        </w:rPr>
      </w:pPr>
      <w:r>
        <w:rPr>
          <w:rFonts w:ascii="Arial" w:cs="Arial" w:eastAsia="Arial" w:hAnsi="Arial"/>
          <w:sz w:val="18"/>
          <w:szCs w:val="18"/>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242"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23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8" w:name="page39"/>
    <w:bookmarkEnd w:id="38"/>
    <w:p>
      <w:pPr>
        <w:jc w:val="both"/>
        <w:spacing w:after="0" w:line="286" w:lineRule="auto"/>
        <w:rPr>
          <w:sz w:val="20"/>
          <w:szCs w:val="20"/>
          <w:color w:val="auto"/>
        </w:rPr>
      </w:pPr>
      <w:r>
        <w:rPr>
          <w:rFonts w:ascii="Arial" w:cs="Arial" w:eastAsia="Arial" w:hAnsi="Arial"/>
          <w:sz w:val="17"/>
          <w:szCs w:val="17"/>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220"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232"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 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depend on our intellectual property, and our future success is dependent on our ability to protect our intellectual property and not infringe on the rights of others.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243" w:lineRule="exact"/>
        <w:rPr>
          <w:sz w:val="20"/>
          <w:szCs w:val="20"/>
          <w:color w:val="auto"/>
        </w:rPr>
      </w:pPr>
    </w:p>
    <w:p>
      <w:pPr>
        <w:ind w:left="5620" w:right="5620" w:hanging="5261"/>
        <w:spacing w:after="0" w:line="581" w:lineRule="auto"/>
        <w:tabs>
          <w:tab w:leader="none" w:pos="707" w:val="left"/>
        </w:tabs>
        <w:numPr>
          <w:ilvl w:val="0"/>
          <w:numId w:val="29"/>
        </w:numPr>
        <w:rPr>
          <w:rFonts w:ascii="Arial" w:cs="Arial" w:eastAsia="Arial" w:hAnsi="Arial"/>
          <w:sz w:val="16"/>
          <w:szCs w:val="16"/>
          <w:color w:val="auto"/>
        </w:rPr>
      </w:pPr>
      <w:r>
        <w:rPr>
          <w:rFonts w:ascii="Arial" w:cs="Arial" w:eastAsia="Arial" w:hAnsi="Arial"/>
          <w:sz w:val="16"/>
          <w:szCs w:val="16"/>
          <w:color w:val="auto"/>
        </w:rPr>
        <w:t>any of our future processes or product candidates will be patentable; 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318135</wp:posOffset>
            </wp:positionV>
            <wp:extent cx="72466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9" w:name="page40"/>
    <w:bookmarkEnd w:id="39"/>
    <w:p>
      <w:pPr>
        <w:ind w:left="720" w:hanging="361"/>
        <w:spacing w:after="0"/>
        <w:tabs>
          <w:tab w:leader="none" w:pos="7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processes or product candidates will not infringe upon the patents of third parties; or</w:t>
      </w:r>
    </w:p>
    <w:p>
      <w:pPr>
        <w:spacing w:after="0" w:line="279" w:lineRule="exact"/>
        <w:rPr>
          <w:rFonts w:ascii="Arial" w:cs="Arial" w:eastAsia="Arial" w:hAnsi="Arial"/>
          <w:sz w:val="18"/>
          <w:szCs w:val="18"/>
          <w:color w:val="auto"/>
        </w:rPr>
      </w:pPr>
    </w:p>
    <w:p>
      <w:pPr>
        <w:ind w:left="720" w:hanging="361"/>
        <w:spacing w:after="0" w:line="308" w:lineRule="auto"/>
        <w:tabs>
          <w:tab w:leader="none" w:pos="7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20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232"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 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21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40" w:name="page41"/>
    <w:bookmarkEnd w:id="40"/>
    <w:p>
      <w:pPr>
        <w:jc w:val="both"/>
        <w:ind w:firstLine="360"/>
        <w:spacing w:after="0" w:line="255" w:lineRule="auto"/>
        <w:rPr>
          <w:sz w:val="20"/>
          <w:szCs w:val="20"/>
          <w:color w:val="auto"/>
        </w:rPr>
      </w:pPr>
      <w:r>
        <w:rPr>
          <w:rFonts w:ascii="Arial" w:cs="Arial" w:eastAsia="Arial" w:hAnsi="Arial"/>
          <w:sz w:val="18"/>
          <w:szCs w:val="18"/>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TWIN for the treatment of acne . As part of this assignment agreement, we granted to Medicis a non-exclusive, transferable, sub-licensable, royalty-free, perpetual, license to practice the inventions claimed under the patent.</w:t>
      </w:r>
    </w:p>
    <w:p>
      <w:pPr>
        <w:spacing w:after="0" w:line="247"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20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unable to protect the confidentiality of our trade secrets or know-how, such proprietary information may be used by others to compete against us.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23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 information. If a dispute arises with respect to any proprietary right, enforcement of our rights can be costly and unpredictable and a court may determine that the right belongs to a third party.</w:t>
      </w: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1" w:name="page42"/>
    <w:bookmarkEnd w:id="41"/>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23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pacing w:after="0" w:line="21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22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201"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42" w:name="page43"/>
    <w:bookmarkEnd w:id="42"/>
    <w:p>
      <w:pPr>
        <w:jc w:val="both"/>
        <w:ind w:firstLine="360"/>
        <w:spacing w:after="0" w:line="290" w:lineRule="auto"/>
        <w:rPr>
          <w:sz w:val="20"/>
          <w:szCs w:val="20"/>
          <w:color w:val="auto"/>
        </w:rPr>
      </w:pPr>
      <w:r>
        <w:rPr>
          <w:rFonts w:ascii="Arial" w:cs="Arial" w:eastAsia="Arial" w:hAnsi="Arial"/>
          <w:sz w:val="16"/>
          <w:szCs w:val="16"/>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220" w:lineRule="exact"/>
        <w:rPr>
          <w:sz w:val="20"/>
          <w:szCs w:val="20"/>
          <w:color w:val="auto"/>
        </w:rPr>
      </w:pPr>
    </w:p>
    <w:p>
      <w:pPr>
        <w:ind w:left="720" w:hanging="361"/>
        <w:spacing w:after="0"/>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these agreements may be breached;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these agreements may not provide adequate remedies for the applicable type of breach;</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trade secrets or proprietary know-how will otherwise become known;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competitors will independently develop similar technology or proprietary information.</w:t>
      </w:r>
    </w:p>
    <w:p>
      <w:pPr>
        <w:spacing w:after="0" w:line="2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24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224"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In the United States, we expect to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The 505(b)(2) application would enable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3" w:name="page44"/>
    <w:bookmarkEnd w:id="43"/>
    <w:p>
      <w:pPr>
        <w:jc w:val="both"/>
        <w:ind w:firstLine="360"/>
        <w:spacing w:after="0" w:line="269" w:lineRule="auto"/>
        <w:rPr>
          <w:sz w:val="20"/>
          <w:szCs w:val="20"/>
          <w:color w:val="auto"/>
        </w:rPr>
      </w:pPr>
      <w:r>
        <w:rPr>
          <w:rFonts w:ascii="Arial" w:cs="Arial" w:eastAsia="Arial" w:hAnsi="Arial"/>
          <w:sz w:val="17"/>
          <w:szCs w:val="17"/>
          <w:color w:val="auto"/>
        </w:rPr>
        <w:t>Under the Hatch-Waxman Act, the holder of patents that the 505(b)(2) application references may file a patent infringement lawsuit after receiving notice of the paragraph IV certification. Filing of a patent infringement lawsuit against the filer of the 505(b)(2) applicant within 45 days of 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23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225"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Risks Related to Our Operations in Israel</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Since the establishment of the State of Israel in 1948, a number of armed conflicts have taken place between Israel and its Arab neighbors, including Hezbollah in Lebanon (and Syria) and Hamas in the Gaza Strip, both of which involved missile strikes in various parts of Israel causing the disruption of economic activities. Our principal offices are located within the range of rockets that could be fired from Lebanon, Syria or the Gaza Strip into Israel. In addition, Israel faces many threats from more distant neighbors, in particular, Iran. Parties with whom we do business have sometimes declined to travel to Israel during periods of heightened unrest or tension, forcing us to make alternative arrangements when necessary. In addition, the political and security situation in Israel may result in parties with whom we have agreements involving performance in Israel claiming that they are not obligated to perform their commitments under those agreements pursuant to force majeure provisions in such agreements. Any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23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23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Exchange rate fluctuations between the U.S. dollar, the New Israeli Shekel and other foreign currencies, may negatively affect our future revenues.</w:t>
      </w:r>
    </w:p>
    <w:p>
      <w:pPr>
        <w:spacing w:after="0" w:line="30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i w:val="1"/>
          <w:iCs w:val="1"/>
          <w:color w:val="auto"/>
        </w:rPr>
        <w:t>Our operations may be affected by negative labor conditions in Israel.</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could be disrupted as a result of the obligation of our personnel to perform military service.</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Substantially all of our executive officers and key employees reside in Israel and although most of them are no longer required to perform reserve duty, some may be required to perform annual military 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24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w:t>
      </w:r>
    </w:p>
    <w:p>
      <w:pPr>
        <w:spacing w:after="0" w:line="201" w:lineRule="exact"/>
        <w:rPr>
          <w:sz w:val="20"/>
          <w:szCs w:val="20"/>
          <w:color w:val="auto"/>
        </w:rPr>
      </w:pPr>
    </w:p>
    <w:p>
      <w:pPr>
        <w:jc w:val="both"/>
        <w:ind w:firstLine="360"/>
        <w:spacing w:after="0" w:line="267" w:lineRule="auto"/>
        <w:rPr>
          <w:sz w:val="20"/>
          <w:szCs w:val="20"/>
          <w:color w:val="auto"/>
        </w:rPr>
      </w:pPr>
      <w:r>
        <w:rPr>
          <w:rFonts w:ascii="Arial" w:cs="Arial" w:eastAsia="Arial" w:hAnsi="Arial"/>
          <w:sz w:val="17"/>
          <w:szCs w:val="17"/>
          <w:color w:val="auto"/>
        </w:rPr>
        <w:t>We have received royalty-bearing grants from the government of Israel through the National Authority for Technological Innovation, or the Israel Innovation Authority, known as the “IIA” (formerly known as the Office of the Chief Scientist of the Ministry of Economy and Industry, or the OCS), for the financing of a portion of our research and development expenditures in Israel. These IIA grants relate to a peripheral line of product candidates which forms a negligible part of our activities. We are required to pay the IIA royalties from the revenues generated from the sale of products (and related services) or services developed (in all or in part) according to, or as a result of, a research and development program funded by the IIA (at rates which are determined under the Encouragement of Research, Development and Technological Innovation in the Industry Law 5744-1984, or the Innovation Law, and related rules and regulations), up to the aggregate amount of the total grants received by the IIA, plus annual interest at an annual rate based on LIBOR. When know-how is developed using IIA grants, the Innovation Law, the IIA’s rules and guidelines as well as the terms of these grants, restrict our ability to manufacture product candidates and transfer know-how developed as a result of the IIA’s funded R&amp;D outside of Israel. Transfer of the IIA funded know-how outside of Israel where the transferring company remains an operating Israeli entity or where the transferring company ceases to exist as an Israeli entity, requires pre-approval by the IIA, which may, at its sole discretion, grant such approval and impose certain conditions, including payment of a redemption fee calculated according to the formulas provided in the IIA’s rules and guidelines, or Redemption Fee, which takes into account the consideration for such know-how paid to the transferring company in the transaction in which the know-how is transferred. The IIA’s rules and guidelines establish a maximum payment of the Redemption Fee under the formulas provided in the IIA’s rules and guidelines and differentiates between certain situations, as further detailed in such rules and guidelines (while in any event the Redemption Fee will not exceed six times the grants received). In addition, the product candidates may be manufactured outside of Israel by us or by another entity only if prior approval is received from the IIA (such approval is not required for the transfer of less than 10% of the manufacturing capacity in the aggregate). In addition to the obligation to receive prior approval to manufacture outside Israel, in general, a company that transfers manufacturing rights abroad will be required to pay royalties at an accelerated rate and will be required to pay increased royalties, as defined under the IIA’s rules and guidelines. The total amount of the increased royalties to be repaid to the IIA shall not exceed, in the aggregate, 300% of the amount of the grant received (dollar linked), plus interest at annual rate based on LIBOR, depending on the manufacturing volume that is performed outside Israel less royalties already paid to the IIA.</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46" w:name="page47"/>
    <w:bookmarkEnd w:id="46"/>
    <w:p>
      <w:pPr>
        <w:jc w:val="both"/>
        <w:ind w:right="20" w:firstLine="360"/>
        <w:spacing w:after="0" w:line="308" w:lineRule="auto"/>
        <w:rPr>
          <w:sz w:val="20"/>
          <w:szCs w:val="20"/>
          <w:color w:val="auto"/>
        </w:rPr>
      </w:pPr>
      <w:r>
        <w:rPr>
          <w:rFonts w:ascii="Arial" w:cs="Arial" w:eastAsia="Arial" w:hAnsi="Arial"/>
          <w:sz w:val="17"/>
          <w:szCs w:val="17"/>
          <w:color w:val="auto"/>
        </w:rPr>
        <w:t>A company also has the option of declaring in its IIA grant application its intention to exercise a portion of the manufacturing capacity abroad, thus avoiding the need to obtain additional approval following the receipt of the grant and avoiding the need to pay increased royalties to the IIA.</w:t>
      </w:r>
    </w:p>
    <w:p>
      <w:pPr>
        <w:spacing w:after="0" w:line="20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Recently, the IIA has published new rules and guidelines with respect to the grant to a foreign entity of the right to use know-how that was developed using the IIA’s grants, or Funded Know-How. According to these rules, the grant to a foreign entity of a right to use the Funded Know-How (which does not entirely prevent the IIA funded company from using the Funded Know-How) is subject to receipt of the IIA’s prior approval. This approval is subject to payment to the IIA in accordance with the formulas stipulated in these rules.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On August 2018, the IIA updated the abovementioned rules and established a new mechanism with respect to the grant of a license by a company (which is part of a multinational corporation) that received grants from the IIA to its group entities to use its funded Know-How. Such license is subject to the IIA's prior approval and to the payment of 5% royalties from the income deriving from such license. Such mechanism includes certain restrictions which must be met in order to be able to enjoy such lower royalty payment.</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Subject to prior consent of the IIA, we may transfer Funded Know-How to another Israeli company, provided that the acquiring company assumes all of our responsibilities toward the IIA. In addition, such transfer will not be subject to the payment of the Redemption Fee, but there will be an obligation to pay royalties to the IIA from the income of such sale transaction as part of the royalty payment obligation.</w:t>
      </w:r>
    </w:p>
    <w:p>
      <w:pPr>
        <w:spacing w:after="0" w:line="235"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The restrictions under the IIA’s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IIA, the IIA confirmed to us that products based on encapsulation technology of solid material are exempt from royalty payment obligations to the IIA. Our product candidates TWIN and Epsolay® fall within the category of products based on encapsulation technology of solid material. However, there can be no guarantee that the IIA will not in the future attempt to claim royalties with respect to these products, or that future products will not be subject to royalties.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7" w:name="page48"/>
    <w:bookmarkEnd w:id="47"/>
    <w:p>
      <w:pPr>
        <w:jc w:val="both"/>
        <w:ind w:firstLine="360"/>
        <w:spacing w:after="0" w:line="272" w:lineRule="auto"/>
        <w:rPr>
          <w:sz w:val="20"/>
          <w:szCs w:val="20"/>
          <w:color w:val="auto"/>
        </w:rPr>
      </w:pPr>
      <w:r>
        <w:rPr>
          <w:rFonts w:ascii="Arial" w:cs="Arial" w:eastAsia="Arial" w:hAnsi="Arial"/>
          <w:sz w:val="17"/>
          <w:szCs w:val="17"/>
          <w:color w:val="auto"/>
        </w:rPr>
        <w:t>These restrictions may impair our ability to enter into agreements for Funded Know-How product candidates or technologies without the approval of the IIA. We cannot be certain that any approval of the IIA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IIA. Any approval, if given, will generally be subject to additional financial obligations. Failure to comply with the requirements under the IIA’s rules and guidelines and the Innovation Law may subject us to financial sanctions, to mandatory repayment of grants received by us (together with interest and penalties), as well as expose us to criminal proceedings.</w:t>
      </w:r>
    </w:p>
    <w:p>
      <w:pPr>
        <w:spacing w:after="0" w:line="232"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 xml:space="preserve">In August 2015, a new amendment to the Innovation Law was enacted, or Amendment No. 7, which came into effect on January 1, 2016. Since Amendment No. 7 has entered into force, the IIA was appointed to act as the entity which is responsible for the activity which was previously under the OCS’ responsibility. The IIA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IIA. Although the IIA recently published rules, which for the most part adopted the principal provisions and restrictions specified in the Innovation Law prior to the effectiveness of Amendment No. 7, as of the date of this annual report, we are unable to assess the effect on our business of any future rules which may be published by the IIA. See “Item 4. Information on the Company – B. Business Overview — Government Regulation — </w:t>
      </w:r>
      <w:r>
        <w:rPr>
          <w:rFonts w:ascii="Arial" w:cs="Arial" w:eastAsia="Arial" w:hAnsi="Arial"/>
          <w:sz w:val="18"/>
          <w:szCs w:val="18"/>
          <w:i w:val="1"/>
          <w:iCs w:val="1"/>
          <w:color w:val="auto"/>
        </w:rPr>
        <w:t>IIA</w:t>
      </w:r>
      <w:r>
        <w:rPr>
          <w:rFonts w:ascii="Arial" w:cs="Arial" w:eastAsia="Arial" w:hAnsi="Arial"/>
          <w:sz w:val="18"/>
          <w:szCs w:val="18"/>
          <w:color w:val="auto"/>
        </w:rPr>
        <w:t>.”</w:t>
      </w:r>
    </w:p>
    <w:p>
      <w:pPr>
        <w:spacing w:after="0" w:line="25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Enforcing a U.S. judgment against us and our current executive officers and directors, or asserting U.S. securities law claims in Israel, may be difficult.</w:t>
      </w:r>
    </w:p>
    <w:p>
      <w:pPr>
        <w:spacing w:after="0" w:line="31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are incorporated in Israel. All of our current executive officers and directors reside in Israel (other than two of our directors who reside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242"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241"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22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21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224"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have entered into assignment of invention agreements with our employees pursuant to which such individuals agree to assign to us all rights to any inventions created during and as a result of their employment or engagement with us. A significant portion of our intellectual property has been developed by our employees in the course of their employment for us. Under the Israeli Patents Law, 5727-1967, or the Patents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Patents Law also provides that if there is no agreement between an employer and an employee with respect to the employee’s right to receive compensation for such “service inventions,” the Israeli Compensation and Royalties Committee, or the Committee, a body constituted under the Patents Law, shall determine whether the employee is entitled to remuneration for service inventions developed by such employee and the scope and conditions for such remuneration. Although our employees have agreed to assign to us service invention rights and have waived their right to receive remuneration for their service inventions,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9" w:name="page50"/>
    <w:bookmarkEnd w:id="49"/>
    <w:p>
      <w:pPr>
        <w:spacing w:after="0"/>
        <w:rPr>
          <w:sz w:val="20"/>
          <w:szCs w:val="20"/>
          <w:color w:val="auto"/>
        </w:rPr>
      </w:pPr>
      <w:r>
        <w:rPr>
          <w:rFonts w:ascii="Arial" w:cs="Arial" w:eastAsia="Arial" w:hAnsi="Arial"/>
          <w:sz w:val="15"/>
          <w:szCs w:val="15"/>
          <w:b w:val="1"/>
          <w:bCs w:val="1"/>
          <w:i w:val="1"/>
          <w:iCs w:val="1"/>
          <w:color w:val="auto"/>
        </w:rPr>
        <w:t>The government tax benefits that we currently are entitled to receive require us to meet several conditions and may be terminated or reduced in the future.</w:t>
      </w:r>
    </w:p>
    <w:p>
      <w:pPr>
        <w:spacing w:after="0" w:line="31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Some of our operations in Israel may entitle us to certain tax benefits under the Law for the Encouragement of Capital Investments, 5719-1959, or the Investment Law, once we begin to produce revenues. If we do not meet the requirements for maintaining these benefits, they may be reduced or cancelled and the relevant operations would be subject to Israeli corporate tax at the standard rate, which is set at 23% in 2018 and thereafter.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“Item 10. Additional Information — Israeli Tax Considerations and Government Programs — Tax Benefits Under the 2011 Amendment” for additional information concerning these tax benefits.</w:t>
      </w:r>
    </w:p>
    <w:p>
      <w:pPr>
        <w:spacing w:after="0" w:line="23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Employee Matters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i w:val="1"/>
          <w:iCs w:val="1"/>
          <w:color w:val="auto"/>
        </w:rPr>
        <w:t>Under applicable employment laws, we may not be able to enforce covenants not to compete.</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 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Ordinary Shares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ordinary shares may be volatile and may fluctuate due to factors beyond our control.</w:t>
      </w:r>
    </w:p>
    <w:p>
      <w:pPr>
        <w:spacing w:after="0" w:line="279"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201" w:lineRule="exact"/>
        <w:rPr>
          <w:sz w:val="20"/>
          <w:szCs w:val="20"/>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positive or negative results of testing and clinical trials by us, strategic partners and competitors;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technological innovations or commercial product introductions by us or competitors;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changes in government regulations;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developments concerning proprietary rights, including patents and litigation matters;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public concern relating to the commercial value or safety of any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financing or other corporate transactions;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publication of research reports or comments by securities or industry analysts;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general market conditions in the pharmaceutical industry or in the economy as a whole;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other events and factors, many of which are beyond our control.</w:t>
      </w: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51" w:name="page52"/>
    <w:bookmarkEnd w:id="51"/>
    <w:p>
      <w:pPr>
        <w:jc w:val="both"/>
        <w:ind w:firstLine="360"/>
        <w:spacing w:after="0" w:line="279" w:lineRule="auto"/>
        <w:rPr>
          <w:sz w:val="20"/>
          <w:szCs w:val="20"/>
          <w:color w:val="auto"/>
        </w:rPr>
      </w:pPr>
      <w:r>
        <w:rPr>
          <w:rFonts w:ascii="Arial" w:cs="Arial" w:eastAsia="Arial" w:hAnsi="Arial"/>
          <w:sz w:val="17"/>
          <w:szCs w:val="17"/>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225"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201"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Arkin Dermatology is currently our controlling shareholder. As of January 23, 2019, Arkin Dermatology beneficially owned approximately 72.3% of the voting power of our outstanding ordinary shares. Therefore, Arkin Dermatology has the ability to substantially influence us and exert significant control through this ownership position. For example, Arkin Dermatology is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a “controlled company” within the meaning of Nasdaq listing standards and, as a result, will qualify for, and intend to rely on, exemptions from certain corporate governance requirements.</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As a result of the number of shares owned by Arkin Dermatology, we are a “controlled company” under the Nasdaq corporate governance rules. A “controlled company” is a company of which more than 50% of the voting power is held by an individual, group or another company. Pursuant to the “controlled company” exemption, we are not required to, and intend to not comply with the requirements that: (1) a majority of our board of directors consist of independent directors and (2) we have a nominating committee composed entirely of independent directors with a written charter addressing such committee’s purpose and responsibilities. See “Item 16G. Corporate Governance—Controlled Company.” Accordingly, you do not have the same protections afforded to shareholders of companies that are subject to all of the corporate governance requirements of the Nasdaq Global Market.</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ordinary shares could be negatively affected by future sales of our ordinary shares.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As of March 20, 2019, there are 18,949,968 ordinary shares outstanding. Future sales by us or our shareholders of a substantial number of our ordinary shares in the public market,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listed for trading are freely transferable, except for any shares held by our “affiliates,” as that term is defined in Rule 144 under the Securities Act of 1933, as amended, or the Securities Act.</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2" w:name="page53"/>
    <w:bookmarkEnd w:id="52"/>
    <w:p>
      <w:pPr>
        <w:jc w:val="both"/>
        <w:ind w:firstLine="360"/>
        <w:spacing w:after="0" w:line="276" w:lineRule="auto"/>
        <w:rPr>
          <w:sz w:val="20"/>
          <w:szCs w:val="20"/>
          <w:color w:val="auto"/>
        </w:rPr>
      </w:pPr>
      <w:r>
        <w:rPr>
          <w:rFonts w:ascii="Arial" w:cs="Arial" w:eastAsia="Arial" w:hAnsi="Arial"/>
          <w:sz w:val="17"/>
          <w:szCs w:val="17"/>
          <w:color w:val="auto"/>
        </w:rPr>
        <w:t>In addition, we have filed a registration statement on Form S-8 with the Securities and Exchange Commission, or the SEC, covering all of the ordinary shares issuable under our 2014 Share Incentive Plan, and we intend to filed one or more registration statements on Form S-8 covering all of the ordinary shares issuable under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227"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241"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166"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Arkin Dermatology, our controlling shareholder, as holder of 13,699,936 of our ordinary shares as of As of January 23, 2019, is entitled to require that we register under the Securities Act the resale of these shares into the public markets. All shares sold pursuant to an offering covered by such registration statement will be freely transferable. See “Item 7.B — Related Party Transactions — Registration Rights Agreement”.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broad discretion as to the use of the net proceeds from our initial public offering and may not use them effectively.</w:t>
      </w:r>
    </w:p>
    <w:p>
      <w:pPr>
        <w:spacing w:after="0" w:line="27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We intend to use the net proceeds from our initial public offering to fund our planned clinical trials of our branded product candidates, TWIN, and Epsolay®. The remaining proceeds will be used for other research and development activities, including the development of our generic product candidates, as well as for working capital and general corporate purposes. However, our management has broad discretion in the application of the net proceeds. Our shareholders may not agree with the manner in which our management chooses to allocate the net proceeds from our initial public offering. The failure by our management to apply these funds effectively could have a material adverse effect on our business, financial condition and results of operation. Pending their use, we may invest the net proceeds from our initial public offering in a manner that does not produce income.</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on our ordinary shares for at least the next several years.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We do not anticipate paying any cash dividends on our ordinary shares for at least the next several years.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“Item 8. Financial Information – A. Financial Statements and Other Financial Information - Dividend Policy.”</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53" w:name="page54"/>
    <w:bookmarkEnd w:id="53"/>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trading market for our ordinary shares relies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224"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201" w:lineRule="exact"/>
        <w:rPr>
          <w:sz w:val="20"/>
          <w:szCs w:val="20"/>
          <w:color w:val="auto"/>
        </w:rPr>
      </w:pPr>
    </w:p>
    <w:p>
      <w:pPr>
        <w:jc w:val="both"/>
        <w:ind w:left="720" w:hanging="361"/>
        <w:spacing w:after="0" w:line="264" w:lineRule="auto"/>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established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35" w:lineRule="exact"/>
        <w:rPr>
          <w:rFonts w:ascii="Arial" w:cs="Arial" w:eastAsia="Arial" w:hAnsi="Arial"/>
          <w:sz w:val="18"/>
          <w:szCs w:val="18"/>
          <w:color w:val="auto"/>
        </w:rPr>
      </w:pPr>
    </w:p>
    <w:p>
      <w:pPr>
        <w:jc w:val="both"/>
        <w:ind w:left="720" w:hanging="361"/>
        <w:spacing w:after="0" w:line="279" w:lineRule="auto"/>
        <w:tabs>
          <w:tab w:leader="none" w:pos="7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225" w:lineRule="exact"/>
        <w:rPr>
          <w:rFonts w:ascii="Arial" w:cs="Arial" w:eastAsia="Arial" w:hAnsi="Arial"/>
          <w:sz w:val="17"/>
          <w:szCs w:val="17"/>
          <w:color w:val="auto"/>
        </w:rPr>
      </w:pPr>
    </w:p>
    <w:p>
      <w:pPr>
        <w:jc w:val="both"/>
        <w:ind w:left="720" w:hanging="361"/>
        <w:spacing w:after="0" w:line="259" w:lineRule="auto"/>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241"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“Item 16G. Corporate Governance – Controlled Company".</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4" w:name="page55"/>
    <w:bookmarkEnd w:id="54"/>
    <w:p>
      <w:pPr>
        <w:jc w:val="both"/>
        <w:ind w:firstLine="360"/>
        <w:spacing w:after="0" w:line="276" w:lineRule="auto"/>
        <w:rPr>
          <w:sz w:val="20"/>
          <w:szCs w:val="20"/>
          <w:color w:val="auto"/>
        </w:rPr>
      </w:pPr>
      <w:r>
        <w:rPr>
          <w:rFonts w:ascii="Arial" w:cs="Arial" w:eastAsia="Arial" w:hAnsi="Arial"/>
          <w:sz w:val="17"/>
          <w:szCs w:val="17"/>
          <w:color w:val="auto"/>
        </w:rPr>
        <w:t>In addition, as a foreign private issuer, we are exempted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are exempted from the reporting and short-swing profit recovery provisions contained in Section 16 of the Exchange Act. In addition, we are not required under the Exchange Act to file annual, quarterly and current reports and financial statements with the SEC as frequently or as promptly as domestic companies whose securities are registered under the Exchange Act.</w:t>
      </w:r>
    </w:p>
    <w:p>
      <w:pPr>
        <w:spacing w:after="0" w:line="22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have been incurring, and will continue to incur increased costs as a result of operating as a public company, and our management will be required to devote substantial time to new compliance initiatives.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As a public company whose ordinary shares are listed in the United States, and particularly after we no longer qualify as an emerging growth company, we have been incurring and will continue to incur accounting, legal and other expenses that we did not incur as a private company, including costs associated with our reporting requirements under the Exchange Act. We also have incurred and anticipate that we will continue to incur costs associated with corporate governance requirements, including requirements under Section 404 and other provisions of the Sarbanes-Oxley Act of 2002 (the “Sarbanes-Oxley Act”), as well as rules implemented by the SEC and The Nasdaq Global Market, and provisions of Israeli corporate law applicable to public companies. These rules and regulations increase our legal and financial compliance costs, introduce new costs such as investor relations and stock exchange listing fees, and makes some activities more time-consuming and costly. Our board and other personnel need to devote a substantial amount of time to these initiatives. We are currently evaluating and monitoring developments with respect to these rules, and we cannot predict or estimate the amount of additional costs we may incur or the timing of such costs. 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5" w:name="page56"/>
    <w:bookmarkEnd w:id="55"/>
    <w:p>
      <w:pPr>
        <w:jc w:val="both"/>
        <w:ind w:firstLine="360"/>
        <w:spacing w:after="0" w:line="286" w:lineRule="auto"/>
        <w:rPr>
          <w:sz w:val="20"/>
          <w:szCs w:val="20"/>
          <w:color w:val="auto"/>
        </w:rPr>
      </w:pPr>
      <w:r>
        <w:rPr>
          <w:rFonts w:ascii="Arial" w:cs="Arial" w:eastAsia="Arial" w:hAnsi="Arial"/>
          <w:sz w:val="16"/>
          <w:szCs w:val="16"/>
          <w:color w:val="auto"/>
        </w:rPr>
        <w:t>Pursuant to Section 404 of the Sarbanes-Oxley Act and the related rules adopted by the SEC and the Public Company Accounting Oversight Board, starting with this Annual Report, our management is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The process of determining whether our existing internal controls over financial reporting systems are compliant with Section 404 and whether there are any material weaknesses or significant deficiencies in our existing internal controls requires the investment of substantial time and resources, including by our chief financial officer and other members of our senior management. As a result, this process may divert internal resources and take a significant amount of time and effort to complete. In addition, while our assessment of our internal control over financial reporting resulted in our conclusion that as of December 31, 2018, our internal control over financial reporting was effective, we cannot predict the outcome of this determination in future years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223"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6" w:name="page57"/>
    <w:bookmarkEnd w:id="56"/>
    <w:p>
      <w:pPr>
        <w:jc w:val="both"/>
        <w:spacing w:after="0" w:line="264"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235"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While our assessment of our internal control over financial reporting resulted in our conclusion that as of December 31, 2018, our internal control over financial reporting was effective, we cannot predict the outcome of our testing or any subsequent testing by our auditor in future periods.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and affect our reputation, which could have a negative effect on the trading price of our ordinary shares.</w:t>
      </w:r>
    </w:p>
    <w:p>
      <w:pPr>
        <w:spacing w:after="0" w:line="25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21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the reduced disclosure requirements applicable to emerging growth companies may make our ordinary shares less attractive to investors.</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our initial public offering. We will remain an emerging growth company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7" w:name="page58"/>
    <w:bookmarkEnd w:id="57"/>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expect to be a passive foreign investment company for U.S. federal income tax purposes for the current tax year and possibly thereafter, which could result in materially adverse U.S. federal income tax consequences to U.S. Holders of our ordinary shares.</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or PFIC, for U.S. federal income tax purposes at least until we start generating a substantial amount of active revenue. A non-U.S. entity treated as a corporation for U.S. federal income tax purposes will be a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ambiguities in applying the PFIC test to us. If we are considered a PFIC, material adverse U.S. federal income tax consequences could apply to U.S. Holders (as defined in the section headed “Material Tax Considerations — U.S. Federal Income Tax Consequences”) of our ordinary shares with respect to any “excess distribution” received from us and any gain from a sale or other disposition of our ordinary shares. Please see “Item 10. Additional Information – E. Taxation – U.S. Federal Income Tax Considerations with respect to the Company.”</w:t>
      </w:r>
    </w:p>
    <w:p>
      <w:pPr>
        <w:spacing w:after="0" w:line="2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a United States person is treated as owning at least 10% of our ordinary shares, such holder may be subject to adverse U.S. federal income tax consequences.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If a United States person is treated as owning (directly, indirectly or constructively) at least 10% of the value or voting power of our ordinary shares, such person may be treated as a “United States shareholder” with respect to each “controlled foreign corporation” in our group (if any). If our group includes one or more U.S. subsidiaries, under recently-enacted rules, certain of our non-U.S. subsidiaries could be treated as controlled foreign corporations regardless of whether we are not treated as a controlled foreign corporation (although there is currently a pending legislative proposal to significantly limit the application of these rules). A United States shareholder of a controlled foreign corporation may be required to report annually and include in its U.S. taxable income its pro rata share of “Subpart F income,” “global intangible low-taxed income” and investments in U.S. property by controlled foreign corporations, regardless of whether we make any distributions. An individual that is a United States shareholder with respect to a controlled foreign corporation generally would not be allowed certain tax deductions or foreign tax credits that would be allowed to a United States shareholder that is a U.S. corporation. Failure to comply with these reporting obligations may subject you to significant monetary penalties and may prevent the statute of limitations with respect to your U.S. federal income tax return for the year for which reporting was due from starting. We cannot provide any assurances that we will assist investors in determining whether any of our non-U.S. subsidiaries are treated as a controlled foreign corporation or whether such investor is treated as a United States shareholder with respect to any of such controlled foreign corporations or furnish to any United States shareholders information that may be necessary to comply with the aforementioned reporting and tax paying obligations. A United States investor should consult its advisors regarding the potential application of these rules to an investment in the ordinary shares.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58" w:name="page59"/>
    <w:bookmarkEnd w:id="58"/>
    <w:p>
      <w:pPr>
        <w:spacing w:after="0"/>
        <w:tabs>
          <w:tab w:leader="none" w:pos="114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8"/>
          <w:szCs w:val="18"/>
          <w:b w:val="1"/>
          <w:bCs w:val="1"/>
          <w:color w:val="auto"/>
        </w:rPr>
        <w:t>INFORMATION ON THE COMPANY</w:t>
      </w:r>
    </w:p>
    <w:p>
      <w:pPr>
        <w:spacing w:after="0" w:line="279" w:lineRule="exact"/>
        <w:rPr>
          <w:sz w:val="20"/>
          <w:szCs w:val="20"/>
          <w:color w:val="auto"/>
        </w:rPr>
      </w:pPr>
    </w:p>
    <w:p>
      <w:pPr>
        <w:ind w:left="680" w:hanging="672"/>
        <w:spacing w:after="0"/>
        <w:tabs>
          <w:tab w:leader="none" w:pos="680" w:val="left"/>
        </w:tabs>
        <w:numPr>
          <w:ilvl w:val="0"/>
          <w:numId w:val="34"/>
        </w:numPr>
        <w:rPr>
          <w:rFonts w:ascii="Arial" w:cs="Arial" w:eastAsia="Arial" w:hAnsi="Arial"/>
          <w:sz w:val="18"/>
          <w:szCs w:val="18"/>
          <w:b w:val="1"/>
          <w:bCs w:val="1"/>
          <w:color w:val="auto"/>
        </w:rPr>
      </w:pPr>
      <w:r>
        <w:rPr>
          <w:rFonts w:ascii="Arial" w:cs="Arial" w:eastAsia="Arial" w:hAnsi="Arial"/>
          <w:sz w:val="18"/>
          <w:szCs w:val="18"/>
          <w:b w:val="1"/>
          <w:bCs w:val="1"/>
          <w:color w:val="auto"/>
        </w:rPr>
        <w:t>History and Development of the Company</w:t>
      </w:r>
    </w:p>
    <w:p>
      <w:pPr>
        <w:spacing w:after="0" w:line="283" w:lineRule="exact"/>
        <w:rPr>
          <w:sz w:val="20"/>
          <w:szCs w:val="20"/>
          <w:color w:val="auto"/>
        </w:rPr>
      </w:pPr>
    </w:p>
    <w:p>
      <w:pPr>
        <w:jc w:val="both"/>
        <w:ind w:firstLine="383"/>
        <w:spacing w:after="0" w:line="275" w:lineRule="auto"/>
        <w:rPr>
          <w:sz w:val="20"/>
          <w:szCs w:val="20"/>
          <w:color w:val="auto"/>
        </w:rPr>
      </w:pPr>
      <w:r>
        <w:rPr>
          <w:rFonts w:ascii="Arial" w:cs="Arial" w:eastAsia="Arial" w:hAnsi="Arial"/>
          <w:sz w:val="17"/>
          <w:szCs w:val="17"/>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Street, 10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Floor, New York, NY 10016, and its telephone number is +1 (800) 221-0102.</w:t>
      </w:r>
    </w:p>
    <w:p>
      <w:pPr>
        <w:spacing w:after="0" w:line="78" w:lineRule="exact"/>
        <w:rPr>
          <w:sz w:val="20"/>
          <w:szCs w:val="20"/>
          <w:color w:val="auto"/>
        </w:rPr>
      </w:pPr>
    </w:p>
    <w:p>
      <w:pPr>
        <w:jc w:val="both"/>
        <w:ind w:firstLine="383"/>
        <w:spacing w:after="0" w:line="259" w:lineRule="auto"/>
        <w:rPr>
          <w:sz w:val="20"/>
          <w:szCs w:val="20"/>
          <w:color w:val="auto"/>
        </w:rPr>
      </w:pPr>
      <w:r>
        <w:rPr>
          <w:rFonts w:ascii="Arial" w:cs="Arial" w:eastAsia="Arial" w:hAnsi="Arial"/>
          <w:sz w:val="18"/>
          <w:szCs w:val="18"/>
          <w:color w:val="auto"/>
        </w:rPr>
        <w:t>In February 2017,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241"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Our capital expenditures for the years ended December 31, 2016, 2017 and 2018 were approximately $385, $1,925 and $1,052, respectively. Our current capital expenditures involve equipment and leasehold improvements.</w:t>
      </w:r>
    </w:p>
    <w:p>
      <w:pPr>
        <w:spacing w:after="0" w:line="220" w:lineRule="exact"/>
        <w:rPr>
          <w:sz w:val="20"/>
          <w:szCs w:val="20"/>
          <w:color w:val="auto"/>
        </w:rPr>
      </w:pPr>
    </w:p>
    <w:p>
      <w:pPr>
        <w:ind w:left="660" w:hanging="652"/>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Business Overview</w:t>
      </w:r>
    </w:p>
    <w:p>
      <w:pPr>
        <w:spacing w:after="0" w:line="283"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completed a 726 subject, double-blind, placebo-controlled, six-arm, multi-center Phase II clinical trial designed to assess the safety and efficacy of TWIN in subjects with acne vulgaris. In this trial, TWIN demonstrated statistically significant improvements in all pre-defined co-primary and secondary efficacy endpoints, as compared to vehicle.</w:t>
      </w:r>
    </w:p>
    <w:p>
      <w:pPr>
        <w:spacing w:after="0" w:line="21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planned to enroll approximately 420 subjects aged 9 and above at a 2:1 ratio of TWIN in comparison to its vehicle.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59" w:name="page60"/>
    <w:bookmarkEnd w:id="59"/>
    <w:p>
      <w:pPr>
        <w:ind w:left="360"/>
        <w:spacing w:after="0"/>
        <w:rPr>
          <w:sz w:val="20"/>
          <w:szCs w:val="20"/>
          <w:color w:val="auto"/>
        </w:rPr>
      </w:pPr>
      <w:r>
        <w:rPr>
          <w:rFonts w:ascii="Arial" w:cs="Arial" w:eastAsia="Arial" w:hAnsi="Arial"/>
          <w:sz w:val="18"/>
          <w:szCs w:val="18"/>
          <w:color w:val="auto"/>
        </w:rPr>
        <w:t>Our other branded product candidate is Epsolay</w:t>
      </w:r>
      <w:r>
        <w:rPr>
          <w:rFonts w:ascii="Arial" w:cs="Arial" w:eastAsia="Arial" w:hAnsi="Arial"/>
          <w:sz w:val="30"/>
          <w:szCs w:val="30"/>
          <w:color w:val="auto"/>
          <w:vertAlign w:val="superscript"/>
        </w:rPr>
        <w:t>®</w:t>
      </w:r>
      <w:r>
        <w:rPr>
          <w:rFonts w:ascii="Arial" w:cs="Arial" w:eastAsia="Arial" w:hAnsi="Arial"/>
          <w:sz w:val="18"/>
          <w:szCs w:val="18"/>
          <w:color w:val="auto"/>
        </w:rPr>
        <w:t>, a potential treatment for subtype II rosacea.</w:t>
      </w:r>
    </w:p>
    <w:p>
      <w:pPr>
        <w:spacing w:after="0" w:line="1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In view of the prospects of new products described in this annual report, we have decided to postpone the development of SIRS-T and focus on more novel products.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3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Both of our branded product candidates leverages our proprietary, silica-based microencapsulation technology platform. We maintain exclusive, worldwide commercial rights for our branded product candidates, which consist of:</w:t>
      </w:r>
    </w:p>
    <w:p>
      <w:pPr>
        <w:spacing w:after="0" w:line="224" w:lineRule="exact"/>
        <w:rPr>
          <w:sz w:val="20"/>
          <w:szCs w:val="20"/>
          <w:color w:val="auto"/>
        </w:rPr>
      </w:pPr>
    </w:p>
    <w:p>
      <w:pPr>
        <w:jc w:val="both"/>
        <w:ind w:left="720" w:hanging="361"/>
        <w:spacing w:after="0" w:line="285" w:lineRule="auto"/>
        <w:tabs>
          <w:tab w:leader="none" w:pos="7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TWIN,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encapsulated benzoyl peroxide. Tretinoin and benzoyl peroxide, the two active components in TWIN, are both widely-used therapies for the treatment of acne that historically have not been conveniently co-administered due to stability concerns. The trial also evaluated the contribution of encapsulated tretinoin and encapsulated benzoyl peroxide, in the same concentrations as those in the respective TWIN treatment groups, to the efficacy of TWIN High and TWIN Low. In this trial, TWIN showed statistically significant improvements in all pre-defined co-primary and secondary efficacy endpoints, as compared to vehicle. In addition, TWIN was well tolerated with no treatment-related serious adverse events. Based on the efficacy data we observed in the Phase II trial, we believe TWIN, if approved, has the potential to become a preferred treatment for acne. In December 2018, we announced dosing of the first subject in the pivotal Phase III clinical program evaluating the safety and efficacy of TWIN in subjects with acne vulgaris. The program consists of two randomized, double-blind, vehicle-controlled Phase III clinical trials. Each clinical trial is planned to enroll approximately 420 subjects aged 9 and above at a 2:1 ratio of TWIN in comparison to its vehicle, with a power of 99%.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60" w:name="page61"/>
    <w:bookmarkEnd w:id="60"/>
    <w:p>
      <w:pPr>
        <w:jc w:val="both"/>
        <w:ind w:left="720" w:hanging="361"/>
        <w:spacing w:after="0" w:line="276" w:lineRule="auto"/>
        <w:tabs>
          <w:tab w:leader="none" w:pos="720" w:val="left"/>
        </w:tabs>
        <w:numPr>
          <w:ilvl w:val="0"/>
          <w:numId w:val="37"/>
        </w:numPr>
        <w:rPr>
          <w:rFonts w:ascii="Arial" w:cs="Arial" w:eastAsia="Arial" w:hAnsi="Arial"/>
          <w:sz w:val="16"/>
          <w:szCs w:val="16"/>
          <w:color w:val="auto"/>
        </w:rPr>
      </w:pPr>
      <w:r>
        <w:rPr>
          <w:rFonts w:ascii="Arial" w:cs="Arial" w:eastAsia="Arial" w:hAnsi="Arial"/>
          <w:sz w:val="16"/>
          <w:szCs w:val="16"/>
          <w:color w:val="auto"/>
        </w:rPr>
        <w:t>Epsolay®, a topical cream containing 5% encapsulated benzoyl peroxide,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 except that comedowns are absent, and patients may report associated burning and stinging sensations. We evaluated Epsolay® in a double blind, randomized, dose-ranging Phase II clinical trial involving 92 adult subjects at ten centers in the United States. In this trial, Epsolay® showed statistically significant improvements in the Investigator Global Assessment, or IGA, pre-defined co-primary efficacy endpoint and in the percent change in inflammatory lesion count at week 12, as compared to vehicle. Epsolay® was also well tolerated in this trial. Current topical therapies for subtype II rosacea are limited due to tolerability concerns. For example, BPO, a common therapy for acne, is not used for the treatment of subtype II rosacea due to side effects. As encapsulated BPO, Epsolay®is designed to redefine the standard of care for the treatment of subtype II rosacea. If approved, we expect Epsolay® to be the first product containing BPO that is marketed for the treatment of subtype II rosacea. In June 2018, we announced dosing of the first subject in our pivotal Phase III clinical program of Epsolay® in subjects with papulopustular rosacea. The program is being conducted in accordance with an SPA agreement with the FDA regarding the design of the pivotal trials. The program consists of two randomized, multi-center, double-blind, vehicle-controlled clinical trials at approximately 50 sites in the United States. Each pivotal trial is planned to enroll 350 subjects in a 2:1 ratio of Epsolay in comparison to its vehicle, with a power of greater than 90%. In September 2018, we announced that we had completed enrollment of half of the patients in our pivotal Phase III clinical trials of Epsolay</w:t>
      </w:r>
      <w:r>
        <w:rPr>
          <w:rFonts w:ascii="Arial" w:cs="Arial" w:eastAsia="Arial" w:hAnsi="Arial"/>
          <w:sz w:val="26"/>
          <w:szCs w:val="26"/>
          <w:color w:val="auto"/>
          <w:vertAlign w:val="superscript"/>
        </w:rPr>
        <w:t>®</w:t>
      </w:r>
      <w:r>
        <w:rPr>
          <w:rFonts w:ascii="Arial" w:cs="Arial" w:eastAsia="Arial" w:hAnsi="Arial"/>
          <w:sz w:val="16"/>
          <w:szCs w:val="16"/>
          <w:color w:val="auto"/>
        </w:rPr>
        <w:t>, and we commenced a long-term safety study. We expect to report top-line data from these trials in 2019.</w:t>
      </w:r>
    </w:p>
    <w:p>
      <w:pPr>
        <w:spacing w:after="0" w:line="21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In addition to our late-stage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61" w:name="page62"/>
    <w:bookmarkEnd w:id="61"/>
    <w:p>
      <w:pPr>
        <w:jc w:val="both"/>
        <w:ind w:firstLine="360"/>
        <w:spacing w:after="0" w:line="259" w:lineRule="auto"/>
        <w:rPr>
          <w:sz w:val="20"/>
          <w:szCs w:val="20"/>
          <w:color w:val="auto"/>
        </w:rPr>
      </w:pPr>
      <w:r>
        <w:rPr>
          <w:rFonts w:ascii="Arial" w:cs="Arial" w:eastAsia="Arial" w:hAnsi="Arial"/>
          <w:sz w:val="18"/>
          <w:szCs w:val="18"/>
          <w:color w:val="auto"/>
        </w:rPr>
        <w:t>We are also currently developing a portfolio of six generic topical dermatological products. Five of our generic product candidates are being developed in collaboration with Perrigo UK Finco Limited Partnership, or Perrigo. A sixth generic product candidate is being developed in collaboration with Douglas Pharmaceuticals (New Zealand), or Douglas Pharmaceuticals. Both Perrigo and Douglas Pharmaceuticals have significant experience in the development of generic drugs.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In January 2018, this ANDA was tentatively approved by the FDA. Final approval from the FDA is subject to a 30-month stay under the Hatch-Waxman amendments to the Federal Food, Drug, and Cosmetic Act. Ivermectin cream, 1% is the active molecule in Soolantra, which is currently marketed in the United States by Galderma Laboratories LP.</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62" w:name="page63"/>
    <w:bookmarkEnd w:id="62"/>
    <w:p>
      <w:pPr>
        <w:ind w:left="38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5548630" cy="21526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548630" cy="2152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Branded Product Candidates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TWIN for Acne</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Using our proprietary, silica-based microencapsulation technology platform, we are developing to become a preferred treatment for acne by dermatologists and their patients.</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TWIN is a novel, once-daily, non-antibiotic topical cream containing a fixed-dose combination of encapsulated benzoyl peroxide and encapsulated tretinoin that we are developing for the treatment of acne. Studies have shown that benzoyl peroxide and tretinoin are effective in treating acne as monotherapies; moreover, according to an article in the American Academy of Dermatology (2009), dermatologists recommend combining the two monotherapies as a first-line approach for acne, but a drug-drug interaction that causes the degradation of tretinoin has previously prohibited the development of a combination therapy. By encapsulating the two agents separately through the use of our technology platform, TWIN is designed to be a fixed-dose combination that otherwise would not be stable. Similar to other combination drug products, such as clindamycin and benzoyl peroxide, we expect TWIN to be kept refrigerated throughout the supply chain and then stored in ambient conditions upon its distribution to patients. Pre-clinical data suggests that TWIN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TWIN, if approved, will compete directly with Epiduo and Epiduo Forte. We expect to utilize the FDA’s 505(b)(2) regulatory pathway in seeking approval of TWIN in the United States.</w:t>
      </w:r>
    </w:p>
    <w:p>
      <w:pPr>
        <w:spacing w:after="0" w:line="237"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In July 2017, we reported the completion of a 726 subject, randomized, multi-center, double-blind, placebo-controlled Phase II clinical trial of TWIN in the United States that demonstrated statistically significant improvements compared to vehicle in the co-primary efficacy endpoints of “clear” or “almost clear” with a two-grade reduction in IGA and in reducing absolute inflammatory and non-inflammatory lesion counts at week 12. 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63" w:name="page64"/>
    <w:bookmarkEnd w:id="63"/>
    <w:p>
      <w:pPr>
        <w:jc w:val="both"/>
        <w:ind w:firstLine="360"/>
        <w:spacing w:after="0" w:line="293" w:lineRule="auto"/>
        <w:rPr>
          <w:sz w:val="20"/>
          <w:szCs w:val="20"/>
          <w:color w:val="auto"/>
        </w:rPr>
      </w:pPr>
      <w:r>
        <w:rPr>
          <w:rFonts w:ascii="Arial" w:cs="Arial" w:eastAsia="Arial" w:hAnsi="Arial"/>
          <w:sz w:val="16"/>
          <w:szCs w:val="16"/>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clinical trial is planned to enroll approximately 420 subjects aged 9 and above at a 2:1 ratio of TWIN in comparison to its vehicle, with a power of 99%.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w:t>
      </w:r>
    </w:p>
    <w:p>
      <w:pPr>
        <w:spacing w:after="0" w:line="219"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Acne Market Opportunity</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235" w:lineRule="exact"/>
        <w:rPr>
          <w:sz w:val="20"/>
          <w:szCs w:val="20"/>
          <w:color w:val="auto"/>
        </w:rPr>
      </w:pPr>
    </w:p>
    <w:p>
      <w:pPr>
        <w:ind w:left="720" w:hanging="361"/>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blockage of hair follicles through abnormal keratinization in the follicle, which narrows pores;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increase in oils, or sebum production, secreted by the sebaceous gland;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8"/>
        </w:numPr>
        <w:rPr>
          <w:rFonts w:ascii="Arial" w:cs="Arial" w:eastAsia="Arial" w:hAnsi="Arial"/>
          <w:sz w:val="16"/>
          <w:szCs w:val="16"/>
          <w:color w:val="auto"/>
        </w:rPr>
      </w:pPr>
      <w:r>
        <w:rPr>
          <w:rFonts w:ascii="Arial" w:cs="Arial" w:eastAsia="Arial" w:hAnsi="Arial"/>
          <w:sz w:val="16"/>
          <w:szCs w:val="16"/>
          <w:color w:val="auto"/>
        </w:rPr>
        <w:t xml:space="preserve">overgrowth of naturally occurring bacteria caused by the colonization by the anaerobic lipohilic bacterium </w:t>
      </w:r>
      <w:r>
        <w:rPr>
          <w:rFonts w:ascii="Arial" w:cs="Arial" w:eastAsia="Arial" w:hAnsi="Arial"/>
          <w:sz w:val="16"/>
          <w:szCs w:val="16"/>
          <w:i w:val="1"/>
          <w:iCs w:val="1"/>
          <w:color w:val="auto"/>
        </w:rPr>
        <w:t>Propionibacterium acnes</w:t>
      </w:r>
      <w:r>
        <w:rPr>
          <w:rFonts w:ascii="Arial" w:cs="Arial" w:eastAsia="Arial" w:hAnsi="Arial"/>
          <w:sz w:val="16"/>
          <w:szCs w:val="16"/>
          <w:color w:val="auto"/>
        </w:rPr>
        <w:t xml:space="preserve">, or </w:t>
      </w:r>
      <w:r>
        <w:rPr>
          <w:rFonts w:ascii="Arial" w:cs="Arial" w:eastAsia="Arial" w:hAnsi="Arial"/>
          <w:sz w:val="16"/>
          <w:szCs w:val="16"/>
          <w:i w:val="1"/>
          <w:iCs w:val="1"/>
          <w:color w:val="auto"/>
        </w:rPr>
        <w:t>P. acnes</w:t>
      </w:r>
      <w:r>
        <w:rPr>
          <w:rFonts w:ascii="Arial" w:cs="Arial" w:eastAsia="Arial" w:hAnsi="Arial"/>
          <w:sz w:val="16"/>
          <w:szCs w:val="16"/>
          <w:color w:val="auto"/>
        </w:rPr>
        <w:t>;</w:t>
      </w:r>
    </w:p>
    <w:p>
      <w:pPr>
        <w:spacing w:after="0" w:line="302" w:lineRule="exact"/>
        <w:rPr>
          <w:rFonts w:ascii="Arial" w:cs="Arial" w:eastAsia="Arial" w:hAnsi="Arial"/>
          <w:sz w:val="16"/>
          <w:szCs w:val="16"/>
          <w:color w:val="auto"/>
        </w:rPr>
      </w:pPr>
    </w:p>
    <w:p>
      <w:pPr>
        <w:ind w:left="720" w:hanging="361"/>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inflammatory response due to relapse of pro-inflammatory mediators into the skin.</w:t>
      </w:r>
    </w:p>
    <w:p>
      <w:pPr>
        <w:spacing w:after="0" w:line="279"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Due to the frequency of recurrence and relapse, acne is characterized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4" w:name="page65"/>
    <w:bookmarkEnd w:id="64"/>
    <w:p>
      <w:pPr>
        <w:ind w:left="380"/>
        <w:spacing w:after="0"/>
        <w:rPr>
          <w:sz w:val="20"/>
          <w:szCs w:val="20"/>
          <w:color w:val="auto"/>
        </w:rPr>
      </w:pPr>
      <w:r>
        <w:rPr>
          <w:rFonts w:ascii="Arial" w:cs="Arial" w:eastAsia="Arial" w:hAnsi="Arial"/>
          <w:sz w:val="18"/>
          <w:szCs w:val="18"/>
          <w:i w:val="1"/>
          <w:iCs w:val="1"/>
          <w:color w:val="auto"/>
        </w:rPr>
        <w:t>Current Treatment Landscape for Acne</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treatment options for acne depend on the severity of the disease and consist of topical and oral drugs:</w:t>
      </w:r>
    </w:p>
    <w:p>
      <w:pPr>
        <w:spacing w:after="0" w:line="275" w:lineRule="exact"/>
        <w:rPr>
          <w:sz w:val="20"/>
          <w:szCs w:val="20"/>
          <w:color w:val="auto"/>
        </w:rPr>
      </w:pPr>
    </w:p>
    <w:p>
      <w:pPr>
        <w:ind w:left="720" w:hanging="361"/>
        <w:spacing w:after="0" w:line="282"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b w:val="1"/>
          <w:bCs w:val="1"/>
          <w:color w:val="auto"/>
        </w:rPr>
        <w:t>Mild acne</w:t>
      </w:r>
      <w:r>
        <w:rPr>
          <w:rFonts w:ascii="Arial" w:cs="Arial" w:eastAsia="Arial" w:hAnsi="Arial"/>
          <w:sz w:val="18"/>
          <w:szCs w:val="18"/>
          <w:color w:val="auto"/>
        </w:rPr>
        <w:t>: characterized by few papules or pustules (both comedonal and inflammatory); treated with an over-the-counter product or topical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therapies.</w:t>
      </w:r>
    </w:p>
    <w:p>
      <w:pPr>
        <w:spacing w:after="0" w:line="215" w:lineRule="exact"/>
        <w:rPr>
          <w:rFonts w:ascii="Arial" w:cs="Arial" w:eastAsia="Arial" w:hAnsi="Arial"/>
          <w:sz w:val="18"/>
          <w:szCs w:val="18"/>
          <w:color w:val="auto"/>
        </w:rPr>
      </w:pPr>
    </w:p>
    <w:p>
      <w:pPr>
        <w:ind w:left="720" w:right="20" w:hanging="361"/>
        <w:spacing w:after="0" w:line="282"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b w:val="1"/>
          <w:bCs w:val="1"/>
          <w:color w:val="auto"/>
        </w:rPr>
        <w:t>Moderate acne</w:t>
      </w:r>
      <w:r>
        <w:rPr>
          <w:rFonts w:ascii="Arial" w:cs="Arial" w:eastAsia="Arial" w:hAnsi="Arial"/>
          <w:sz w:val="18"/>
          <w:szCs w:val="18"/>
          <w:color w:val="auto"/>
        </w:rPr>
        <w:t>: characterized by multiple papules and pustules with moderate inflammation and seborrhea (scaly red skin); treated with a</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of oral antibiotics and topical therapies.</w:t>
      </w:r>
    </w:p>
    <w:p>
      <w:pPr>
        <w:spacing w:after="0" w:line="215" w:lineRule="exact"/>
        <w:rPr>
          <w:rFonts w:ascii="Arial" w:cs="Arial" w:eastAsia="Arial" w:hAnsi="Arial"/>
          <w:sz w:val="18"/>
          <w:szCs w:val="18"/>
          <w:color w:val="auto"/>
        </w:rPr>
      </w:pPr>
    </w:p>
    <w:p>
      <w:pPr>
        <w:ind w:left="720" w:hanging="361"/>
        <w:spacing w:after="0" w:line="282"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b w:val="1"/>
          <w:bCs w:val="1"/>
          <w:color w:val="auto"/>
        </w:rPr>
        <w:t>Severe acne</w:t>
      </w:r>
      <w:r>
        <w:rPr>
          <w:rFonts w:ascii="Arial" w:cs="Arial" w:eastAsia="Arial" w:hAnsi="Arial"/>
          <w:sz w:val="18"/>
          <w:szCs w:val="18"/>
          <w:color w:val="auto"/>
        </w:rPr>
        <w:t>: characterized by substantial papulopustular disease, many nodules and/or cysts and significant inflammation and seborrhea; treated</w:t>
      </w:r>
      <w:r>
        <w:rPr>
          <w:rFonts w:ascii="Arial" w:cs="Arial" w:eastAsia="Arial" w:hAnsi="Arial"/>
          <w:sz w:val="18"/>
          <w:szCs w:val="18"/>
          <w:b w:val="1"/>
          <w:bCs w:val="1"/>
          <w:color w:val="auto"/>
        </w:rPr>
        <w:t xml:space="preserve"> </w:t>
      </w:r>
      <w:r>
        <w:rPr>
          <w:rFonts w:ascii="Arial" w:cs="Arial" w:eastAsia="Arial" w:hAnsi="Arial"/>
          <w:sz w:val="18"/>
          <w:szCs w:val="18"/>
          <w:color w:val="auto"/>
        </w:rPr>
        <w:t>with oral and topical combination therapies and photodynamic therapy as a third-line treatment.</w:t>
      </w:r>
    </w:p>
    <w:p>
      <w:pPr>
        <w:spacing w:after="0" w:line="220" w:lineRule="exact"/>
        <w:rPr>
          <w:sz w:val="20"/>
          <w:szCs w:val="20"/>
          <w:color w:val="auto"/>
        </w:rPr>
      </w:pPr>
    </w:p>
    <w:p>
      <w:pPr>
        <w:ind w:left="740"/>
        <w:spacing w:after="0" w:line="308" w:lineRule="auto"/>
        <w:rPr>
          <w:sz w:val="20"/>
          <w:szCs w:val="20"/>
          <w:color w:val="auto"/>
        </w:rPr>
      </w:pPr>
      <w:r>
        <w:rPr>
          <w:rFonts w:ascii="Arial" w:cs="Arial" w:eastAsia="Arial" w:hAnsi="Arial"/>
          <w:sz w:val="17"/>
          <w:szCs w:val="17"/>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acne prescription treatment landscape is comprised of four classes of topical products and two classes of oral products:</w:t>
      </w:r>
    </w:p>
    <w:p>
      <w:pPr>
        <w:spacing w:after="0" w:line="275" w:lineRule="exact"/>
        <w:rPr>
          <w:sz w:val="20"/>
          <w:szCs w:val="20"/>
          <w:color w:val="auto"/>
        </w:rPr>
      </w:pPr>
    </w:p>
    <w:p>
      <w:pPr>
        <w:ind w:left="720" w:right="20" w:hanging="361"/>
        <w:spacing w:after="0" w:line="347" w:lineRule="auto"/>
        <w:tabs>
          <w:tab w:leader="none" w:pos="720" w:val="left"/>
        </w:tabs>
        <w:numPr>
          <w:ilvl w:val="0"/>
          <w:numId w:val="40"/>
        </w:numPr>
        <w:rPr>
          <w:rFonts w:ascii="Arial" w:cs="Arial" w:eastAsia="Arial" w:hAnsi="Arial"/>
          <w:sz w:val="16"/>
          <w:szCs w:val="16"/>
          <w:color w:val="auto"/>
        </w:rPr>
      </w:pPr>
      <w:r>
        <w:rPr>
          <w:rFonts w:ascii="Arial" w:cs="Arial" w:eastAsia="Arial" w:hAnsi="Arial"/>
          <w:sz w:val="16"/>
          <w:szCs w:val="16"/>
          <w:b w:val="1"/>
          <w:bCs w:val="1"/>
          <w:color w:val="auto"/>
        </w:rPr>
        <w:t xml:space="preserve">Topical over-the-counter monotherapies </w:t>
      </w:r>
      <w:r>
        <w:rPr>
          <w:rFonts w:ascii="Arial" w:cs="Arial" w:eastAsia="Arial" w:hAnsi="Arial"/>
          <w:sz w:val="16"/>
          <w:szCs w:val="16"/>
          <w:color w:val="auto"/>
        </w:rPr>
        <w:t>such as adapalene 0.1%, benzoyl peroxide and salicylic acid, in different concentrations, are the most</w:t>
      </w:r>
      <w:r>
        <w:rPr>
          <w:rFonts w:ascii="Arial" w:cs="Arial" w:eastAsia="Arial" w:hAnsi="Arial"/>
          <w:sz w:val="16"/>
          <w:szCs w:val="16"/>
          <w:b w:val="1"/>
          <w:bCs w:val="1"/>
          <w:color w:val="auto"/>
        </w:rPr>
        <w:t xml:space="preserve"> </w:t>
      </w:r>
      <w:r>
        <w:rPr>
          <w:rFonts w:ascii="Arial" w:cs="Arial" w:eastAsia="Arial" w:hAnsi="Arial"/>
          <w:sz w:val="16"/>
          <w:szCs w:val="16"/>
          <w:color w:val="auto"/>
        </w:rPr>
        <w:t>commonly used therapies. These are generally tolerable first-line treatments for mild acne, but less efficacious than prescription therapies.</w:t>
      </w:r>
    </w:p>
    <w:p>
      <w:pPr>
        <w:spacing w:after="0" w:line="170" w:lineRule="exact"/>
        <w:rPr>
          <w:rFonts w:ascii="Arial" w:cs="Arial" w:eastAsia="Arial" w:hAnsi="Arial"/>
          <w:sz w:val="16"/>
          <w:szCs w:val="16"/>
          <w:color w:val="auto"/>
        </w:rPr>
      </w:pPr>
    </w:p>
    <w:p>
      <w:pPr>
        <w:ind w:left="720" w:hanging="361"/>
        <w:spacing w:after="0" w:line="282"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antibiotic monotherapies </w:t>
      </w:r>
      <w:r>
        <w:rPr>
          <w:rFonts w:ascii="Arial" w:cs="Arial" w:eastAsia="Arial" w:hAnsi="Arial"/>
          <w:sz w:val="18"/>
          <w:szCs w:val="18"/>
          <w:color w:val="auto"/>
        </w:rPr>
        <w:t>such as clindamycin and erythromycin that are most commonly used as topical therapies in cases</w:t>
      </w:r>
      <w:r>
        <w:rPr>
          <w:rFonts w:ascii="Arial" w:cs="Arial" w:eastAsia="Arial" w:hAnsi="Arial"/>
          <w:sz w:val="18"/>
          <w:szCs w:val="18"/>
          <w:b w:val="1"/>
          <w:bCs w:val="1"/>
          <w:color w:val="auto"/>
        </w:rPr>
        <w:t xml:space="preserve"> </w:t>
      </w:r>
      <w:r>
        <w:rPr>
          <w:rFonts w:ascii="Arial" w:cs="Arial" w:eastAsia="Arial" w:hAnsi="Arial"/>
          <w:sz w:val="18"/>
          <w:szCs w:val="18"/>
          <w:color w:val="auto"/>
        </w:rPr>
        <w:t>of mild-to-moderate acne.</w:t>
      </w:r>
    </w:p>
    <w:p>
      <w:pPr>
        <w:spacing w:after="0" w:line="215" w:lineRule="exact"/>
        <w:rPr>
          <w:rFonts w:ascii="Arial" w:cs="Arial" w:eastAsia="Arial" w:hAnsi="Arial"/>
          <w:sz w:val="18"/>
          <w:szCs w:val="18"/>
          <w:color w:val="auto"/>
        </w:rPr>
      </w:pPr>
    </w:p>
    <w:p>
      <w:pPr>
        <w:ind w:left="720" w:hanging="361"/>
        <w:spacing w:after="0" w:line="282"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retinoid monotherapies </w:t>
      </w:r>
      <w:r>
        <w:rPr>
          <w:rFonts w:ascii="Arial" w:cs="Arial" w:eastAsia="Arial" w:hAnsi="Arial"/>
          <w:sz w:val="18"/>
          <w:szCs w:val="18"/>
          <w:color w:val="auto"/>
        </w:rPr>
        <w:t>such as tretinoin, adapalene 0.3% and tazarotene. Physicians view retinoids as moderately</w:t>
      </w:r>
      <w:r>
        <w:rPr>
          <w:rFonts w:ascii="Arial" w:cs="Arial" w:eastAsia="Arial" w:hAnsi="Arial"/>
          <w:sz w:val="18"/>
          <w:szCs w:val="18"/>
          <w:b w:val="1"/>
          <w:bCs w:val="1"/>
          <w:color w:val="auto"/>
        </w:rPr>
        <w:t xml:space="preserve"> </w:t>
      </w:r>
      <w:r>
        <w:rPr>
          <w:rFonts w:ascii="Arial" w:cs="Arial" w:eastAsia="Arial" w:hAnsi="Arial"/>
          <w:sz w:val="18"/>
          <w:szCs w:val="18"/>
          <w:color w:val="auto"/>
        </w:rPr>
        <w:t>efficacious, but they have high rates of skin irritation.</w:t>
      </w:r>
    </w:p>
    <w:p>
      <w:pPr>
        <w:spacing w:after="0" w:line="215" w:lineRule="exact"/>
        <w:rPr>
          <w:rFonts w:ascii="Arial" w:cs="Arial" w:eastAsia="Arial" w:hAnsi="Arial"/>
          <w:sz w:val="18"/>
          <w:szCs w:val="18"/>
          <w:color w:val="auto"/>
        </w:rPr>
      </w:pPr>
    </w:p>
    <w:p>
      <w:pPr>
        <w:ind w:left="720" w:right="20" w:hanging="361"/>
        <w:spacing w:after="0" w:line="313" w:lineRule="auto"/>
        <w:tabs>
          <w:tab w:leader="none" w:pos="720" w:val="left"/>
        </w:tabs>
        <w:numPr>
          <w:ilvl w:val="0"/>
          <w:numId w:val="40"/>
        </w:numPr>
        <w:rPr>
          <w:rFonts w:ascii="Arial" w:cs="Arial" w:eastAsia="Arial" w:hAnsi="Arial"/>
          <w:sz w:val="17"/>
          <w:szCs w:val="17"/>
          <w:color w:val="auto"/>
        </w:rPr>
      </w:pPr>
      <w:r>
        <w:rPr>
          <w:rFonts w:ascii="Arial" w:cs="Arial" w:eastAsia="Arial" w:hAnsi="Arial"/>
          <w:sz w:val="17"/>
          <w:szCs w:val="17"/>
          <w:b w:val="1"/>
          <w:bCs w:val="1"/>
          <w:color w:val="auto"/>
        </w:rPr>
        <w:t xml:space="preserve">Topical prescription combination products </w:t>
      </w:r>
      <w:r>
        <w:rPr>
          <w:rFonts w:ascii="Arial" w:cs="Arial" w:eastAsia="Arial" w:hAnsi="Arial"/>
          <w:sz w:val="17"/>
          <w:szCs w:val="17"/>
          <w:color w:val="auto"/>
        </w:rPr>
        <w:t>such as combinations of BPO/adapalene, BPO/clindamycin, BPO/erythromycin and</w:t>
      </w:r>
      <w:r>
        <w:rPr>
          <w:rFonts w:ascii="Arial" w:cs="Arial" w:eastAsia="Arial" w:hAnsi="Arial"/>
          <w:sz w:val="17"/>
          <w:szCs w:val="17"/>
          <w:b w:val="1"/>
          <w:bCs w:val="1"/>
          <w:color w:val="auto"/>
        </w:rPr>
        <w:t xml:space="preserve"> </w:t>
      </w:r>
      <w:r>
        <w:rPr>
          <w:rFonts w:ascii="Arial" w:cs="Arial" w:eastAsia="Arial" w:hAnsi="Arial"/>
          <w:sz w:val="17"/>
          <w:szCs w:val="17"/>
          <w:color w:val="auto"/>
        </w:rPr>
        <w:t>clindamycin/tretinoin. These target multiple components that contribute to the development of acne, though topical side effects are common.</w:t>
      </w:r>
    </w:p>
    <w:p>
      <w:pPr>
        <w:spacing w:after="0" w:line="192" w:lineRule="exact"/>
        <w:rPr>
          <w:rFonts w:ascii="Arial" w:cs="Arial" w:eastAsia="Arial" w:hAnsi="Arial"/>
          <w:sz w:val="17"/>
          <w:szCs w:val="17"/>
          <w:color w:val="auto"/>
        </w:rPr>
      </w:pPr>
    </w:p>
    <w:p>
      <w:pPr>
        <w:ind w:left="720" w:hanging="361"/>
        <w:spacing w:after="0" w:line="282"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 xml:space="preserve">Oral prescription antibiotics </w:t>
      </w:r>
      <w:r>
        <w:rPr>
          <w:rFonts w:ascii="Arial" w:cs="Arial" w:eastAsia="Arial" w:hAnsi="Arial"/>
          <w:sz w:val="18"/>
          <w:szCs w:val="18"/>
          <w:color w:val="auto"/>
        </w:rPr>
        <w:t>such as doxycycline and minocycline. These are typically used as step-up treatments for more severe cases of acne,</w:t>
      </w:r>
      <w:r>
        <w:rPr>
          <w:rFonts w:ascii="Arial" w:cs="Arial" w:eastAsia="Arial" w:hAnsi="Arial"/>
          <w:sz w:val="18"/>
          <w:szCs w:val="18"/>
          <w:b w:val="1"/>
          <w:bCs w:val="1"/>
          <w:color w:val="auto"/>
        </w:rPr>
        <w:t xml:space="preserve"> </w:t>
      </w:r>
      <w:r>
        <w:rPr>
          <w:rFonts w:ascii="Arial" w:cs="Arial" w:eastAsia="Arial" w:hAnsi="Arial"/>
          <w:sz w:val="18"/>
          <w:szCs w:val="18"/>
          <w:color w:val="auto"/>
        </w:rPr>
        <w:t>with risk of systemic side effects.</w:t>
      </w:r>
    </w:p>
    <w:p>
      <w:pPr>
        <w:spacing w:after="0" w:line="215" w:lineRule="exact"/>
        <w:rPr>
          <w:rFonts w:ascii="Arial" w:cs="Arial" w:eastAsia="Arial" w:hAnsi="Arial"/>
          <w:sz w:val="18"/>
          <w:szCs w:val="18"/>
          <w:color w:val="auto"/>
        </w:rPr>
      </w:pPr>
    </w:p>
    <w:p>
      <w:pPr>
        <w:ind w:left="720" w:hanging="361"/>
        <w:spacing w:after="0" w:line="282"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b w:val="1"/>
          <w:bCs w:val="1"/>
          <w:color w:val="auto"/>
        </w:rPr>
        <w:t>Oral prescription isotretinoin</w:t>
      </w:r>
      <w:r>
        <w:rPr>
          <w:rFonts w:ascii="Arial" w:cs="Arial" w:eastAsia="Arial" w:hAnsi="Arial"/>
          <w:sz w:val="18"/>
          <w:szCs w:val="18"/>
          <w:color w:val="auto"/>
        </w:rPr>
        <w:t>, which is primarily used for severe cystic acne and acne that has not responded to other treatments. The use of oral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isotretinoin is tightly controlled due to tolerability issues.</w:t>
      </w:r>
    </w:p>
    <w:p>
      <w:pPr>
        <w:spacing w:after="0" w:line="220"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for Acne</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Using our proprietary, silica-based microencapsulation technology platform, we are developing TWIN to become the preferred treatment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5" w:name="page66"/>
    <w:bookmarkEnd w:id="65"/>
    <w:p>
      <w:pPr>
        <w:jc w:val="both"/>
        <w:ind w:firstLine="360"/>
        <w:spacing w:after="0" w:line="257" w:lineRule="auto"/>
        <w:rPr>
          <w:sz w:val="20"/>
          <w:szCs w:val="20"/>
          <w:color w:val="auto"/>
        </w:rPr>
      </w:pPr>
      <w:r>
        <w:rPr>
          <w:rFonts w:ascii="Arial" w:cs="Arial" w:eastAsia="Arial" w:hAnsi="Arial"/>
          <w:sz w:val="18"/>
          <w:szCs w:val="18"/>
          <w:color w:val="auto"/>
        </w:rPr>
        <w:t>We believe that TWIN, a fixed-dose combination of a cream containing encapsulated benzoyl peroxide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242" w:lineRule="exact"/>
        <w:rPr>
          <w:sz w:val="20"/>
          <w:szCs w:val="20"/>
          <w:color w:val="auto"/>
        </w:rPr>
      </w:pPr>
    </w:p>
    <w:p>
      <w:pPr>
        <w:ind w:left="720" w:hanging="361"/>
        <w:spacing w:after="0" w:line="277" w:lineRule="auto"/>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designed TWIN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silica shell creates a barrier between the two drug substances and the skin. As a result, we believe TWIN can reduce irritation typically associated with topical application of benzoyl peroxide and tretinoin, leading to greater tolerability to acne-affected skin.</w:t>
      </w:r>
    </w:p>
    <w:p>
      <w:pPr>
        <w:spacing w:after="0" w:line="22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Phase II Trial Design</w:t>
      </w:r>
    </w:p>
    <w:p>
      <w:pPr>
        <w:spacing w:after="0" w:line="279"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In May 2016, we commenced a Phase II, multi-center, six-arm, randomized, double-blind, placebo-controlled study designed to assess the efficacy, tolerability and safety of two TWIN concentrations, TWIN Low and TWIN High. Each TWIN concentration contained identical concentrations of encapsulated benzoyl peroxide. TWIN Low contained a lower concentration of encapsulated tretinoin, while TWIN High contained a higher concentration of encapsulated tretinoin. The trial also evaluated the contribution of each of the encapsulated forms of both the lower and higher concentrations of tretinoin, or encapsulated tretinoin High and encapsulated tretinoin Low, and of encapsulated benzoyl peroxide. A total of 726 subjects were enrolled in the trial at 36 sites in the United States of which 598 subjects completed the trial. We reported topline results of the trial in July 2017. Subjects were equally randomized into six treatment groups: TWIN High, TWIN Low, encapsulated tretinoin High, encapsulated tretinoin Low, encapsulated benzoyl peroxide and vehicle. The age of the subjects ranged from 10 to 59, with a mean age of 22. Gender distribution was 37% male and 63% female, with patients of a variety of skin types. Inclusion criteria required 20 to 50 inflammatory lesions and 25 to 100 non-inflammatory lesions and an IGA score of 3 or 4 (“moderate” or “severe”) on a five-point scale that ranges from a score of zero, representing “clear” skin, to a score of 4, representing “severe” disease. Subjects were also required to have two or fewer cysts or nodules. The evaluation period spanned 12 weeks after initial treatment. Subjects were instructed to apply the drug once daily before bedtime.</w:t>
      </w:r>
    </w:p>
    <w:p>
      <w:pPr>
        <w:spacing w:after="0" w:line="234"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The primary and secondary efficacy endpoints were assessed at the end of the 12-week treatment period. Three primary efficacy endpoints were defined for this trial:</w:t>
      </w:r>
    </w:p>
    <w:p>
      <w:pPr>
        <w:spacing w:after="0" w:line="224" w:lineRule="exact"/>
        <w:rPr>
          <w:sz w:val="20"/>
          <w:szCs w:val="20"/>
          <w:color w:val="auto"/>
        </w:rPr>
      </w:pPr>
    </w:p>
    <w:p>
      <w:pPr>
        <w:ind w:left="720" w:hanging="361"/>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inflammatory acne lesions at week 12; and</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6" w:name="page67"/>
    <w:bookmarkEnd w:id="66"/>
    <w:p>
      <w:pPr>
        <w:ind w:left="720" w:hanging="361"/>
        <w:spacing w:after="0"/>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non-inflammatory acne lesions at week 12.</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two secondary efficacy endpoints measured the percent change in inflammatory and non-inflammatory lesion count at week 12.</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All statistical analyses and data shown for TWIN are on the intent-to-treat, or ITT, population. Randomized clinical trials analyzed by the ITT approach provide unbiased comparisons among the treatment groups. In an ITT population, subjects are analyzed according to the randomization scheme. In other words, for the purposes of ITT analysis, everyone who is randomized in the trial is considered to be part of the trial regardless of whether he or she is dosed at all or completes the trial per protocol for the recommended duration of treatment. The ITT population for TWIN High consisted of 116 subjects, 102 of which had moderate acne and 14 of which had severe acne. The ITT population for TWIN Low consisted of 117 subjects, 104 of which had moderate acne and 13 of which had severe acne.</w:t>
      </w:r>
    </w:p>
    <w:p>
      <w:pPr>
        <w:spacing w:after="0" w:line="247"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Discontinuations were treated statistically with the last observation carry forward methodology for the TWIN data sets shown below. P-value is a conventional statistical method for measuring the statistical significance of clinical results. A p-value of less than 0.05 is generally considered to represent statistical significance, meaning that there is a less than five percent likelihood that the observed results occurred by chance. Unless otherwise specified, the p-values shown herein represent a comparison of each active group to the pooled vehicle treatment groups.</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Phase II Trial Results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As outlined below, TWIN demonstrated statistically significant improvements relative to vehicle in all primary and secondary efficacy endpoints. The IGA success rate, defined as achieving at least a two-grade reduction in the IGA score and either “clear” or “almost clear” at week 12, was 39.68% for TWIN High (p-value of &lt;0.001), 27.43% for TWIN Low (p-value = 0.006) and 12.27% for vehicle.</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At baseline across all treatment groups, the mean inflammatory lesion count was 26 to 29, the mean non-inflammatory lesion count was 42 to 43, and 86% to 91% of the subjects had an IGA score of “moderate”, or 3, while the remainder had an IGA score of “severe”, or 4. The absolute mean change from baseline in the number of non-inflammatory lesions was -23.6 for TWIN High, -23.7 for TWIN Low and -13.7 for vehicle, with a p-value of &lt;0.001. The absolute mean change from baseline in the number of inflammatory lesions was -16.9 for TWIN High, -17.0 for TWIN Low and -11.5 for vehicle, with a p-value of &lt;0.001.</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Percent change in lesion counts from baseline at week 12 was statistically significantly compared to vehicle for both non-inflammatory and inflammatory lesions for each TWIN treatment group. Percent change from baseline at week 12 in the number of non-inflammatory lesions was 53.30% for TWIN High, 54.90% for TWIN Low and 32.40% for vehicle, with a p-value for each TWIN treatment group of &lt;0.001. Percent change from baseline at week 12 in the number of inflammatory lesions was 64.04% for TWIN High, 60.75% for TWIN Low and 42.17% for vehicle, with a p-value for each TWIN treatment group of &lt;0.001.</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7" w:name="page68"/>
    <w:bookmarkEnd w:id="67"/>
    <w:p>
      <w:pPr>
        <w:ind w:firstLine="360"/>
        <w:spacing w:after="0" w:line="277" w:lineRule="auto"/>
        <w:rPr>
          <w:sz w:val="20"/>
          <w:szCs w:val="20"/>
          <w:color w:val="auto"/>
        </w:rPr>
      </w:pPr>
      <w:r>
        <w:rPr>
          <w:rFonts w:ascii="Arial" w:cs="Arial" w:eastAsia="Arial" w:hAnsi="Arial"/>
          <w:sz w:val="18"/>
          <w:szCs w:val="18"/>
          <w:color w:val="auto"/>
        </w:rPr>
        <w:t>The following chart presents the proportion of subjects in the ITT population in each treatment group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5539740" cy="127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539740" cy="127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chart presents the mean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4210685" cy="1680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4210685" cy="1680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chart presents the mean absolute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4648200" cy="216090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4648200" cy="216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8" w:name="page69"/>
    <w:bookmarkEnd w:id="68"/>
    <w:p>
      <w:pPr>
        <w:ind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3858895" cy="361886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858895" cy="3618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9" w:name="page70"/>
    <w:bookmarkEnd w:id="69"/>
    <w:p>
      <w:pPr>
        <w:jc w:val="both"/>
        <w:ind w:right="20"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non-inflammatory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3395980" cy="31813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395980" cy="3181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also assessed cutaneous tolerability by recording the erythema (redness), scaling, pigmentation, itching, burning and stinging on a four-point scale from 0 to 3 at baseline and at each visit. These measurements are either measured by the physician or reported by the subject. Overall, TWIN was generally well tolerated. The majority of cutaneous adverse events were mild. The remaining treatment groups were also generally well tolerated by treated subjects, which we believe demonstrates that encapsulation of tretinoin may provide a tolerable solution.</w:t>
      </w:r>
    </w:p>
    <w:p>
      <w:pPr>
        <w:spacing w:after="0" w:line="24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Of the 726 subjects who enrolled in the study, 128 subjects across the six treatment groups did not complete the study. The most common reasons for subjects not completing the study were the withdrawal of informed consent (42 subjects), loss to follow-up (56 subjects) and adverse events (18 subjects). For TWIN High and TWIN Low, five subjects (4.2%) and eight subjects (6.6%) withdrew informed consent, respectively, compared to six subjects (5.0%) for vehicle, seven subjects (5.7%) for encapsulated tretinoin High, eight subjects (6.6%) for encapsulated tretinoin Low and eight subjects (6.6%) for encapsulated benzoyl peroxide. Eleven subjects (9.2%) in the TWIN High group and six subjects (5.0%) in the TWIN Low group were lost to follow-up, compared to nine subjects (7.6%) for vehicle, 17 subjects (13.9%) for encapsulated tretinoin High, six subjects (4.9%) for encapsulated tretinoin Low and seven subjects (5.7%) for encapsulated benzoyl peroxide. For TWIN High and TWIN Low, five subjects (4.2%) and three subjects (2.5%) did not complete the trial due to adverse events, respectively, compared to no subjects for vehicle, four subjects (3.3%) for encapsulated tretinoin High, two subjects (1.6%) for encapsulated tretinoin Low and four subjects (3.3%) for encapsulated benzoyl peroxide.</w:t>
      </w:r>
    </w:p>
    <w:p>
      <w:pPr>
        <w:spacing w:after="0" w:line="236"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Phase III Clinical Program</w:t>
      </w:r>
    </w:p>
    <w:p>
      <w:pPr>
        <w:spacing w:after="0" w:line="27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clinical trial is planned to enroll approximately 420 subjects aged 9 and above at a 2:1 ratio, with a power of 99%.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2019and, if the results from our program are positive, are planning to submit an NDA for marketing approval in 2020.</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0" w:name="page71"/>
    <w:bookmarkEnd w:id="70"/>
    <w:p>
      <w:pPr>
        <w:ind w:left="360"/>
        <w:spacing w:after="0"/>
        <w:rPr>
          <w:sz w:val="20"/>
          <w:szCs w:val="20"/>
          <w:color w:val="auto"/>
        </w:rPr>
      </w:pPr>
      <w:r>
        <w:rPr>
          <w:rFonts w:ascii="Arial" w:cs="Arial" w:eastAsia="Arial" w:hAnsi="Arial"/>
          <w:sz w:val="16"/>
          <w:szCs w:val="16"/>
          <w:color w:val="auto"/>
        </w:rPr>
        <w:t>In parallel with, our Phase III clinical program, we intend to conduct a pharmacokinetics safety study and expect to commence additional safety studies.</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Epsolay® </w:t>
      </w:r>
      <w:r>
        <w:rPr>
          <w:rFonts w:ascii="Arial" w:cs="Arial" w:eastAsia="Arial" w:hAnsi="Arial"/>
          <w:sz w:val="18"/>
          <w:szCs w:val="18"/>
          <w:b w:val="1"/>
          <w:bCs w:val="1"/>
          <w:i w:val="1"/>
          <w:iCs w:val="1"/>
          <w:color w:val="auto"/>
        </w:rPr>
        <w:t>for Subtype II Rosacea</w:t>
      </w:r>
    </w:p>
    <w:p>
      <w:pPr>
        <w:spacing w:after="0" w:line="28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 xml:space="preserve">Epsolay® </w:t>
      </w:r>
      <w:r>
        <w:rPr>
          <w:rFonts w:ascii="Arial" w:cs="Arial" w:eastAsia="Arial" w:hAnsi="Arial"/>
          <w:sz w:val="18"/>
          <w:szCs w:val="18"/>
          <w:i w:val="1"/>
          <w:iCs w:val="1"/>
          <w:color w:val="auto"/>
        </w:rPr>
        <w:t>Overview</w:t>
      </w:r>
    </w:p>
    <w:p>
      <w:pPr>
        <w:spacing w:after="0" w:line="279" w:lineRule="exact"/>
        <w:rPr>
          <w:sz w:val="20"/>
          <w:szCs w:val="20"/>
          <w:color w:val="auto"/>
        </w:rPr>
      </w:pPr>
    </w:p>
    <w:p>
      <w:pPr>
        <w:jc w:val="both"/>
        <w:ind w:firstLine="360"/>
        <w:spacing w:after="0" w:line="283" w:lineRule="auto"/>
        <w:rPr>
          <w:sz w:val="20"/>
          <w:szCs w:val="20"/>
          <w:color w:val="auto"/>
        </w:rPr>
      </w:pPr>
      <w:r>
        <w:rPr>
          <w:rFonts w:ascii="Arial" w:cs="Arial" w:eastAsia="Arial" w:hAnsi="Arial"/>
          <w:sz w:val="16"/>
          <w:szCs w:val="16"/>
          <w:color w:val="auto"/>
        </w:rPr>
        <w:t>Epsolay® is a once-daily topical cream containing 5% encapsulated benzoyl peroxide that we are developing for the treatment of subtype II rosacea. We believe Epsolay® has the potential to become the first product to contain encapsulated benzoyl peroxide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 except that comedones are absent, and patients may report associated burning and stinging sensations. In 2012, we completed a 92 subject, randomized, multi-center, double-blind, vehicle-controlled Phase II trial for Epsolay®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Epsolay® was similar to that of vehicle. We expect that Epsolay®, if approved, will compete directly with Soolantra. We expect to utilize the FDA’s 505(b)</w:t>
      </w:r>
    </w:p>
    <w:p>
      <w:pPr>
        <w:spacing w:after="0" w:line="7" w:lineRule="exact"/>
        <w:rPr>
          <w:sz w:val="20"/>
          <w:szCs w:val="20"/>
          <w:color w:val="auto"/>
        </w:rPr>
      </w:pPr>
    </w:p>
    <w:p>
      <w:pPr>
        <w:jc w:val="both"/>
        <w:ind w:firstLine="8"/>
        <w:spacing w:after="0" w:line="233" w:lineRule="auto"/>
        <w:tabs>
          <w:tab w:leader="none" w:pos="261"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regulatory pathway in seeking approval of Epsolay® in the United States. In June 2018, we announced dosing of the first subject in our pivotal Phase III clinical program of Epsolay® in subjects with papulopustular rosacea. The program is being conducted in accordance with an SPA agreement with the FDA regarding the design of the pivotal trials. The program consists of two randomized, multi-center, double-blind, vehicle-controlled clinical trials at approximately 50 sites in the United States. In September 2018, we announced that we had completed enrollment of half of the patients in our pivotal Phase III clinical trials of Epsolay</w:t>
      </w:r>
      <w:r>
        <w:rPr>
          <w:rFonts w:ascii="Arial" w:cs="Arial" w:eastAsia="Arial" w:hAnsi="Arial"/>
          <w:sz w:val="30"/>
          <w:szCs w:val="30"/>
          <w:color w:val="auto"/>
          <w:vertAlign w:val="superscript"/>
        </w:rPr>
        <w:t>®</w:t>
      </w:r>
      <w:r>
        <w:rPr>
          <w:rFonts w:ascii="Arial" w:cs="Arial" w:eastAsia="Arial" w:hAnsi="Arial"/>
          <w:sz w:val="18"/>
          <w:szCs w:val="18"/>
          <w:color w:val="auto"/>
        </w:rPr>
        <w:t>, and we commenced a long-term safety study We expect to report top-line data from these trials in 2019. 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fair-skin.</w:t>
      </w:r>
    </w:p>
    <w:p>
      <w:pPr>
        <w:spacing w:after="0" w:line="258"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Current Treatment Landscape for Subtype II Rosacea</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four approved drugs for the treatment of subtype II rosacea: Soolantra, Metrogel, Oracea and generic metronidazole. In certain cases, dermatologists often prescribe oral antibiotics either as monotherapies or in conjunction with approved medications.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71" w:name="page72"/>
    <w:bookmarkEnd w:id="71"/>
    <w:p>
      <w:pPr>
        <w:ind w:left="380"/>
        <w:spacing w:after="0"/>
        <w:rPr>
          <w:sz w:val="20"/>
          <w:szCs w:val="20"/>
          <w:color w:val="auto"/>
        </w:rPr>
      </w:pPr>
      <w:r>
        <w:rPr>
          <w:rFonts w:ascii="Arial" w:cs="Arial" w:eastAsia="Arial" w:hAnsi="Arial"/>
          <w:sz w:val="18"/>
          <w:szCs w:val="18"/>
          <w:i w:val="1"/>
          <w:iCs w:val="1"/>
          <w:color w:val="auto"/>
        </w:rPr>
        <w:t>Our Solution for Subtype II Rosacea — Epsolay®</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Epsolay® candidate for the treatment of subtype II rosacea can improve on current subtype II rosacea treatments in the following ways:</w:t>
      </w:r>
    </w:p>
    <w:p>
      <w:pPr>
        <w:spacing w:after="0" w:line="242" w:lineRule="exact"/>
        <w:rPr>
          <w:sz w:val="20"/>
          <w:szCs w:val="20"/>
          <w:color w:val="auto"/>
        </w:rPr>
      </w:pPr>
    </w:p>
    <w:p>
      <w:pPr>
        <w:ind w:left="720" w:hanging="361"/>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Epsolay®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Epsolay®'s release of the drug can reduce irritation while maintaining efficacy.</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Epsolay® is an innovative topical cream, and if approved, would be the first product containing benzoyl peroxide for the treatment of subtype II rosacea.</w:t>
      </w:r>
    </w:p>
    <w:p>
      <w:pPr>
        <w:spacing w:after="0" w:line="30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Epsolay® Phase II Trial Design</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August 2012, we completed a multi-center, three-arm, randomized, double-blind, placebo-controlled study designed to assess the efficacy, tolerability and safety of two Epsolay® concentrations, Epsolay®1% (encapsulated benzoyl peroxide 1%) and Epsolay®5% (encapsulated benzoyl peroxide 5%). A total of 92 subjects were enrolled in the trial at ten sites in the United States. Subjects were equally randomized into three separate arms: Epsolay®1%, Epsolay®5% and vehicle and each group received a once-daily dose. All subjects were 18 years of age or older, with a mean age of 51. Gender distribution was 27% male and 73% female. Inclusion criteria required facial rosacea with 12 or more inflammatory lesions at enrolment and a score of 2, 3 or 4 (“mild”, “moderate” or “severe”) on a five-point IGA scale that ranges from a score of 0, representing “clear skin,” to a score of 4, representing a “severe” disease. The evaluator also rated the following signs and symptoms of local skin irritation on a scale of 0 to 3 (“none”, “mild”, “moderate”, “severe”): dryness, scaling, pruritus, stinging and burning. The evaluation period spanned 12 weeks after initial treatment. At baseline across all treatment groups, the mean inflammatory lesion count was 19.9, 28.6 and 22.9 for vehicle, Epsolay®1% and Epsolay®5%, respectively. 73.9% of the subjects had an IGA score of “moderate”, or 3, while the remainder had an IGA score of “mild”, or 2 and “severe”, or 4.</w:t>
      </w:r>
    </w:p>
    <w:p>
      <w:pPr>
        <w:spacing w:after="0" w:line="2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Two primary efficacy endpoints were defined for this trial:</w:t>
      </w:r>
    </w:p>
    <w:p>
      <w:pPr>
        <w:spacing w:after="0" w:line="279" w:lineRule="exact"/>
        <w:rPr>
          <w:sz w:val="20"/>
          <w:szCs w:val="20"/>
          <w:color w:val="auto"/>
        </w:rPr>
      </w:pPr>
    </w:p>
    <w:p>
      <w:pPr>
        <w:ind w:left="720" w:hanging="361"/>
        <w:spacing w:after="0"/>
        <w:tabs>
          <w:tab w:leader="none" w:pos="720" w:val="left"/>
        </w:tabs>
        <w:numPr>
          <w:ilvl w:val="0"/>
          <w:numId w:val="46"/>
        </w:numPr>
        <w:rPr>
          <w:rFonts w:ascii="Arial" w:cs="Arial" w:eastAsia="Arial" w:hAnsi="Arial"/>
          <w:sz w:val="17"/>
          <w:szCs w:val="17"/>
          <w:color w:val="auto"/>
        </w:rPr>
      </w:pPr>
      <w:r>
        <w:rPr>
          <w:rFonts w:ascii="Arial" w:cs="Arial" w:eastAsia="Arial" w:hAnsi="Arial"/>
          <w:sz w:val="17"/>
          <w:szCs w:val="17"/>
          <w:color w:val="auto"/>
        </w:rPr>
        <w:t>the proportion of subjects who achieve at least a two-grade reduction in the IGA score and either “clear” or “almost clear” at week 12; and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reduction in the mean inflammatory lesion count from baseline at week 12.</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All statistical analyses and data shown for Epsolay® are on the ITT population. The ITT population for Epsolay®1% consisted of 32 subjects, 3 of which had mild rosacea, 24 of which had moderate rosacea and 5 of which had severe rosacea. The ITT population for Epsolay®5% consisted of 30 subjects, 4 of which had mild rosacea, 21 of which had moderate rosacea and 5 of which had severe rosacea.</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72" w:name="page73"/>
    <w:bookmarkEnd w:id="72"/>
    <w:p>
      <w:pPr>
        <w:jc w:val="both"/>
        <w:ind w:firstLine="360"/>
        <w:spacing w:after="0" w:line="257" w:lineRule="auto"/>
        <w:rPr>
          <w:sz w:val="20"/>
          <w:szCs w:val="20"/>
          <w:color w:val="auto"/>
        </w:rPr>
      </w:pPr>
      <w:r>
        <w:rPr>
          <w:rFonts w:ascii="Arial" w:cs="Arial" w:eastAsia="Arial" w:hAnsi="Arial"/>
          <w:sz w:val="18"/>
          <w:szCs w:val="18"/>
          <w:color w:val="auto"/>
        </w:rPr>
        <w:t>In this trial, we defined “clear” as no inflammatory lesions present with no or very mild erythema immediately localized to and around where inflammatory lesions were present, and “almost clear” as very mild erythema immediately localized to and around inflammatory lesions with very few small papules/pustules. The FDA required a modification to our definition of “clear” on the IGA scale such that the category of ”clear” represented the absence of the disease at the end of the trial. Out of the 11 subjects that were defined as “mild” at baseline, there was only one subject that was treated with Epsolay® and reached “clear” at the end of the trial.</w:t>
      </w:r>
    </w:p>
    <w:p>
      <w:pPr>
        <w:spacing w:after="0" w:line="24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Epsolay®Phase II Trial Results</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As outlined below, Epsolay® 5% demonstrated statistically significant improvement in the IGA co-primary efficacy endpoints. The IGA success rate, defined as having at least a two-grade reduction in the IGA score and either “clear” or “almost clear” at week 12, was 53.3% for Epsolay®5% (p-value of 0.0013 vs. vehicle), 37.5% for Epsolay®1% (p-value of 0.0836 vs. vehicle) and 20.0% for vehicle, indicating a successful dose-ranging study. The mean change from baseline in the absolute number of inflammatory lesions was -14.1 for Epsolay®5%, -21.6 for Epsolay®1% and -7.4 for vehicle. The median change from baseline in the absolute number of inflammatory lesions was -15.0 for Epsolay®5%, -12.5 for Epsolay®1% and -10.0 for vehicle.</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580" w:type="dxa"/>
            <w:vAlign w:val="bottom"/>
          </w:tcPr>
          <w:p>
            <w:pPr>
              <w:ind w:left="340"/>
              <w:spacing w:after="0"/>
              <w:rPr>
                <w:sz w:val="20"/>
                <w:szCs w:val="20"/>
                <w:color w:val="auto"/>
              </w:rPr>
            </w:pPr>
            <w:r>
              <w:rPr>
                <w:rFonts w:ascii="Arial" w:cs="Arial" w:eastAsia="Arial" w:hAnsi="Arial"/>
                <w:sz w:val="18"/>
                <w:szCs w:val="18"/>
                <w:color w:val="auto"/>
              </w:rPr>
              <w:t>The following table summarizes the efficacy results for Epsolay®.</w:t>
            </w:r>
          </w:p>
        </w:tc>
        <w:tc>
          <w:tcPr>
            <w:tcW w:w="1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8"/>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540" w:type="dxa"/>
            <w:vAlign w:val="bottom"/>
            <w:gridSpan w:val="2"/>
          </w:tcPr>
          <w:p>
            <w:pPr>
              <w:ind w:left="240"/>
              <w:spacing w:after="0"/>
              <w:rPr>
                <w:sz w:val="20"/>
                <w:szCs w:val="20"/>
                <w:color w:val="auto"/>
              </w:rPr>
            </w:pPr>
            <w:r>
              <w:rPr>
                <w:rFonts w:ascii="Arial" w:cs="Arial" w:eastAsia="Arial" w:hAnsi="Arial"/>
                <w:sz w:val="18"/>
                <w:szCs w:val="18"/>
                <w:b w:val="1"/>
                <w:bCs w:val="1"/>
                <w:color w:val="auto"/>
              </w:rPr>
              <w:t>Vehicle</w:t>
            </w:r>
          </w:p>
        </w:tc>
        <w:tc>
          <w:tcPr>
            <w:tcW w:w="220" w:type="dxa"/>
            <w:vAlign w:val="bottom"/>
          </w:tcPr>
          <w:p>
            <w:pPr>
              <w:spacing w:after="0"/>
              <w:rPr>
                <w:sz w:val="24"/>
                <w:szCs w:val="24"/>
                <w:color w:val="auto"/>
              </w:rPr>
            </w:pPr>
          </w:p>
        </w:tc>
        <w:tc>
          <w:tcPr>
            <w:tcW w:w="1300" w:type="dxa"/>
            <w:vAlign w:val="bottom"/>
          </w:tcPr>
          <w:p>
            <w:pPr>
              <w:spacing w:after="0"/>
              <w:rPr>
                <w:sz w:val="20"/>
                <w:szCs w:val="20"/>
                <w:color w:val="auto"/>
              </w:rPr>
            </w:pPr>
            <w:r>
              <w:rPr>
                <w:rFonts w:ascii="Arial" w:cs="Arial" w:eastAsia="Arial" w:hAnsi="Arial"/>
                <w:sz w:val="18"/>
                <w:szCs w:val="18"/>
                <w:b w:val="1"/>
                <w:bCs w:val="1"/>
                <w:color w:val="auto"/>
              </w:rPr>
              <w:t>Epsolay®1%</w:t>
            </w:r>
          </w:p>
        </w:tc>
        <w:tc>
          <w:tcPr>
            <w:tcW w:w="220" w:type="dxa"/>
            <w:vAlign w:val="bottom"/>
          </w:tcPr>
          <w:p>
            <w:pPr>
              <w:spacing w:after="0"/>
              <w:rPr>
                <w:sz w:val="24"/>
                <w:szCs w:val="24"/>
                <w:color w:val="auto"/>
              </w:rPr>
            </w:pPr>
          </w:p>
        </w:tc>
        <w:tc>
          <w:tcPr>
            <w:tcW w:w="1280" w:type="dxa"/>
            <w:vAlign w:val="bottom"/>
          </w:tcPr>
          <w:p>
            <w:pPr>
              <w:spacing w:after="0"/>
              <w:rPr>
                <w:sz w:val="20"/>
                <w:szCs w:val="20"/>
                <w:color w:val="auto"/>
              </w:rPr>
            </w:pPr>
            <w:r>
              <w:rPr>
                <w:rFonts w:ascii="Arial" w:cs="Arial" w:eastAsia="Arial" w:hAnsi="Arial"/>
                <w:sz w:val="18"/>
                <w:szCs w:val="18"/>
                <w:b w:val="1"/>
                <w:bCs w:val="1"/>
                <w:color w:val="auto"/>
              </w:rPr>
              <w:t>Epsolay®5%</w:t>
            </w:r>
          </w:p>
        </w:tc>
        <w:tc>
          <w:tcPr>
            <w:tcW w:w="0" w:type="dxa"/>
            <w:vAlign w:val="bottom"/>
          </w:tcPr>
          <w:p>
            <w:pPr>
              <w:spacing w:after="0"/>
              <w:rPr>
                <w:sz w:val="1"/>
                <w:szCs w:val="1"/>
                <w:color w:val="auto"/>
              </w:rPr>
            </w:pPr>
          </w:p>
        </w:tc>
      </w:tr>
      <w:tr>
        <w:trPr>
          <w:trHeight w:val="241"/>
        </w:trPr>
        <w:tc>
          <w:tcPr>
            <w:tcW w:w="5600" w:type="dxa"/>
            <w:vAlign w:val="bottom"/>
            <w:gridSpan w:val="2"/>
          </w:tcPr>
          <w:p>
            <w:pPr>
              <w:spacing w:after="0"/>
              <w:rPr>
                <w:sz w:val="20"/>
                <w:szCs w:val="20"/>
                <w:color w:val="auto"/>
              </w:rPr>
            </w:pPr>
            <w:r>
              <w:rPr>
                <w:rFonts w:ascii="Arial" w:cs="Arial" w:eastAsia="Arial" w:hAnsi="Arial"/>
                <w:sz w:val="18"/>
                <w:szCs w:val="18"/>
                <w:b w:val="1"/>
                <w:bCs w:val="1"/>
                <w:color w:val="auto"/>
              </w:rPr>
              <w:t>Epsolay®Phase II Efficacy Results at Week 12 (ITT)</w:t>
            </w:r>
          </w:p>
        </w:tc>
        <w:tc>
          <w:tcPr>
            <w:tcW w:w="1260" w:type="dxa"/>
            <w:vAlign w:val="bottom"/>
          </w:tcPr>
          <w:p>
            <w:pPr>
              <w:spacing w:after="0"/>
              <w:rPr>
                <w:sz w:val="20"/>
                <w:szCs w:val="20"/>
                <w:color w:val="auto"/>
              </w:rPr>
            </w:pPr>
          </w:p>
        </w:tc>
        <w:tc>
          <w:tcPr>
            <w:tcW w:w="1540" w:type="dxa"/>
            <w:vAlign w:val="bottom"/>
            <w:gridSpan w:val="2"/>
          </w:tcPr>
          <w:p>
            <w:pPr>
              <w:ind w:left="240"/>
              <w:spacing w:after="0"/>
              <w:rPr>
                <w:sz w:val="20"/>
                <w:szCs w:val="20"/>
                <w:color w:val="auto"/>
              </w:rPr>
            </w:pPr>
            <w:r>
              <w:rPr>
                <w:rFonts w:ascii="Arial" w:cs="Arial" w:eastAsia="Arial" w:hAnsi="Arial"/>
                <w:sz w:val="18"/>
                <w:szCs w:val="18"/>
                <w:b w:val="1"/>
                <w:bCs w:val="1"/>
                <w:color w:val="auto"/>
              </w:rPr>
              <w:t>(N=30)</w:t>
            </w: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r>
              <w:rPr>
                <w:rFonts w:ascii="Arial" w:cs="Arial" w:eastAsia="Arial" w:hAnsi="Arial"/>
                <w:sz w:val="18"/>
                <w:szCs w:val="18"/>
                <w:b w:val="1"/>
                <w:bCs w:val="1"/>
                <w:color w:val="auto"/>
              </w:rPr>
              <w:t>(N=32)</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r>
              <w:rPr>
                <w:rFonts w:ascii="Arial" w:cs="Arial" w:eastAsia="Arial" w:hAnsi="Arial"/>
                <w:sz w:val="18"/>
                <w:szCs w:val="18"/>
                <w:b w:val="1"/>
                <w:bCs w:val="1"/>
                <w:color w:val="auto"/>
              </w:rPr>
              <w:t>(N=30)</w:t>
            </w:r>
          </w:p>
        </w:tc>
        <w:tc>
          <w:tcPr>
            <w:tcW w:w="0" w:type="dxa"/>
            <w:vAlign w:val="bottom"/>
          </w:tcPr>
          <w:p>
            <w:pPr>
              <w:spacing w:after="0"/>
              <w:rPr>
                <w:sz w:val="1"/>
                <w:szCs w:val="1"/>
                <w:color w:val="auto"/>
              </w:rPr>
            </w:pPr>
          </w:p>
        </w:tc>
      </w:tr>
      <w:tr>
        <w:trPr>
          <w:trHeight w:val="216"/>
        </w:trPr>
        <w:tc>
          <w:tcPr>
            <w:tcW w:w="20" w:type="dxa"/>
            <w:vAlign w:val="bottom"/>
            <w:tcBorders>
              <w:top w:val="single" w:sz="8" w:color="auto"/>
            </w:tcBorders>
          </w:tcPr>
          <w:p>
            <w:pPr>
              <w:spacing w:after="0"/>
              <w:rPr>
                <w:sz w:val="18"/>
                <w:szCs w:val="18"/>
                <w:color w:val="auto"/>
              </w:rPr>
            </w:pPr>
          </w:p>
        </w:tc>
        <w:tc>
          <w:tcPr>
            <w:tcW w:w="5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Dichotomized IGA – Primary Success</w:t>
            </w:r>
          </w:p>
        </w:tc>
        <w:tc>
          <w:tcPr>
            <w:tcW w:w="126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color w:val="auto"/>
              </w:rPr>
              <w:t>Success</w:t>
            </w:r>
          </w:p>
        </w:tc>
        <w:tc>
          <w:tcPr>
            <w:tcW w:w="2800" w:type="dxa"/>
            <w:vAlign w:val="bottom"/>
            <w:gridSpan w:val="3"/>
          </w:tcPr>
          <w:p>
            <w:pPr>
              <w:ind w:left="1500"/>
              <w:spacing w:after="0"/>
              <w:rPr>
                <w:sz w:val="20"/>
                <w:szCs w:val="20"/>
                <w:color w:val="auto"/>
              </w:rPr>
            </w:pPr>
            <w:r>
              <w:rPr>
                <w:rFonts w:ascii="Arial" w:cs="Arial" w:eastAsia="Arial" w:hAnsi="Arial"/>
                <w:sz w:val="18"/>
                <w:szCs w:val="18"/>
                <w:color w:val="auto"/>
              </w:rPr>
              <w:t>6 (20.0%)</w:t>
            </w:r>
          </w:p>
        </w:tc>
        <w:tc>
          <w:tcPr>
            <w:tcW w:w="1520" w:type="dxa"/>
            <w:vAlign w:val="bottom"/>
            <w:gridSpan w:val="2"/>
          </w:tcPr>
          <w:p>
            <w:pPr>
              <w:ind w:left="220"/>
              <w:spacing w:after="0"/>
              <w:rPr>
                <w:sz w:val="20"/>
                <w:szCs w:val="20"/>
                <w:color w:val="auto"/>
              </w:rPr>
            </w:pPr>
            <w:r>
              <w:rPr>
                <w:rFonts w:ascii="Arial" w:cs="Arial" w:eastAsia="Arial" w:hAnsi="Arial"/>
                <w:sz w:val="18"/>
                <w:szCs w:val="18"/>
                <w:color w:val="auto"/>
              </w:rPr>
              <w:t>12 (37.5%)</w:t>
            </w:r>
          </w:p>
        </w:tc>
        <w:tc>
          <w:tcPr>
            <w:tcW w:w="1500" w:type="dxa"/>
            <w:vAlign w:val="bottom"/>
            <w:gridSpan w:val="2"/>
          </w:tcPr>
          <w:p>
            <w:pPr>
              <w:ind w:left="220"/>
              <w:spacing w:after="0"/>
              <w:rPr>
                <w:sz w:val="20"/>
                <w:szCs w:val="20"/>
                <w:color w:val="auto"/>
              </w:rPr>
            </w:pPr>
            <w:r>
              <w:rPr>
                <w:rFonts w:ascii="Arial" w:cs="Arial" w:eastAsia="Arial" w:hAnsi="Arial"/>
                <w:sz w:val="18"/>
                <w:szCs w:val="18"/>
                <w:color w:val="auto"/>
              </w:rPr>
              <w:t>16 (53.3%)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Failure</w:t>
            </w:r>
          </w:p>
        </w:tc>
        <w:tc>
          <w:tcPr>
            <w:tcW w:w="2800" w:type="dxa"/>
            <w:vAlign w:val="bottom"/>
            <w:gridSpan w:val="3"/>
            <w:shd w:val="clear" w:color="auto" w:fill="CCEEFF"/>
          </w:tcPr>
          <w:p>
            <w:pPr>
              <w:ind w:left="1500"/>
              <w:spacing w:after="0"/>
              <w:rPr>
                <w:sz w:val="20"/>
                <w:szCs w:val="20"/>
                <w:color w:val="auto"/>
              </w:rPr>
            </w:pPr>
            <w:r>
              <w:rPr>
                <w:rFonts w:ascii="Arial" w:cs="Arial" w:eastAsia="Arial" w:hAnsi="Arial"/>
                <w:sz w:val="18"/>
                <w:szCs w:val="18"/>
                <w:color w:val="auto"/>
              </w:rPr>
              <w:t>24 (80.0%)</w:t>
            </w:r>
          </w:p>
        </w:tc>
        <w:tc>
          <w:tcPr>
            <w:tcW w:w="15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20 (62.5%)</w:t>
            </w:r>
          </w:p>
        </w:tc>
        <w:tc>
          <w:tcPr>
            <w:tcW w:w="15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14 (46.7%)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20" w:type="dxa"/>
            <w:vAlign w:val="bottom"/>
            <w:gridSpan w:val="2"/>
          </w:tcPr>
          <w:p>
            <w:pPr>
              <w:ind w:left="220"/>
              <w:spacing w:after="0"/>
              <w:rPr>
                <w:sz w:val="20"/>
                <w:szCs w:val="20"/>
                <w:color w:val="auto"/>
              </w:rPr>
            </w:pPr>
            <w:r>
              <w:rPr>
                <w:rFonts w:ascii="Arial" w:cs="Arial" w:eastAsia="Arial" w:hAnsi="Arial"/>
                <w:sz w:val="18"/>
                <w:szCs w:val="18"/>
                <w:color w:val="auto"/>
              </w:rPr>
              <w:t>0.0836</w:t>
            </w:r>
          </w:p>
        </w:tc>
        <w:tc>
          <w:tcPr>
            <w:tcW w:w="1500" w:type="dxa"/>
            <w:vAlign w:val="bottom"/>
            <w:gridSpan w:val="2"/>
          </w:tcPr>
          <w:p>
            <w:pPr>
              <w:ind w:left="220"/>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Inflammatory Lesion Count – Change from Baseline</w:t>
            </w:r>
          </w:p>
        </w:tc>
        <w:tc>
          <w:tcPr>
            <w:tcW w:w="1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color w:val="auto"/>
              </w:rPr>
              <w:t>Mean</w:t>
            </w:r>
          </w:p>
        </w:tc>
        <w:tc>
          <w:tcPr>
            <w:tcW w:w="2800" w:type="dxa"/>
            <w:vAlign w:val="bottom"/>
            <w:gridSpan w:val="3"/>
          </w:tcPr>
          <w:p>
            <w:pPr>
              <w:ind w:left="1500"/>
              <w:spacing w:after="0"/>
              <w:rPr>
                <w:sz w:val="20"/>
                <w:szCs w:val="20"/>
                <w:color w:val="auto"/>
              </w:rPr>
            </w:pPr>
            <w:r>
              <w:rPr>
                <w:rFonts w:ascii="Arial" w:cs="Arial" w:eastAsia="Arial" w:hAnsi="Arial"/>
                <w:sz w:val="18"/>
                <w:szCs w:val="18"/>
                <w:color w:val="auto"/>
              </w:rPr>
              <w:t>-7.4</w:t>
            </w:r>
          </w:p>
        </w:tc>
        <w:tc>
          <w:tcPr>
            <w:tcW w:w="1520" w:type="dxa"/>
            <w:vAlign w:val="bottom"/>
            <w:gridSpan w:val="2"/>
          </w:tcPr>
          <w:p>
            <w:pPr>
              <w:ind w:left="220"/>
              <w:spacing w:after="0"/>
              <w:rPr>
                <w:sz w:val="20"/>
                <w:szCs w:val="20"/>
                <w:color w:val="auto"/>
              </w:rPr>
            </w:pPr>
            <w:r>
              <w:rPr>
                <w:rFonts w:ascii="Arial" w:cs="Arial" w:eastAsia="Arial" w:hAnsi="Arial"/>
                <w:sz w:val="18"/>
                <w:szCs w:val="18"/>
                <w:color w:val="auto"/>
              </w:rPr>
              <w:t>-21.6</w:t>
            </w:r>
          </w:p>
        </w:tc>
        <w:tc>
          <w:tcPr>
            <w:tcW w:w="1500" w:type="dxa"/>
            <w:vAlign w:val="bottom"/>
            <w:gridSpan w:val="2"/>
          </w:tcPr>
          <w:p>
            <w:pPr>
              <w:ind w:left="22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Median</w:t>
            </w:r>
          </w:p>
        </w:tc>
        <w:tc>
          <w:tcPr>
            <w:tcW w:w="2800" w:type="dxa"/>
            <w:vAlign w:val="bottom"/>
            <w:gridSpan w:val="3"/>
            <w:shd w:val="clear" w:color="auto" w:fill="CCEEFF"/>
          </w:tcPr>
          <w:p>
            <w:pPr>
              <w:ind w:left="1500"/>
              <w:spacing w:after="0"/>
              <w:rPr>
                <w:sz w:val="20"/>
                <w:szCs w:val="20"/>
                <w:color w:val="auto"/>
              </w:rPr>
            </w:pPr>
            <w:r>
              <w:rPr>
                <w:rFonts w:ascii="Arial" w:cs="Arial" w:eastAsia="Arial" w:hAnsi="Arial"/>
                <w:sz w:val="18"/>
                <w:szCs w:val="18"/>
                <w:color w:val="auto"/>
              </w:rPr>
              <w:t>-10.0</w:t>
            </w:r>
          </w:p>
        </w:tc>
        <w:tc>
          <w:tcPr>
            <w:tcW w:w="15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-12.5</w:t>
            </w:r>
          </w:p>
        </w:tc>
        <w:tc>
          <w:tcPr>
            <w:tcW w:w="15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20" w:type="dxa"/>
            <w:vAlign w:val="bottom"/>
            <w:gridSpan w:val="2"/>
          </w:tcPr>
          <w:p>
            <w:pPr>
              <w:ind w:left="220"/>
              <w:spacing w:after="0"/>
              <w:rPr>
                <w:sz w:val="20"/>
                <w:szCs w:val="20"/>
                <w:color w:val="auto"/>
              </w:rPr>
            </w:pPr>
            <w:r>
              <w:rPr>
                <w:rFonts w:ascii="Arial" w:cs="Arial" w:eastAsia="Arial" w:hAnsi="Arial"/>
                <w:sz w:val="18"/>
                <w:szCs w:val="18"/>
                <w:color w:val="auto"/>
              </w:rPr>
              <w:t>0.0276</w:t>
            </w:r>
          </w:p>
        </w:tc>
        <w:tc>
          <w:tcPr>
            <w:tcW w:w="1500" w:type="dxa"/>
            <w:vAlign w:val="bottom"/>
            <w:gridSpan w:val="2"/>
          </w:tcPr>
          <w:p>
            <w:pPr>
              <w:ind w:left="220"/>
              <w:spacing w:after="0"/>
              <w:rPr>
                <w:sz w:val="20"/>
                <w:szCs w:val="20"/>
                <w:color w:val="auto"/>
              </w:rPr>
            </w:pPr>
            <w:r>
              <w:rPr>
                <w:rFonts w:ascii="Arial" w:cs="Arial" w:eastAsia="Arial" w:hAnsi="Arial"/>
                <w:sz w:val="18"/>
                <w:szCs w:val="18"/>
                <w:color w:val="auto"/>
              </w:rPr>
              <w:t>0.0037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spacing w:after="0"/>
              <w:rPr>
                <w:sz w:val="18"/>
                <w:szCs w:val="18"/>
                <w:color w:val="auto"/>
              </w:rPr>
            </w:pPr>
          </w:p>
        </w:tc>
        <w:tc>
          <w:tcPr>
            <w:tcW w:w="1500" w:type="dxa"/>
            <w:vAlign w:val="bottom"/>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5580" w:type="dxa"/>
            <w:vAlign w:val="bottom"/>
          </w:tcPr>
          <w:p>
            <w:pPr>
              <w:spacing w:after="0"/>
              <w:rPr>
                <w:sz w:val="20"/>
                <w:szCs w:val="20"/>
                <w:color w:val="auto"/>
              </w:rPr>
            </w:pPr>
            <w:r>
              <w:rPr>
                <w:rFonts w:ascii="Arial" w:cs="Arial" w:eastAsia="Arial" w:hAnsi="Arial"/>
                <w:sz w:val="18"/>
                <w:szCs w:val="18"/>
                <w:color w:val="auto"/>
                <w:w w:val="90"/>
              </w:rPr>
              <w:t>LOCF (last observation carried forward) used to impute mission observations</w:t>
            </w:r>
          </w:p>
        </w:tc>
        <w:tc>
          <w:tcPr>
            <w:tcW w:w="1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520" w:type="dxa"/>
            <w:vAlign w:val="bottom"/>
            <w:gridSpan w:val="2"/>
          </w:tcPr>
          <w:p>
            <w:pPr>
              <w:ind w:left="220"/>
              <w:spacing w:after="0"/>
              <w:rPr>
                <w:sz w:val="20"/>
                <w:szCs w:val="20"/>
                <w:color w:val="auto"/>
              </w:rPr>
            </w:pPr>
            <w:r>
              <w:rPr>
                <w:rFonts w:ascii="Arial" w:cs="Arial" w:eastAsia="Arial" w:hAnsi="Arial"/>
                <w:sz w:val="18"/>
                <w:szCs w:val="18"/>
                <w:color w:val="auto"/>
              </w:rPr>
              <w:t>0.0836</w:t>
            </w:r>
          </w:p>
        </w:tc>
        <w:tc>
          <w:tcPr>
            <w:tcW w:w="1500" w:type="dxa"/>
            <w:vAlign w:val="bottom"/>
            <w:gridSpan w:val="2"/>
          </w:tcPr>
          <w:p>
            <w:pPr>
              <w:ind w:left="220"/>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918"/>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1260" w:type="dxa"/>
            <w:vAlign w:val="bottom"/>
          </w:tcPr>
          <w:p>
            <w:pPr>
              <w:jc w:val="right"/>
              <w:ind w:right="970"/>
              <w:spacing w:after="0"/>
              <w:rPr>
                <w:sz w:val="20"/>
                <w:szCs w:val="20"/>
                <w:color w:val="auto"/>
              </w:rPr>
            </w:pPr>
            <w:r>
              <w:rPr>
                <w:rFonts w:ascii="Arial" w:cs="Arial" w:eastAsia="Arial" w:hAnsi="Arial"/>
                <w:sz w:val="18"/>
                <w:szCs w:val="18"/>
                <w:color w:val="auto"/>
                <w:w w:val="89"/>
              </w:rPr>
              <w:t>70</w:t>
            </w:r>
          </w:p>
        </w:tc>
        <w:tc>
          <w:tcPr>
            <w:tcW w:w="2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580" w:type="dxa"/>
            <w:vAlign w:val="bottom"/>
            <w:tcBorders>
              <w:bottom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65" w:right="239" w:bottom="1440" w:gutter="0" w:footer="0" w:header="0"/>
        </w:sectPr>
      </w:pPr>
    </w:p>
    <w:bookmarkStart w:id="73" w:name="page74"/>
    <w:bookmarkEnd w:id="73"/>
    <w:p>
      <w:pPr>
        <w:ind w:left="360"/>
        <w:spacing w:after="0"/>
        <w:rPr>
          <w:sz w:val="20"/>
          <w:szCs w:val="20"/>
          <w:color w:val="auto"/>
        </w:rPr>
      </w:pPr>
      <w:r>
        <w:rPr>
          <w:rFonts w:ascii="Arial" w:cs="Arial" w:eastAsia="Arial" w:hAnsi="Arial"/>
          <w:sz w:val="17"/>
          <w:szCs w:val="17"/>
          <w:color w:val="auto"/>
        </w:rPr>
        <w:t>The following chart presents results for the IGA efficacy endpoint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236855</wp:posOffset>
            </wp:positionH>
            <wp:positionV relativeFrom="paragraph">
              <wp:posOffset>193675</wp:posOffset>
            </wp:positionV>
            <wp:extent cx="3447415" cy="311277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447415" cy="3112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following chart presents the success in the mean and median reduction in inflammatory lesion counts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3422015" cy="312166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422015" cy="3121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74" w:name="page75"/>
    <w:bookmarkEnd w:id="74"/>
    <w:p>
      <w:pPr>
        <w:jc w:val="both"/>
        <w:ind w:firstLine="360"/>
        <w:spacing w:after="0" w:line="264" w:lineRule="auto"/>
        <w:rPr>
          <w:sz w:val="20"/>
          <w:szCs w:val="20"/>
          <w:color w:val="auto"/>
        </w:rPr>
      </w:pPr>
      <w:r>
        <w:rPr>
          <w:rFonts w:ascii="Arial" w:cs="Arial" w:eastAsia="Arial" w:hAnsi="Arial"/>
          <w:sz w:val="18"/>
          <w:szCs w:val="18"/>
          <w:color w:val="auto"/>
        </w:rPr>
        <w:t>The high reduction in the mean absolute number of inflammatory lesions in Epsolay®1% is a result of no upper limit on the number of inflammatory lesions at baseline and therefore we believe only the median change from baseline in the absolute number of inflammatory lesions should be examined to assess dose-ranging efficacy.</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also assessed cutaneous tolerability by recording the dryness, scaling, pruritus, stinging and burning on a four-point scale from 0 to 3 at baseline and at each visit. These measurements are either measured by the physician or reported by the subject. Overall, both of Epsolay®1% and Epsolay®5% were well tolerated.</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Of the 92 subjects that were randomized, 28 subjects in each treatment group completed the study. Two subjects in the vehicle group discontinued the study early: one subject withdrew consent and one subject was lost to follow-up. Four subjects in the Epsolay®1% group discontinued the study early: two subjects withdrew consent and two subjects discontinued the study due to “application site dermatitis”, which was moderate in severity, and “cyst”, which was deemed not related to the local application of Epsolay®. Two subjects in the Epsolay®5% group discontinued the study early: one subject was lost to follow-up, and one subject was discontinued due to an “application site reaction”.</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Ultimately, the Phase II trial found that both Epsolay®1% and Epsolay®5% had a favorable effect on subtype II rosacea. As a result of these findings, we selected Epsolay®5% for further development.</w:t>
      </w:r>
    </w:p>
    <w:p>
      <w:pPr>
        <w:spacing w:after="0" w:line="22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Phase III Clinical Program</w:t>
      </w:r>
    </w:p>
    <w:p>
      <w:pPr>
        <w:spacing w:after="0" w:line="27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In June 2018, we announced dosing of the first subject in our pivotal Phase III clinical program of Epsolay® in subjects with papulopustular rosacea. The program is being conducted in accordance with an SPA agreement with the FDA regarding the design of the pivotal trials. The program consists of two randomized, multi-center, double-blind, vehicle-controlled clinical trials at 50 sites in the United States. Each pivotal trial is planned to enroll 350 subjects in a 2:1 ratio of Epsolay in comparison to its vehicle, with a power of greater than 90%. The primary efficacy endpoints for both trials are success in the IGA defined as two-grade reduction in IGA on a stage of 0 to 4 with a “clear” (0) or “almost clear” (1) at week 12, and a reduction in mean inflammatory lesion count at week 12. In September 2018, we announced that we had completed enrollment of half of the patients in our pivotal Phase III clinical trials of Epsolay</w:t>
      </w:r>
      <w:r>
        <w:rPr>
          <w:rFonts w:ascii="Arial" w:cs="Arial" w:eastAsia="Arial" w:hAnsi="Arial"/>
          <w:sz w:val="28"/>
          <w:szCs w:val="28"/>
          <w:color w:val="auto"/>
          <w:vertAlign w:val="superscript"/>
        </w:rPr>
        <w:t>®</w:t>
      </w:r>
      <w:r>
        <w:rPr>
          <w:rFonts w:ascii="Arial" w:cs="Arial" w:eastAsia="Arial" w:hAnsi="Arial"/>
          <w:sz w:val="17"/>
          <w:szCs w:val="17"/>
          <w:color w:val="auto"/>
        </w:rPr>
        <w:t>. We expect to report top-line data from these trials in 2019.</w:t>
      </w:r>
    </w:p>
    <w:p>
      <w:pPr>
        <w:spacing w:after="0" w:line="8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In parallel with our Phase III clinical program we intend to conduct a long-term safety study, which we have commenced. We designed the Phase III program to demonstrate the efficacy and safety of treatment with Epsolay® relative to vehicle for the treatment of subtype II rosacea.</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Generic Drug Product Candidates</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In addition to our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are also currently developing a portfolio of six generic topical dermatological products, with five of our generic product candidates, including ivermectin cream, 1%, being developed in collaboration with Perrigo and another being developed in collaboration with Douglas Pharmaceuticals. Both Perrigo and Douglas Pharmaceuticals have significant experience in the development of generic drugs.</w:t>
      </w:r>
    </w:p>
    <w:p>
      <w:pPr>
        <w:spacing w:after="0" w:line="181"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we are developing in collaboration with Perrigo. In March 2017, Perrigo submitted an abbreviated new drug application, or ANDA, for ivermectin cream, 1% to the FDA and received approval for filing. Following notification from Perrigo, Galderma Laboratories, L.P., Galderma S.A., and Nestle Skin Health S.A., filed a patent litigation suit triggering the application of a 30-month stay on approval of the ANDA, under the Hatch-Waxman amendments to the Federal Food, Drug, and Cosmetic Act. In January 2018, this ANDA was tentatively approved by the FDA. Final approval from the FDA is subject to the 30-month stay under the Hatch-Waxman amendments to the Federal Food, Drug, and Cosmetic Act. Ivermectin cream, 1% is the active molecule in Soolantra which is currently marketed in the United States by Galderma Laboratories LP.</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76" w:name="page77"/>
    <w:bookmarkEnd w:id="76"/>
    <w:p>
      <w:pPr>
        <w:spacing w:after="0"/>
        <w:rPr>
          <w:sz w:val="20"/>
          <w:szCs w:val="20"/>
          <w:color w:val="auto"/>
        </w:rPr>
      </w:pPr>
      <w:r>
        <w:rPr>
          <w:rFonts w:ascii="Arial" w:cs="Arial" w:eastAsia="Arial" w:hAnsi="Arial"/>
          <w:sz w:val="18"/>
          <w:szCs w:val="18"/>
          <w:b w:val="1"/>
          <w:bCs w:val="1"/>
          <w:color w:val="auto"/>
        </w:rPr>
        <w:t>Our Proprietary Silica-Based Microencapsulation Technology Platform</w:t>
      </w:r>
    </w:p>
    <w:p>
      <w:pPr>
        <w:spacing w:after="0" w:line="28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208"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In contrast, we use proprietary ‘sol-gel’ processes to shape silica on site to form microcapsule shells of almost any size and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40 micron in size. This process results in an aqueous suspension in which the drug substances are entrapped in silica particles.</w:t>
      </w:r>
    </w:p>
    <w:p>
      <w:pPr>
        <w:spacing w:after="0" w:line="24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intend to leverage our technology platform to take advantage of the fact that the FDA has already approved drugs containing silica excipients for topical administration and utilizes our expertise in micro encapsulation processes to potentially expedite the approval process of drugs that are based on our technology platform.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Perrigo</w:t>
      </w:r>
    </w:p>
    <w:p>
      <w:pPr>
        <w:spacing w:after="0" w:line="279"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Perrigo will conduct all regulatory, scientific, clinical and technical activities necessary to develop ivermectin cream, 1%, prepare and file an ANDA with the FDA, and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If approval by the FDA of the ANDA,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We will be entitled to 50% of Perrigo’s gross profits related to the sale of ivermectin cream, 1%, on a quarterly basis, for a period of 20 years following the first commercial sale of the ivermectin cream, 1%, in the United States. The agreement may be terminated if the gross profits relating to the sale of the product do not exceed a certain threshold or if the potential market for the product has been significantly reduced due to regulatory changes.</w:t>
      </w:r>
    </w:p>
    <w:p>
      <w:pPr>
        <w:spacing w:after="0" w:line="23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party is responsible for its own costs in relation to performance under the agreement.</w:t>
      </w:r>
    </w:p>
    <w:p>
      <w:pPr>
        <w:spacing w:after="0" w:line="279"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77" w:name="page78"/>
    <w:bookmarkEnd w:id="77"/>
    <w:p>
      <w:pPr>
        <w:jc w:val="both"/>
        <w:ind w:firstLine="360"/>
        <w:spacing w:after="0" w:line="287" w:lineRule="auto"/>
        <w:rPr>
          <w:sz w:val="20"/>
          <w:szCs w:val="20"/>
          <w:color w:val="auto"/>
        </w:rPr>
      </w:pPr>
      <w:r>
        <w:rPr>
          <w:rFonts w:ascii="Arial" w:cs="Arial" w:eastAsia="Arial" w:hAnsi="Arial"/>
          <w:sz w:val="16"/>
          <w:szCs w:val="16"/>
          <w:color w:val="auto"/>
        </w:rPr>
        <w:t>In connection with the transfer of the first generic version of Zovirax® (acyclovir) cream, to us by Arkin Dermatology on August 22, 2017, we assumed an agreement with Perrigo UK for the development, manufacturing and commercialization of the generic version of Zovirax® (acyclovir) cream. Under the terms of the agreement, Perrigo UK was required to conduct all regulatory, scientific, clinical and technical activities necessary to develop the generic version of Zovirax® (acyclovir) cream, prepare and file an ANDA with the FDA, and gain regulatory approval to market the generic version of Zovirax® (acyclovir) cream. The agreement provides that as soon as reasonably practical after final approval by the FDA of the ANDA, Perrigo UK is required to use diligent efforts to commercialize the product in the United States. Perrigo UK has the sole and exclusive right to establish and control the prices and all other terms and conditions for the sales of the product in the United States and is required to do so in good faith . We are responsible for 80% of all out-of-pocket clinical study costs related to the generic version of Zovirax® (acyclovir) cream. We will be entitled to 50% of Perrigo UK’s gross profits related to the sale of the generic version of Zovirax® (acyclovir) cream, on a quarterly basis, for a period of 20 years following the first commercial sale of the generic product. The agreement may be terminated if the gross profits relating to the sale of the generic version of Zovirax® (acyclovir) cream do not exceed a certain threshold or if the potential market for the product has been significantly reduced to regulatory changes.</w:t>
      </w:r>
    </w:p>
    <w:p>
      <w:pPr>
        <w:spacing w:after="0" w:line="227"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In February 2019, we announced that Perrigo received final approval from the FDA for the first generic version of Zovirax® (acyclovir) cream, 5%. We launched the product in February 2019.</w:t>
      </w:r>
    </w:p>
    <w:p>
      <w:pPr>
        <w:spacing w:after="0" w:line="224"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In addition, we have entered into collaboration agreements with Perrigo Israel, an affiliate of Perrigo Company plc, for the development, manufacturing and commercialization of four other generic product candidates. Under such agreements Perrigo will conduct the regulatory (if relevant), scientific, clinical and technical activities necessary to develop the generic product candidates and seek regulatory approval with the FDA for the generic product candidates. If approved by the FDA, Perrigo has agreed to commercialize the generic product candidates in the United States. We and Perrigo will share the development costs and the gross profits generated from the sales of the generic product candidates, if approved.</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Douglas Pharmaceuticals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to with Douglas, and Douglas has the right to commercialize the product in Australia, New Zealand, the Southeast, East and North Asia region and the Middle East and North Africa region and any other country agreed to by us and Douglas.</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78" w:name="page79"/>
    <w:bookmarkEnd w:id="78"/>
    <w:p>
      <w:pPr>
        <w:jc w:val="both"/>
        <w:ind w:right="20" w:firstLine="360"/>
        <w:spacing w:after="0" w:line="312" w:lineRule="auto"/>
        <w:rPr>
          <w:sz w:val="20"/>
          <w:szCs w:val="20"/>
          <w:color w:val="auto"/>
        </w:rPr>
      </w:pPr>
      <w:r>
        <w:rPr>
          <w:rFonts w:ascii="Arial" w:cs="Arial" w:eastAsia="Arial" w:hAnsi="Arial"/>
          <w:sz w:val="16"/>
          <w:szCs w:val="16"/>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20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intellectual property and proprietary technology are directed to the development, manufacture and sale of our branded product candidates: TWIN and Epsolay®.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patent portfolio that is directed to our branded product candidates includes 64 patents and patent applications and claims processes for manufacture (including silica microencapsulation platform and other technologies), formulations, composition of matter, and methods of use. Of these 64 patents and patent applications, 32 are granted patents (3 in the United States and 29 in other countries) and 32 are pending applications (18 in the United States and 14 in other countries).</w:t>
      </w:r>
    </w:p>
    <w:p>
      <w:pPr>
        <w:spacing w:after="0" w:line="241"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For our TWIN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TWIN product candidate (one patent family has patents granted in Canada, India, and Japan (with a term until 2028) and applications pending in the United States, Europe and Mexico; the second patent family has a patent granted in Mexico (with a term until 2029) and pending applications in the United States and Canada; and the third patent family has patents granted in Europe (validated in France, Germany, Ireland, Italy, Spain, Switzerland, United Kingdom), China, India, Japan and Mexico (with a term until 2030) and pending applications in the United States and Canada); and the fourth patent family has patents granted in Canada, China, Israel, India and Mexico and an application pending in the United States. We own pending patents for the formulation of our TWIN product candidate in the United States (with a term until 2038), Canada, Europe, China, India and Mexico and a granted patent in Japan (in the case of the patent in Japan, with a term until 2032). We have two pending U.S. applications for the method of treatment and composition of our TWIN product candidate. We have five registered trademark applications in Israel, Europe and United States and five trademark applications pending in Canada.</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79" w:name="page80"/>
    <w:bookmarkEnd w:id="79"/>
    <w:p>
      <w:pPr>
        <w:jc w:val="both"/>
        <w:ind w:firstLine="360"/>
        <w:spacing w:after="0" w:line="255" w:lineRule="auto"/>
        <w:rPr>
          <w:sz w:val="20"/>
          <w:szCs w:val="20"/>
          <w:color w:val="auto"/>
        </w:rPr>
      </w:pPr>
      <w:r>
        <w:rPr>
          <w:rFonts w:ascii="Arial" w:cs="Arial" w:eastAsia="Arial" w:hAnsi="Arial"/>
          <w:sz w:val="18"/>
          <w:szCs w:val="18"/>
          <w:color w:val="auto"/>
        </w:rPr>
        <w:t>For our Epsolay® product candidate, we have obtained a patent in the United States (with a term until 2032) covering the composition for topical treatment of rosacea. We have further pending applications for this composition in the United States, Canada, Europe, Japan, China and Mexico. There are two patent families directed to the process for encapsulation of the active agents of our Epsolay® product candidate (one patent family has granted patents in Canada, India, and Japan (with a term until 2028) and pending applications in the United States, Europe and Mexico; and the second patent family has patents granted in Canada, China, Israel, India and Mexico and an application pending in the United States. We also have two unpublished patent applications covering the methods of use of Epsolay® for the treatment of rosacea.</w:t>
      </w:r>
    </w:p>
    <w:p>
      <w:pPr>
        <w:spacing w:after="0" w:line="24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have four registered trademark applications in Israel, Europe and the United States, three accepted trademark applications in Canada and one trademark application pending in Canada. These registrations and pending applications, if approved, will cover potential brand names for our Epsolay® product candidate in Israel, Canada and the United States.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There are numerous companies that have branded or generic products or product candidates in the dermatology market. Among them are Aclaris Therapeutics, Inc., Akorn, Inc., Almirall S.A., Aqua Pharmaceuticals LLC, Bayer HealthCare AG, Cassiopea SpA, Dermira, Inc., Foamix Pharmaceuticals Ltd., Galderma Pharma S.A., Glenmark Pharmaceuticals Ltd., G&amp;W Laboratories, Inc., LEO Pharma A/S, Mylan N.V., Novan, Inc., Novartis AG, Novum Pharma, LLC, Perrigo Company plc, Pfizer, Inc., Sienna Biopharmaceuticals, Inc., Spear Therapeutics, Ltd., Sun Pharmaceutical Industries Ltd., Teligent, Inc., Teva Pharmaceutical Industries Ltd., and Valeant Pharmaceuticals International, Inc.</w:t>
      </w:r>
    </w:p>
    <w:p>
      <w:pPr>
        <w:spacing w:after="0" w:line="24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0" w:name="page81"/>
    <w:bookmarkEnd w:id="80"/>
    <w:p>
      <w:pPr>
        <w:jc w:val="both"/>
        <w:ind w:firstLine="360"/>
        <w:spacing w:after="0" w:line="257" w:lineRule="auto"/>
        <w:rPr>
          <w:sz w:val="20"/>
          <w:szCs w:val="20"/>
          <w:color w:val="auto"/>
        </w:rPr>
      </w:pPr>
      <w:r>
        <w:rPr>
          <w:rFonts w:ascii="Arial" w:cs="Arial" w:eastAsia="Arial" w:hAnsi="Arial"/>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242"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TWIN and Epsolay® target the well-established acne and rosacea markets. If approved, we expect them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and Tazorac, Altreno,fixed-dose 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The current standard of care for rosacea includes Metrogel, Finacea and the recently launched Soolantra, as well as oral Oracea (doxycycline embedded in a technology platform). As a fixed-dose combination product candidate, TWIN may also compete with drug products utilizing other technologies that can separate two drug substances, such as dual chamber tubes, dual pouches or dual sachets. In addition to these products, our FDA approved generic version of Zovirax® (acyclovir) cream, 5% and our generic drug product candidates, including ivermectin cream, 1%, are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six-month exclusivity period expires.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Sales and Distribution</w:t>
      </w:r>
    </w:p>
    <w:p>
      <w:pPr>
        <w:spacing w:after="0" w:line="283"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We do not currently have any sales, marketing or distribution capabilities. In order to commercialize our product candidates, if approved for commercial sale, we must either develop a sales and marketing infrastructure or collaborate with third parties that have sales and marketing experience. We intend to commercialize our late-stage branded 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that targeted patient population. In other markets, we may selectively pursue strategic collaborations with third parties in order to maximize the commercial potential of our product candidates.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8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We rely on and expect to continue to rely on third-party contract manufacturing organizations, or CMOs, for the supply of current good manufacturing practice-grade, or cGMP-grade, clinical trial materials and commercial quantities of our product candidates and products, if approved. We do not currently have any agreements for the commercial production of raw materials we use. For some materials, we rely on a single source supplier of raw material while for the majority of raw materials used for the production of clinical and commercial supplies of our product candidates, alternative suppliers are available.</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1" w:name="page82"/>
    <w:bookmarkEnd w:id="81"/>
    <w:p>
      <w:pPr>
        <w:spacing w:after="0"/>
        <w:rPr>
          <w:sz w:val="20"/>
          <w:szCs w:val="20"/>
          <w:color w:val="auto"/>
        </w:rPr>
      </w:pPr>
      <w:r>
        <w:rPr>
          <w:rFonts w:ascii="Arial" w:cs="Arial" w:eastAsia="Arial" w:hAnsi="Arial"/>
          <w:sz w:val="18"/>
          <w:szCs w:val="18"/>
          <w:b w:val="1"/>
          <w:bCs w:val="1"/>
          <w:color w:val="auto"/>
        </w:rPr>
        <w:t>Government Regulation</w:t>
      </w:r>
    </w:p>
    <w:p>
      <w:pPr>
        <w:spacing w:after="0" w:line="28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Our business is subject to extensive government regulation. We have been voluntarily certified by the Israel notified body, the Standards Institution of Israel for the design, development and production of pharmaceutical products, a partner of IQNet. Regulation by governmental authorities in the United States and other jurisdictions is a significant factor in the development, manufacture and commercialization of our product candidates and in our ongoing research and development activities. As of August 2018, we were granted a GMP certification for medicinal products by the Israel Ministry of Health.</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Approval Process in the United States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Review and approval of drugs</w:t>
      </w:r>
    </w:p>
    <w:p>
      <w:pPr>
        <w:spacing w:after="0" w:line="279"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In the United States, pharmaceutical products are subject to extensive regulation by the FDA. The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233"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w:t>
      </w:r>
    </w:p>
    <w:p>
      <w:pPr>
        <w:spacing w:after="0" w:line="2" w:lineRule="exact"/>
        <w:rPr>
          <w:sz w:val="20"/>
          <w:szCs w:val="20"/>
          <w:color w:val="auto"/>
        </w:rPr>
      </w:pPr>
    </w:p>
    <w:p>
      <w:pPr>
        <w:jc w:val="both"/>
        <w:ind w:firstLine="8"/>
        <w:spacing w:after="0" w:line="295" w:lineRule="auto"/>
        <w:tabs>
          <w:tab w:leader="none" w:pos="259" w:val="left"/>
        </w:tabs>
        <w:numPr>
          <w:ilvl w:val="0"/>
          <w:numId w:val="47"/>
        </w:numPr>
        <w:rPr>
          <w:rFonts w:ascii="Arial" w:cs="Arial" w:eastAsia="Arial" w:hAnsi="Arial"/>
          <w:sz w:val="16"/>
          <w:szCs w:val="16"/>
          <w:color w:val="auto"/>
        </w:rPr>
      </w:pPr>
      <w:r>
        <w:rPr>
          <w:rFonts w:ascii="Arial" w:cs="Arial" w:eastAsia="Arial" w:hAnsi="Arial"/>
          <w:sz w:val="16"/>
          <w:szCs w:val="16"/>
          <w:color w:val="auto"/>
        </w:rPr>
        <w:t>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 We believe that the applications for our late-stage branded product candidates will be section 505(b)(2) NDAs and that those for our generic product candidates will be section 505(j) ANDAs.</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82" w:name="page83"/>
    <w:bookmarkEnd w:id="82"/>
    <w:p>
      <w:pPr>
        <w:ind w:left="360"/>
        <w:spacing w:after="0"/>
        <w:rPr>
          <w:sz w:val="20"/>
          <w:szCs w:val="20"/>
          <w:color w:val="auto"/>
        </w:rPr>
      </w:pPr>
      <w:r>
        <w:rPr>
          <w:rFonts w:ascii="Arial" w:cs="Arial" w:eastAsia="Arial" w:hAnsi="Arial"/>
          <w:sz w:val="16"/>
          <w:szCs w:val="16"/>
          <w:color w:val="auto"/>
        </w:rPr>
        <w:t>In general, the process required by the FDA prior to marketing and distributing a new drug, as opposed to a generic drug subject to section 505(j), 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United States usually involves the following:</w:t>
      </w:r>
    </w:p>
    <w:p>
      <w:pPr>
        <w:spacing w:after="0" w:line="265" w:lineRule="exact"/>
        <w:rPr>
          <w:sz w:val="20"/>
          <w:szCs w:val="20"/>
          <w:color w:val="auto"/>
        </w:rPr>
      </w:pPr>
    </w:p>
    <w:p>
      <w:pPr>
        <w:ind w:left="720" w:hanging="361"/>
        <w:spacing w:after="0" w:line="277"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in compliance with the FDA’s good laboratory practices, or GLP, requirements or other applicable regulations;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submission to the FDA of an investigational new drug application, or IND, which must become effective before human clinical trials in the United States may begin;</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at each clinical site before each trial may be initiated;</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preparation and submission to the FDA of an NDA;</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279"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235"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payment of user fees and FDA review and approval of the NDA;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Pre-clinical studies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IND which must become effective before clinical trials may commence. Long-term pre-clinical studies, such as animal tests of reproductive toxicity and carcinogenicity, may continue after the IND application is submitted.</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Clinical trials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83" w:name="page84"/>
    <w:bookmarkEnd w:id="83"/>
    <w:p>
      <w:pPr>
        <w:jc w:val="both"/>
        <w:ind w:firstLine="360"/>
        <w:spacing w:after="0" w:line="259" w:lineRule="auto"/>
        <w:rPr>
          <w:sz w:val="20"/>
          <w:szCs w:val="20"/>
          <w:color w:val="auto"/>
        </w:rPr>
      </w:pPr>
      <w:r>
        <w:rPr>
          <w:rFonts w:ascii="Arial" w:cs="Arial" w:eastAsia="Arial" w:hAnsi="Arial"/>
          <w:sz w:val="18"/>
          <w:szCs w:val="18"/>
          <w:color w:val="auto"/>
        </w:rPr>
        <w:t>An IND automatically becomes effective 30 days after receipt by the FDA, unless before that time the FDA raises concerns or questions related to a proposed clinical trial and places the trial on clinical hold. In such a case, the IND sponsor and the FDA must resolve any outstanding concerns before the clinical trial can begin. In addition, information about certain clinical trials must be submitted within specific timeframes to the National Institutes of Health, or NIH, for public dissemination on the NIH-maintained website, www.clinicaltrials.gov.</w:t>
      </w:r>
    </w:p>
    <w:p>
      <w:pPr>
        <w:spacing w:after="0" w:line="241"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Information about certain clinical trials must be submitted within specific timeframes to the NIH for public dissemination on the NIH-maintained website, www.clinicaltrials.gov.</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Clinical trials are typically conducted in three sequential phases, which may overlap or be combined:</w:t>
      </w:r>
    </w:p>
    <w:p>
      <w:pPr>
        <w:spacing w:after="0" w:line="279" w:lineRule="exact"/>
        <w:rPr>
          <w:sz w:val="20"/>
          <w:szCs w:val="20"/>
          <w:color w:val="auto"/>
        </w:rPr>
      </w:pPr>
    </w:p>
    <w:p>
      <w:pPr>
        <w:jc w:val="both"/>
        <w:ind w:left="720" w:hanging="361"/>
        <w:spacing w:after="0" w:line="264" w:lineRule="auto"/>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i w:val="1"/>
          <w:iCs w:val="1"/>
          <w:color w:val="auto"/>
        </w:rPr>
        <w:t>Phase I</w:t>
      </w:r>
      <w:r>
        <w:rPr>
          <w:rFonts w:ascii="Arial" w:cs="Arial" w:eastAsia="Arial" w:hAnsi="Arial"/>
          <w:sz w:val="18"/>
          <w:szCs w:val="18"/>
          <w:color w:val="auto"/>
        </w:rPr>
        <w:t>: The drug is initially introduced into healthy human subjects or patients with the target disease or condition and tested for safety, dosage</w:t>
      </w:r>
      <w:r>
        <w:rPr>
          <w:rFonts w:ascii="Arial" w:cs="Arial" w:eastAsia="Arial" w:hAnsi="Arial"/>
          <w:sz w:val="18"/>
          <w:szCs w:val="18"/>
          <w:i w:val="1"/>
          <w:iCs w:val="1"/>
          <w:color w:val="auto"/>
        </w:rPr>
        <w:t xml:space="preserve"> </w:t>
      </w:r>
      <w:r>
        <w:rPr>
          <w:rFonts w:ascii="Arial" w:cs="Arial" w:eastAsia="Arial" w:hAnsi="Arial"/>
          <w:sz w:val="18"/>
          <w:szCs w:val="18"/>
          <w:color w:val="auto"/>
        </w:rPr>
        <w:t>tolerance, absorption, metabolism, distribution, excretion and, if possible, to gain an early indication of its effectiveness and to determine optimal dosage.</w:t>
      </w:r>
    </w:p>
    <w:p>
      <w:pPr>
        <w:spacing w:after="0" w:line="235"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i w:val="1"/>
          <w:iCs w:val="1"/>
          <w:color w:val="auto"/>
        </w:rPr>
        <w:t>Phase II</w:t>
      </w:r>
      <w:r>
        <w:rPr>
          <w:rFonts w:ascii="Arial" w:cs="Arial" w:eastAsia="Arial" w:hAnsi="Arial"/>
          <w:sz w:val="18"/>
          <w:szCs w:val="18"/>
          <w:color w:val="auto"/>
        </w:rPr>
        <w:t>: The drug is administered to a limited patient population to identify possible short-term adverse effects and safety risks, to preliminarily</w:t>
      </w:r>
      <w:r>
        <w:rPr>
          <w:rFonts w:ascii="Arial" w:cs="Arial" w:eastAsia="Arial" w:hAnsi="Arial"/>
          <w:sz w:val="18"/>
          <w:szCs w:val="18"/>
          <w:i w:val="1"/>
          <w:iCs w:val="1"/>
          <w:color w:val="auto"/>
        </w:rPr>
        <w:t xml:space="preserve"> </w:t>
      </w:r>
      <w:r>
        <w:rPr>
          <w:rFonts w:ascii="Arial" w:cs="Arial" w:eastAsia="Arial" w:hAnsi="Arial"/>
          <w:sz w:val="18"/>
          <w:szCs w:val="18"/>
          <w:color w:val="auto"/>
        </w:rPr>
        <w:t>evaluate the efficacy of the product for specific targeted diseases and to determine dosage tolerance and optimal dosage.</w:t>
      </w:r>
    </w:p>
    <w:p>
      <w:pPr>
        <w:spacing w:after="0" w:line="224"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i w:val="1"/>
          <w:iCs w:val="1"/>
          <w:color w:val="auto"/>
        </w:rPr>
        <w:t>Phase III</w:t>
      </w:r>
      <w:r>
        <w:rPr>
          <w:rFonts w:ascii="Arial" w:cs="Arial" w:eastAsia="Arial" w:hAnsi="Arial"/>
          <w:sz w:val="18"/>
          <w:szCs w:val="18"/>
          <w:color w:val="auto"/>
        </w:rPr>
        <w:t>: The drug is administered to an expanded patient population, generally at geographically dispersed clinical trial sites, in well-controlled</w:t>
      </w:r>
      <w:r>
        <w:rPr>
          <w:rFonts w:ascii="Arial" w:cs="Arial" w:eastAsia="Arial" w:hAnsi="Arial"/>
          <w:sz w:val="18"/>
          <w:szCs w:val="18"/>
          <w:i w:val="1"/>
          <w:iCs w:val="1"/>
          <w:color w:val="auto"/>
        </w:rPr>
        <w:t xml:space="preserve"> </w:t>
      </w:r>
      <w:r>
        <w:rPr>
          <w:rFonts w:ascii="Arial" w:cs="Arial" w:eastAsia="Arial" w:hAnsi="Arial"/>
          <w:sz w:val="18"/>
          <w:szCs w:val="18"/>
          <w:color w:val="auto"/>
        </w:rPr>
        <w:t>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235"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In most cases of an ANDA, the proposed generic drug must be shown to be bioequivalent to the reference listed drug (RLD, or reference product) and in other cases, the bioequivalent study is being conducted in in-vitro studies and not in clinical trials. The FDCA provides that a generic drug is bioequivalent to the listed drug if: the rate and extent of absorption of the drug do not show a significant difference from the rate and extent of absorption of the listed drug when administered at the same molar dose of the therapeutic ingredient under similar experimental conditions in either a single dose or multiple doses. During bioequivalence studies, an applicant compares the systemic exposure profile of a test drug product to that of the RLD on the target population at the same regimen and exposure period as the RLD were the resulted efficacy outcomes are being compared to demonstrate being equivalent.</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4" w:name="page85"/>
    <w:bookmarkEnd w:id="84"/>
    <w:p>
      <w:pPr>
        <w:spacing w:after="0"/>
        <w:rPr>
          <w:sz w:val="20"/>
          <w:szCs w:val="20"/>
          <w:color w:val="auto"/>
        </w:rPr>
      </w:pPr>
      <w:r>
        <w:rPr>
          <w:rFonts w:ascii="Arial" w:cs="Arial" w:eastAsia="Arial" w:hAnsi="Arial"/>
          <w:sz w:val="18"/>
          <w:szCs w:val="18"/>
          <w:i w:val="1"/>
          <w:iCs w:val="1"/>
          <w:color w:val="auto"/>
        </w:rPr>
        <w:t>Submission of an NDA to the FDA</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application user fees, as well as the annual program fees required for approved products, can be substantial. The NDA application review fee alone can exceed $2.5 million, subject to certain limited deferrals, waivers and reductions that may be available.</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242"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Under the Prescription Drug User Fee Act, the FDA has agreed to certain performance goals in the review of NDAs through a two-tiered classification system, Standard Review and Priority Review. Priority Review designation is given to drugs that offer major advances in treatment, or provide a treatment where no adequate therapy exists. The FDA endeavors to review applications subject to Standard Review within approximately 10 to 12 months of receipt, whereas the FDA’s goal is to review Priority Review applications within approximately six to eight months of receipt, depending on whether the drug is a new molecular entity. The FDA, however, may not approve a drug within these established goals, and its review goals are subject to change from time to time.</w:t>
      </w:r>
    </w:p>
    <w:p>
      <w:pPr>
        <w:spacing w:after="0" w:line="21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w:t>
      </w:r>
    </w:p>
    <w:p>
      <w:pPr>
        <w:spacing w:after="0" w:line="242"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After the FDA evaluates the NDA and the manufacturing facilities, it issues either an approval letter or a complete response letter to indicate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 An approval letter authorizes commercial marketing of the drug with specific prescribing information for specific indications.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5" w:name="page86"/>
    <w:bookmarkEnd w:id="85"/>
    <w:p>
      <w:pPr>
        <w:jc w:val="both"/>
        <w:ind w:firstLine="360"/>
        <w:spacing w:after="0" w:line="270" w:lineRule="auto"/>
        <w:rPr>
          <w:sz w:val="20"/>
          <w:szCs w:val="20"/>
          <w:color w:val="auto"/>
        </w:rPr>
      </w:pPr>
      <w:r>
        <w:rPr>
          <w:rFonts w:ascii="Arial" w:cs="Arial" w:eastAsia="Arial" w:hAnsi="Arial"/>
          <w:sz w:val="17"/>
          <w:szCs w:val="17"/>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23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us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Any drug products for which we receive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 Failure to comply with FDA requirements can have negative consequences, including the immediate discontinuation of noncomplying materials, adverse publicity, enforcement letters from the FDA, mandated corrective advertising or communications with doctors, and civil or criminal penalties. Such enforcement may also lead to scrutiny and enforcement by other government and regulatory bodies.</w:t>
      </w:r>
    </w:p>
    <w:p>
      <w:pPr>
        <w:spacing w:after="0" w:line="236"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6" w:name="page87"/>
    <w:bookmarkEnd w:id="86"/>
    <w:p>
      <w:pPr>
        <w:jc w:val="both"/>
        <w:ind w:firstLine="360"/>
        <w:spacing w:after="0" w:line="270" w:lineRule="auto"/>
        <w:rPr>
          <w:sz w:val="20"/>
          <w:szCs w:val="20"/>
          <w:color w:val="auto"/>
        </w:rPr>
      </w:pPr>
      <w:r>
        <w:rPr>
          <w:rFonts w:ascii="Arial" w:cs="Arial" w:eastAsia="Arial" w:hAnsi="Arial"/>
          <w:sz w:val="17"/>
          <w:szCs w:val="17"/>
          <w:color w:val="auto"/>
        </w:rPr>
        <w:t>The manufacturing of any of our product candidates will be required to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236"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program user fee requirements for any approved products, as well as new application fees for supplemental applications with clinical data.</w:t>
      </w:r>
    </w:p>
    <w:p>
      <w:pPr>
        <w:spacing w:after="0" w:line="232"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201"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227" w:lineRule="exact"/>
        <w:rPr>
          <w:sz w:val="20"/>
          <w:szCs w:val="20"/>
          <w:color w:val="auto"/>
        </w:rPr>
      </w:pPr>
    </w:p>
    <w:p>
      <w:pPr>
        <w:ind w:left="720" w:hanging="361"/>
        <w:spacing w:after="0"/>
        <w:tabs>
          <w:tab w:leader="none" w:pos="7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the product, complete withdrawal of the product from the market or product recalls;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fines, warning letters or holds on post-approval clinical trials;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refusal of the FDA to approve pending NDAs or supplements to approved NDAs, or suspension or revocation of product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7" w:name="page88"/>
    <w:bookmarkEnd w:id="87"/>
    <w:p>
      <w:pPr>
        <w:spacing w:after="0"/>
        <w:rPr>
          <w:sz w:val="20"/>
          <w:szCs w:val="20"/>
          <w:color w:val="auto"/>
        </w:rPr>
      </w:pPr>
      <w:r>
        <w:rPr>
          <w:rFonts w:ascii="Arial" w:cs="Arial" w:eastAsia="Arial" w:hAnsi="Arial"/>
          <w:sz w:val="18"/>
          <w:szCs w:val="18"/>
          <w:i w:val="1"/>
          <w:iCs w:val="1"/>
          <w:color w:val="auto"/>
        </w:rPr>
        <w:t>Pediatric trials and exclusivity</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With the enactment of the Food and Drug Administration Safety and Innovation Act, or the FDASIA, in 2012, sponsors must also submit pediatric trial plans prior to the assessment data. Those plans must contain an outline of the proposed pediatric trials the applicant plans to conduct, including trial objectives and design, any deferral or waiver requests, and other information required by regulation. The applicant, the FDA, and the FDA’s internal review committee must then review the information submitted, consult with each other, and agree upon a final plan. The FDA or the applicant may request an amendment to the plan at any time.</w:t>
      </w:r>
    </w:p>
    <w:p>
      <w:pPr>
        <w:spacing w:after="0" w:line="22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 Additional requirements and procedures relating to deferral requests and requests for extension of deferrals are contained in the FDASIA.</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exclusivity.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Hatch-Waxman Amendments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ANDA Approval Process</w:t>
      </w:r>
    </w:p>
    <w:p>
      <w:pPr>
        <w:spacing w:after="0" w:line="27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The Drug Price Competition and Patent Term Restoration Act of 1984 (also known as the Hatch-Waxman Amendments), established abbreviated FDA approval procedures for drugs that are shown to be equivalent to proprietary drugs previously approved by the FDA through its NDA process. Approval to market and distribute these drugs is obtained by submitting an ANDA with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 We are developing certain of our product candidates as generic drugs, for which we intend to submit ANDAs to the FDA.</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8" w:name="page89"/>
    <w:bookmarkEnd w:id="88"/>
    <w:p>
      <w:pPr>
        <w:spacing w:after="0"/>
        <w:rPr>
          <w:sz w:val="20"/>
          <w:szCs w:val="20"/>
          <w:color w:val="auto"/>
        </w:rPr>
      </w:pPr>
      <w:r>
        <w:rPr>
          <w:rFonts w:ascii="Arial" w:cs="Arial" w:eastAsia="Arial" w:hAnsi="Arial"/>
          <w:sz w:val="18"/>
          <w:szCs w:val="18"/>
          <w:i w:val="1"/>
          <w:iCs w:val="1"/>
          <w:color w:val="auto"/>
        </w:rPr>
        <w:t>505(b)(2) NDAs</w:t>
      </w:r>
    </w:p>
    <w:p>
      <w:pPr>
        <w:spacing w:after="0" w:line="279"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As an alternative path to FDA approval for modifications to formulations or uses of products previously approved by the FDA, an applicant may submit an NDA under Section 505(b)(2) of the FDCA. 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 We are developing our late-stage branded product candidates with the expectation that we will submit 505(b)(2) NDAs to FDA for these products.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Orange Book Listing</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seeking approval for a drug through an NDA, including a 505(b)(2) NDA, applicants are required to list with the FDA certain patents whose claims cover the applicant’s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that (1) no patent information on the drug product that is the subject of the application has been submitted to the FDA; (2) such patent has expired; (3) the date on which such patent expires; or (4)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the patented method-of-use rather than certify to a listed method-of-use patent.</w:t>
      </w:r>
    </w:p>
    <w:p>
      <w:pPr>
        <w:spacing w:after="0" w:line="236"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235"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89" w:name="page90"/>
    <w:bookmarkEnd w:id="89"/>
    <w:p>
      <w:pPr>
        <w:jc w:val="both"/>
        <w:ind w:firstLine="360"/>
        <w:spacing w:after="0" w:line="297" w:lineRule="auto"/>
        <w:rPr>
          <w:sz w:val="20"/>
          <w:szCs w:val="20"/>
          <w:color w:val="auto"/>
        </w:rPr>
      </w:pPr>
      <w:r>
        <w:rPr>
          <w:rFonts w:ascii="Arial" w:cs="Arial" w:eastAsia="Arial" w:hAnsi="Arial"/>
          <w:sz w:val="16"/>
          <w:szCs w:val="16"/>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212"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Non-Patent Exclusivity</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In addition to patent exclusivity, the holder of the NDA for the listed drug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24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i w:val="1"/>
          <w:iCs w:val="1"/>
          <w:color w:val="auto"/>
        </w:rPr>
        <w:t>Patent Term Restoration and Extension</w:t>
      </w:r>
    </w:p>
    <w:p>
      <w:pPr>
        <w:spacing w:after="0" w:line="279"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A patent claiming a new drug product may be eligible for a limited patent term extension under the Hatch-Waxman Act, or PTE, which permits an extended patent term of up to five years for the developed pharmaceutical to compensate for patent term lost during product development and the FDA regulatory review. The PTE period granted is typically one-half the time between the effective date of an IND and the submission date of an NDA, plus the time between the submission date of a NDA and the ultimate approval date. However, the PTE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A patent that covers multiple drugs for which approval is sought can only be extended in connection with one of the approvals. The U.S. Patent and Trademark Office reviews and approves the PTE application in consultation with the FDA.</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Review and Approval of Drug Products Outside the United States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227"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 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Pharmaceutical Coverage, Pricing and Reimbursement</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1" w:name="page92"/>
    <w:bookmarkEnd w:id="91"/>
    <w:p>
      <w:pPr>
        <w:jc w:val="both"/>
        <w:ind w:firstLine="360"/>
        <w:spacing w:after="0" w:line="255" w:lineRule="auto"/>
        <w:rPr>
          <w:sz w:val="20"/>
          <w:szCs w:val="20"/>
          <w:color w:val="auto"/>
        </w:rPr>
      </w:pPr>
      <w:r>
        <w:rPr>
          <w:rFonts w:ascii="Arial" w:cs="Arial" w:eastAsia="Arial" w:hAnsi="Arial"/>
          <w:sz w:val="18"/>
          <w:szCs w:val="18"/>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Epsolay® and TWIN, in addition to the costs required to obtain the FDA approvals. For example, Epsolay® and TWIN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247"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comprehensive $940 billion dollar overhaul is expected to extend coverage to approximately 32 million previously uninsured Americans.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w:t>
      </w:r>
    </w:p>
    <w:p>
      <w:pPr>
        <w:spacing w:after="0" w:line="21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Additionally, the Affordable Care Act:</w:t>
      </w:r>
    </w:p>
    <w:p>
      <w:pPr>
        <w:spacing w:after="0" w:line="279" w:lineRule="exact"/>
        <w:rPr>
          <w:sz w:val="20"/>
          <w:szCs w:val="20"/>
          <w:color w:val="auto"/>
        </w:rPr>
      </w:pPr>
    </w:p>
    <w:p>
      <w:pPr>
        <w:ind w:left="720" w:hanging="361"/>
        <w:spacing w:after="0"/>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increased the minimum level of rebates payable by manufacturers of brand-name drugs from 15.1% to 23.1%;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imposed a non-deductible annual fee on pharmaceutical manufacturers or importers who sell “branded prescription drugs” to specified federal government programs.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Recently, the Tax Act was enacted, which, among other things, removes penalties for not complying with the Affordable Care Act’s individual mandate to carry health insurance.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While the Trump Administration and the Centers for Medicare &amp; Medicaid Services have both stated that the ruling will have no immediate effect, it is unclear how this decision, subsequent appeals, if any, and other efforts to repeal and replace the Affordable Care Act will impact the Affordable Care Act and our business. There may be additional challenges and amendments to the Affordable Care Act in the future. It is uncertain the extent to which any such changes may impact our business or financial condition.</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2" w:name="page93"/>
    <w:bookmarkEnd w:id="92"/>
    <w:p>
      <w:pPr>
        <w:jc w:val="both"/>
        <w:ind w:firstLine="360"/>
        <w:spacing w:after="0" w:line="268" w:lineRule="auto"/>
        <w:rPr>
          <w:sz w:val="20"/>
          <w:szCs w:val="20"/>
          <w:color w:val="auto"/>
        </w:rPr>
      </w:pPr>
      <w:r>
        <w:rPr>
          <w:rFonts w:ascii="Arial" w:cs="Arial" w:eastAsia="Arial" w:hAnsi="Arial"/>
          <w:sz w:val="17"/>
          <w:szCs w:val="17"/>
          <w:color w:val="auto"/>
        </w:rPr>
        <w:t>In addition, other legislative changes have been proposed and adopted since the Affordable Care Act was enacted. For example, the Budget Control Act of 2011 resulted in aggregate reductions to Medicare payments to providers of 2% per fiscal year, which went into effect on April 1, 2013 and, due to subsequent legislative amendments to the statute, will stay in effect through 2027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242"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Laws and Regulations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Although currently have any product candidates on the market, other than the first generic version of Zovirax® (acyclovir) cream, 5% for which Perrigo, our collaborator, received final FDA approval in February 2019,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sunshine laws. Some of our pre-commercial activities are subject to some of these laws.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3" w:name="page94"/>
    <w:bookmarkEnd w:id="93"/>
    <w:p>
      <w:pPr>
        <w:jc w:val="both"/>
        <w:ind w:firstLine="360"/>
        <w:spacing w:after="0" w:line="286" w:lineRule="auto"/>
        <w:rPr>
          <w:sz w:val="20"/>
          <w:szCs w:val="20"/>
          <w:color w:val="auto"/>
        </w:rPr>
      </w:pPr>
      <w:r>
        <w:rPr>
          <w:rFonts w:ascii="Arial" w:cs="Arial" w:eastAsia="Arial" w:hAnsi="Arial"/>
          <w:sz w:val="16"/>
          <w:szCs w:val="16"/>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 Violations of this law are punishable by up to ten years in prison, and can also result in criminal fines, civil money penalties and exclusion from participation in federal healthcare programs. Moreover, a claim including items or services resulting from a violation of the federal Anti-Kickback Statute constitutes a false or fraudulent claim for purposes of the federal civil False Claims Act.</w:t>
      </w:r>
    </w:p>
    <w:p>
      <w:pPr>
        <w:spacing w:after="0" w:line="223"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knowingly making, using or causing to be made or used, a false record or statement material to a false or fraudulent claim, or from knowingly making a false statement to avoid, decrease or conceal an obligation to pay money to a federal program.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Penalties for federal civil False Claims Act violations may include up to three times the actual damages sustained by the government, plus mandatory civil penalties for each separate false claim, the potential for exclusion from participation in federal healthcare programs, and, although the federal False Claims Act is a civil statute, False Claims Act violations may also implicate various federal criminal statutes.</w:t>
      </w:r>
    </w:p>
    <w:p>
      <w:pPr>
        <w:spacing w:after="0" w:line="23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24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4" w:name="page95"/>
    <w:bookmarkEnd w:id="94"/>
    <w:p>
      <w:pPr>
        <w:jc w:val="both"/>
        <w:ind w:firstLine="360"/>
        <w:spacing w:after="0" w:line="268" w:lineRule="auto"/>
        <w:rPr>
          <w:sz w:val="20"/>
          <w:szCs w:val="20"/>
          <w:color w:val="auto"/>
        </w:rPr>
      </w:pPr>
      <w:r>
        <w:rPr>
          <w:rFonts w:ascii="Arial" w:cs="Arial" w:eastAsia="Arial" w:hAnsi="Arial"/>
          <w:sz w:val="17"/>
          <w:szCs w:val="17"/>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 For example, the collection and use of personal health data in the European Union, previously governed by the provisions of the Data Protection Directive, is now governed by the GDPR, which became effective on May 25, 2018. While the Data Protection Directive did not apply to organizations based outside the EU, the GDPR has expanded its reach to include any business, regardless of its location, that provides goods or services to residents in the EU. This expansion would incorporate any clinical trial activities in EU members states. The GDPR imposes strict requirements on controllers and processors of personal data, including special protections for “sensitive information” which includes health and genetic information of data subjects residing in the EU. GDPR grants individuals the opportunity to object to the processing of their personal information, allows them to request deletion of personal information in certain circumstances, and provides the individual with an express right to seek legal remedies in the event the individual believes his or her rights have been violated. Further, the GDPR imposes strict rules on the transfer of personal data out of the European Union to the United States or other regions that have not been deemed to offer “adequate” privacy protections. Failure to comply with the requirements of the GDPR and the related national data protection laws of the European Union Member States, which may deviate slightly from the GDPR, may result in fines of up to 4% of global revenues, or € 20,000,000, whichever is greater.</w:t>
      </w:r>
    </w:p>
    <w:p>
      <w:pPr>
        <w:spacing w:after="0" w:line="242"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 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 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w:t>
      </w:r>
    </w:p>
    <w:p>
      <w:pPr>
        <w:spacing w:after="0" w:line="23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Affordable Care Act imposed, among other things, new annual reporting requirements for covered manufacturers for certain payments and other transfers of value provided to physicians and teaching hospitals, as well as certain ownership and investment interests held by physicians and their immediate family members. Failure to submit timely, accurately and completely the required information for all payments, transfers of value and ownership or investment interests may result in civil monetary penalties.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5" w:name="page96"/>
    <w:bookmarkEnd w:id="95"/>
    <w:p>
      <w:pPr>
        <w:jc w:val="both"/>
        <w:ind w:firstLine="360"/>
        <w:spacing w:after="0" w:line="257" w:lineRule="auto"/>
        <w:rPr>
          <w:sz w:val="20"/>
          <w:szCs w:val="20"/>
          <w:color w:val="auto"/>
        </w:rPr>
      </w:pPr>
      <w:r>
        <w:rPr>
          <w:rFonts w:ascii="Arial" w:cs="Arial" w:eastAsia="Arial" w:hAnsi="Arial"/>
          <w:sz w:val="18"/>
          <w:szCs w:val="18"/>
          <w:color w:val="auto"/>
        </w:rPr>
        <w:t>Because we intend to commercialize products that could be covered by a federal healthcare program and other governmental healthcare programs, we intend to develop a comprehensive compliance program that establishes internal controls to facilitate adherence to the rules and program requirements to which we will or may become subject. Although the development and implementation of compliance programs designed to establish internal controls and facilitate compliance can mitigate the risk of investigation, prosecution, and penalties assessed for violations of these laws, the risks cannot be entirely eliminated.</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or similar programs in other countries or jurisdictions, integrity oversight and reporting obligations, and individual imprisonment, any of which could adversely affect our ability to operate our business and our financial results.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Innovation Authority</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We have received royalty-bearing grants from the government of Israel through the IIA, for the financing of a portion of our research and development expenditures in Israel.</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Innovation Law and the IIA’s rules and guidelines, recipients of grants, or Recipient Company(ies), are subject to certain obligations including, the following:</w:t>
      </w:r>
    </w:p>
    <w:p>
      <w:pPr>
        <w:spacing w:after="0" w:line="224" w:lineRule="exact"/>
        <w:rPr>
          <w:sz w:val="20"/>
          <w:szCs w:val="20"/>
          <w:color w:val="auto"/>
        </w:rPr>
      </w:pPr>
    </w:p>
    <w:p>
      <w:pPr>
        <w:jc w:val="both"/>
        <w:ind w:left="720" w:hanging="361"/>
        <w:spacing w:after="0" w:line="255"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general, the Recipient Company is obligated to pay the IIA royalties from the revenues generated from the sale of products (and related services) developed (in all or in part) as a result of, a research and development program funded by the IIA at rates which are determined under the IIA’s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IIA’s rules and guidelines), up to the aggregate amount of the total grants received by the IIA, plus annual interest (as determined in the IIA’s rules and guidelines);</w:t>
      </w:r>
    </w:p>
    <w:p>
      <w:pPr>
        <w:spacing w:after="0" w:line="247" w:lineRule="exact"/>
        <w:rPr>
          <w:rFonts w:ascii="Arial" w:cs="Arial" w:eastAsia="Arial" w:hAnsi="Arial"/>
          <w:sz w:val="18"/>
          <w:szCs w:val="18"/>
          <w:color w:val="auto"/>
        </w:rPr>
      </w:pPr>
    </w:p>
    <w:p>
      <w:pPr>
        <w:jc w:val="both"/>
        <w:ind w:left="720" w:hanging="361"/>
        <w:spacing w:after="0" w:line="254"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Products developed as a result of the IIA funded R&amp;D must, as a general matter, be manufactured in Israel. The Recipient Company is prohibited from manufacturing products developed using these IIA grants outside of the State of Israel without receiving prior approval from the IIA (except for the transfer of less than 10% of the manufacturing capacity in the aggregate which requires only a notice). If the Recipient Company receives approval to manufacture products developed with government grants outside of Israel, it will be required to pay increased royalties to the IIA, up to 300% of the grant amount plus interest, depending on the manufacturing volume that is performed outside of Israel. The Recipient Company may also be subject to an accelerated royalty repayment rates. A Recipient Company also has the option of declaring in its IIA grant application its intention to exercise a portion of the manufacturing capacity abroad, thus avoiding the need to obtain additional approval following the receipt of the grant; and</w:t>
      </w:r>
    </w:p>
    <w:p>
      <w:pPr>
        <w:spacing w:after="0" w:line="246"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Under the IIA’s rules and guidelines, a Recipient Company is prohibited from transferring the IIA-financed know-how and related intellectual property rights outside of Israel except under limited circumstances, and only with the approval of the Research Committee and subject to certain payments to the IIA calculated according to formulas provided under the IIA’s rules and guidelines (which are capped to amounts specified under such rules and guidelines).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6" w:name="page97"/>
    <w:bookmarkEnd w:id="96"/>
    <w:p>
      <w:pPr>
        <w:jc w:val="both"/>
        <w:ind w:firstLine="360"/>
        <w:spacing w:after="0" w:line="264" w:lineRule="auto"/>
        <w:rPr>
          <w:sz w:val="20"/>
          <w:szCs w:val="20"/>
          <w:color w:val="auto"/>
        </w:rPr>
      </w:pPr>
      <w:r>
        <w:rPr>
          <w:rFonts w:ascii="Arial" w:cs="Arial" w:eastAsia="Arial" w:hAnsi="Arial"/>
          <w:sz w:val="18"/>
          <w:szCs w:val="18"/>
          <w:color w:val="auto"/>
        </w:rPr>
        <w:t>We have received grants from the IIA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w:t>
      </w:r>
    </w:p>
    <w:p>
      <w:pPr>
        <w:spacing w:after="0" w:line="23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Even if our IIA funded know-how is transferred to another Israeli entity, the transfer would require the IIA’s approval but will not be subject to the payment of a redemption fee (we note that there will be an obligation to pay royalties to the IIA from the income of such sale transaction as part of the royalty payment obligation). In such case, the acquiring company would have to assume all of our responsibilities towards the IIA as a condition to the IIA’s approval.</w:t>
      </w:r>
    </w:p>
    <w:p>
      <w:pPr>
        <w:spacing w:after="0" w:line="241"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The government of Israel does not own intellectual property rights in technology developed with IIA funding and there is no restriction on the export of products manufactured using technology developed with IIA funding. However, the know-how is subject to transfer of know-how and manufacturing rights restrictions as described above. The IIA’s approval is not required for the export of any products resulting from the IIA research or development grants. In addition, the IIA has recently published new rules and guidelines for the granting of licenses to use know-how developed as a result of research financed by the IIA to foreign entities. According to such rules, we will be required to receive the IIA’s prior approval for the grant of such use rights, and we will be subject to the IIA in accordance with the formula stipulated under these rules and guidelines.</w:t>
      </w:r>
    </w:p>
    <w:p>
      <w:pPr>
        <w:spacing w:after="0" w:line="23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Pursuant to Amendment No. 7 of the Innovation Law, the IIA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new provisions with respect to sanctions imposed for violations of the Innovation Law. Although the IIA recently published rules which for the most part adopted the principal provisions and restrictions specified in the Innovation Law prior to the effectiveness of Amendment No. 7, as of the date of this annual report, we are unable to assess the effect on our business of any future rules which may be published by the IIA.</w:t>
      </w:r>
    </w:p>
    <w:p>
      <w:pPr>
        <w:spacing w:after="0" w:line="24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We may not receive the required approvals for any actual proposed transfer and, if received, we may be required to pay the IIA a portion of the consideration that we receive upon any sale of the IIA funded know-how to a non-Israeli entity. The scope of the support received, the royalties that we have already paid to the IIA, the amount of time that has elapsed between the date on which the know-how was transferred and the date on which the IIA grants were received and the sale price and the form of transaction will be taken into account in calculating the amount of the payment to the IIA.</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97" w:name="page98"/>
    <w:bookmarkEnd w:id="97"/>
    <w:p>
      <w:pPr>
        <w:spacing w:after="0"/>
        <w:rPr>
          <w:sz w:val="20"/>
          <w:szCs w:val="20"/>
          <w:color w:val="auto"/>
        </w:rPr>
      </w:pPr>
      <w:r>
        <w:rPr>
          <w:rFonts w:ascii="Arial" w:cs="Arial" w:eastAsia="Arial" w:hAnsi="Arial"/>
          <w:sz w:val="18"/>
          <w:szCs w:val="18"/>
          <w:b w:val="1"/>
          <w:bCs w:val="1"/>
          <w:color w:val="auto"/>
        </w:rPr>
        <w:t>Environmental, Health and Safety Matters</w:t>
      </w:r>
    </w:p>
    <w:p>
      <w:pPr>
        <w:spacing w:after="0" w:line="283"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As of the date of this annual report, we hold a valid poison permit for our activity in Ness Ziona (in effect until April 14, 2021), and a valid business license in effect until December 31, 2019.</w:t>
      </w:r>
    </w:p>
    <w:p>
      <w:pPr>
        <w:spacing w:after="0" w:line="25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243"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20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w:t>
      </w:r>
    </w:p>
    <w:p>
      <w:pPr>
        <w:spacing w:after="0" w:line="283"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principal executive offices are located in a leased facility in Weizmann Science Park, Ness Ziona 7403650, Israel. The facility is 2,040 square meters, and houses our offices, warehouse, laboratories and production area. Our lease will expire on December 31, 2020.</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8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We are not subject to any material legal proceedings.</w:t>
      </w:r>
    </w:p>
    <w:p>
      <w:pPr>
        <w:spacing w:after="0" w:line="275" w:lineRule="exact"/>
        <w:rPr>
          <w:sz w:val="20"/>
          <w:szCs w:val="20"/>
          <w:color w:val="auto"/>
        </w:rPr>
      </w:pPr>
    </w:p>
    <w:p>
      <w:pPr>
        <w:ind w:left="680" w:hanging="672"/>
        <w:spacing w:after="0"/>
        <w:tabs>
          <w:tab w:leader="none" w:pos="68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Organizational Structure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98" w:name="page99"/>
    <w:bookmarkEnd w:id="98"/>
    <w:p>
      <w:pPr>
        <w:ind w:left="680" w:hanging="672"/>
        <w:spacing w:after="0"/>
        <w:tabs>
          <w:tab w:leader="none" w:pos="68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Property, Plant and Equipment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See “Item 4. Information on the Company—B. Business Overview—Properties”.</w:t>
      </w:r>
    </w:p>
    <w:p>
      <w:pPr>
        <w:spacing w:after="0" w:line="2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4A.</w:t>
      </w:r>
      <w:r>
        <w:rPr>
          <w:sz w:val="20"/>
          <w:szCs w:val="20"/>
          <w:color w:val="auto"/>
        </w:rPr>
        <w:tab/>
      </w:r>
      <w:r>
        <w:rPr>
          <w:rFonts w:ascii="Arial" w:cs="Arial" w:eastAsia="Arial" w:hAnsi="Arial"/>
          <w:sz w:val="17"/>
          <w:szCs w:val="17"/>
          <w:b w:val="1"/>
          <w:bCs w:val="1"/>
          <w:color w:val="auto"/>
        </w:rPr>
        <w:t>UNRESOLVED STAFF COMMENTS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OPERATING AND FINANCIAL REVIEW AND PROSPECTS</w:t>
      </w:r>
    </w:p>
    <w:p>
      <w:pPr>
        <w:spacing w:after="0" w:line="28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You should read the following discussion of our financial condition and results of operations in conjunction with the financial statements and the notes thereto included elsewhere in this annual report.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particularly those in “Item 3. Key Information – D. Risk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83"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compled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w:t>
      </w:r>
    </w:p>
    <w:p>
      <w:pPr>
        <w:spacing w:after="0" w:line="21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clinical trial is planned to enroll approximately 420 subjects aged 9 and above at a 2:1 ratio of TWIN in comparison to its vehicle, with a power of 99%.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other branded product candidate isEpsolay®, a potential treatment for subtype II rosacea.</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99" w:name="page100"/>
    <w:bookmarkEnd w:id="99"/>
    <w:p>
      <w:pPr>
        <w:jc w:val="both"/>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32"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Since our inception, we have incurred significant operating losses. We incurred net losses of $20.8 million, $31.6 million and $32.2 million for the years ended December 31, 2016, 2017 and 2018, respectively. As of December 31, 2018, we had an accumulated deficit of $127.5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if we obtain marketing approval for any of our product candidates, we expect to incur significant expenses related to product manufacturing, marketing, sales and distribution. In addition, we may incur expenses in connection with the in-license or acquisition of additional product candidates.</w:t>
      </w:r>
    </w:p>
    <w:p>
      <w:pPr>
        <w:spacing w:after="0" w:line="23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On July 1, 2014, our former shareholders entered into a share purchase agreement with our current sole shareholder, Arkin Dermatology, or the Purchase Agreement. The Purchase Agreement detailed the terms and conditions for the sale of the company to Arkin Dermatology in exchange for a cash payment in the amount of approximately $10.5 million in addition to an earn-out payment of up to $17.0 million based on the achievement of certain development and revenue-related milestones. In connection with the Purchase Agreement, our executive officers and certain employees were entitled, subject to certain research and development milestones and other conditions, to a special bonus in an aggregate amount of up to $3.0 million, all of which has been paid, with $1.0 million paid in each of the years 2014, 2016 and 2017 to our executive officers and certain employees.</w:t>
      </w:r>
    </w:p>
    <w:p>
      <w:pPr>
        <w:spacing w:after="0" w:line="233"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In February 2018, we closed our initial public offering, at which time we sold a total of 7,187,500 ordinary shares in the offering and received net proceeds of approximately $78.8 million, after deducting underwriting discounts and commissions and without deducting other offering expenses.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83"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For a description of our collaboration agreements, please see “Item 4. Information on the Company—B. Business Overview—Collaboration Agreements.”</w:t>
      </w:r>
    </w:p>
    <w:p>
      <w:pPr>
        <w:spacing w:after="0" w:line="220" w:lineRule="exact"/>
        <w:rPr>
          <w:sz w:val="20"/>
          <w:szCs w:val="20"/>
          <w:color w:val="auto"/>
        </w:rPr>
      </w:pPr>
    </w:p>
    <w:p>
      <w:pPr>
        <w:ind w:left="680" w:hanging="672"/>
        <w:spacing w:after="0"/>
        <w:tabs>
          <w:tab w:leader="none" w:pos="68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color w:val="auto"/>
        </w:rPr>
        <w:t>Operating Results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7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From 2013 until December 31, 2007, other than revenues of $174,000 and $129,000 on royalties generated in 2017 and 2018, respectively, pursuant to sales of products overseas under past collaboration agreements with Merck, we did not recognize any revenue. In February 2019, we announced that Perrigo has received final approval from the FDA for the first generic version of Zovirax® (acyclovir) cream, 5%. The product was developed in a collaboration between us and Perrigo in which we shared development costs with Perrigo and will equally share the gross profits generated from sales of the product. We launched the product in February 2019. Other than revenue that we expect to generate from this agreement commencing in 2019, we do not expect to generate significant revenue from the sale of products or from royalties in the near future.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00" w:name="page101"/>
    <w:bookmarkEnd w:id="100"/>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current operating expenses consist primarily of research and development as well as general and administrative expenses.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Research and development expenses consist principally of:</w:t>
      </w:r>
    </w:p>
    <w:p>
      <w:pPr>
        <w:spacing w:after="0" w:line="279" w:lineRule="exact"/>
        <w:rPr>
          <w:sz w:val="20"/>
          <w:szCs w:val="20"/>
          <w:color w:val="auto"/>
        </w:rPr>
      </w:pPr>
    </w:p>
    <w:p>
      <w:pPr>
        <w:ind w:left="720" w:hanging="361"/>
        <w:spacing w:after="0"/>
        <w:tabs>
          <w:tab w:leader="none" w:pos="720" w:val="left"/>
        </w:tabs>
        <w:numPr>
          <w:ilvl w:val="0"/>
          <w:numId w:val="56"/>
        </w:numPr>
        <w:rPr>
          <w:rFonts w:ascii="Arial" w:cs="Arial" w:eastAsia="Arial" w:hAnsi="Arial"/>
          <w:sz w:val="17"/>
          <w:szCs w:val="17"/>
          <w:color w:val="auto"/>
        </w:rPr>
      </w:pPr>
      <w:r>
        <w:rPr>
          <w:rFonts w:ascii="Arial" w:cs="Arial" w:eastAsia="Arial" w:hAnsi="Arial"/>
          <w:sz w:val="17"/>
          <w:szCs w:val="17"/>
          <w:color w:val="auto"/>
        </w:rPr>
        <w:t>salaries for research and development staff and related expenses, including employee benefits and share-based compensation expenses;</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paid to suppliers of disposables and raw materials, including drug substances, and related expenses, such as, external laboratory testing and development of analytical methods;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for production of our product candidates both in-house and by contract manufacturers;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paid to contract research organizations and other third parties in connection with the performance of pre-clinical studies, clinical trials and related expenses;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incurred to acquire, develop and manufacture materials for use in pre-clinical and other studies;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expenses incurred from the purchase and transfer of product candidates; and</w:t>
      </w:r>
    </w:p>
    <w:p>
      <w:pPr>
        <w:spacing w:after="0" w:line="279" w:lineRule="exact"/>
        <w:rPr>
          <w:rFonts w:ascii="Arial" w:cs="Arial" w:eastAsia="Arial" w:hAnsi="Arial"/>
          <w:sz w:val="18"/>
          <w:szCs w:val="18"/>
          <w:color w:val="auto"/>
        </w:rPr>
      </w:pPr>
    </w:p>
    <w:p>
      <w:pPr>
        <w:ind w:left="720" w:right="20" w:hanging="361"/>
        <w:spacing w:after="0" w:line="342" w:lineRule="auto"/>
        <w:tabs>
          <w:tab w:leader="none" w:pos="720" w:val="left"/>
        </w:tabs>
        <w:numPr>
          <w:ilvl w:val="0"/>
          <w:numId w:val="56"/>
        </w:numPr>
        <w:rPr>
          <w:rFonts w:ascii="Arial" w:cs="Arial" w:eastAsia="Arial" w:hAnsi="Arial"/>
          <w:sz w:val="16"/>
          <w:szCs w:val="16"/>
          <w:color w:val="auto"/>
        </w:rPr>
      </w:pPr>
      <w:r>
        <w:rPr>
          <w:rFonts w:ascii="Arial" w:cs="Arial" w:eastAsia="Arial" w:hAnsi="Arial"/>
          <w:sz w:val="16"/>
          <w:szCs w:val="16"/>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178"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our research and development expenses to increase significantly over the next several years as we increase personnel expenses, including share-based compensation, continue our Phase III clinical trials for TWIN and Epsolay® and conduct pre-clinical studies and clinical trials and prepare regulatory filings for our product candidates.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01" w:name="page102"/>
    <w:bookmarkEnd w:id="101"/>
    <w:p>
      <w:pPr>
        <w:jc w:val="both"/>
        <w:ind w:firstLine="360"/>
        <w:spacing w:after="0" w:line="302" w:lineRule="auto"/>
        <w:rPr>
          <w:sz w:val="20"/>
          <w:szCs w:val="20"/>
          <w:color w:val="auto"/>
        </w:rPr>
      </w:pPr>
      <w:r>
        <w:rPr>
          <w:rFonts w:ascii="Arial" w:cs="Arial" w:eastAsia="Arial" w:hAnsi="Arial"/>
          <w:sz w:val="16"/>
          <w:szCs w:val="16"/>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208" w:lineRule="exact"/>
        <w:rPr>
          <w:sz w:val="20"/>
          <w:szCs w:val="20"/>
          <w:color w:val="auto"/>
        </w:rPr>
      </w:pPr>
    </w:p>
    <w:p>
      <w:pPr>
        <w:ind w:left="720" w:hanging="361"/>
        <w:spacing w:after="0"/>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scope, rate of progress and expense of our research and development activities;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clinical trials and early-stage results;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terms and timing of regulatory requirements and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patent claims and other intellectual property rights;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ability to market, commercialize and achieve market acceptance of any product candidate that we are developing or may develop in the future.</w:t>
      </w:r>
    </w:p>
    <w:p>
      <w:pPr>
        <w:spacing w:after="0" w:line="30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general and administrative expenses consist primarily of salaries and related expenses, including employee benefits and share-based compensation expenses, legal and professional fees for auditors and other consulting expenses not related to research and development activities. Such expenses include the process of becoming a public company, patent registration expenses, depreciation of fixed assets related to general and administrative activities and other expenses, including rent, maintenance of facilities, insurance and office expenses.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02" w:name="page103"/>
    <w:bookmarkEnd w:id="102"/>
    <w:p>
      <w:pPr>
        <w:jc w:val="both"/>
        <w:ind w:right="20" w:firstLine="360"/>
        <w:spacing w:after="0" w:line="277" w:lineRule="auto"/>
        <w:rPr>
          <w:sz w:val="20"/>
          <w:szCs w:val="20"/>
          <w:color w:val="auto"/>
        </w:rPr>
      </w:pPr>
      <w:r>
        <w:rPr>
          <w:rFonts w:ascii="Arial" w:cs="Arial" w:eastAsia="Arial" w:hAnsi="Arial"/>
          <w:sz w:val="18"/>
          <w:szCs w:val="18"/>
          <w:color w:val="auto"/>
        </w:rPr>
        <w:t>If and when we believe a regulatory approval of our branded product candidates appears likely, we anticipate an increase in payroll and expense as a result of our preparation for commercial operations, especially as it relates to the sales and marketing of our product candidates.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consist primarily of expenses related to bank charges and foreign currency exchange transactions.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00" w:type="dxa"/>
            <w:vAlign w:val="bottom"/>
            <w:gridSpan w:val="2"/>
          </w:tcPr>
          <w:p>
            <w:pPr>
              <w:spacing w:after="0"/>
              <w:rPr>
                <w:sz w:val="20"/>
                <w:szCs w:val="20"/>
                <w:color w:val="auto"/>
              </w:rPr>
            </w:pPr>
            <w:r>
              <w:rPr>
                <w:rFonts w:ascii="Arial" w:cs="Arial" w:eastAsia="Arial" w:hAnsi="Arial"/>
                <w:sz w:val="18"/>
                <w:szCs w:val="18"/>
                <w:b w:val="1"/>
                <w:bCs w:val="1"/>
                <w:color w:val="auto"/>
              </w:rPr>
              <w:t>Results of operations</w:t>
            </w: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86"/>
        </w:trPr>
        <w:tc>
          <w:tcPr>
            <w:tcW w:w="7200" w:type="dxa"/>
            <w:vAlign w:val="bottom"/>
            <w:gridSpan w:val="2"/>
          </w:tcPr>
          <w:p>
            <w:pPr>
              <w:ind w:left="400"/>
              <w:spacing w:after="0"/>
              <w:rPr>
                <w:sz w:val="20"/>
                <w:szCs w:val="20"/>
                <w:color w:val="auto"/>
              </w:rPr>
            </w:pPr>
            <w:r>
              <w:rPr>
                <w:rFonts w:ascii="Arial" w:cs="Arial" w:eastAsia="Arial" w:hAnsi="Arial"/>
                <w:sz w:val="18"/>
                <w:szCs w:val="18"/>
                <w:color w:val="auto"/>
              </w:rPr>
              <w:t>The following table summarizes our results of operations for the indicated periods:</w:t>
            </w: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93"/>
        </w:trPr>
        <w:tc>
          <w:tcPr>
            <w:tcW w:w="880" w:type="dxa"/>
            <w:vAlign w:val="bottom"/>
          </w:tcPr>
          <w:p>
            <w:pPr>
              <w:spacing w:after="0"/>
              <w:rPr>
                <w:sz w:val="24"/>
                <w:szCs w:val="24"/>
                <w:color w:val="auto"/>
              </w:rPr>
            </w:pPr>
          </w:p>
        </w:tc>
        <w:tc>
          <w:tcPr>
            <w:tcW w:w="63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gridSpan w:val="7"/>
          </w:tcPr>
          <w:p>
            <w:pPr>
              <w:jc w:val="right"/>
              <w:ind w:right="20"/>
              <w:spacing w:after="0"/>
              <w:rPr>
                <w:sz w:val="20"/>
                <w:szCs w:val="20"/>
                <w:color w:val="auto"/>
              </w:rPr>
            </w:pPr>
            <w:r>
              <w:rPr>
                <w:rFonts w:ascii="Arial" w:cs="Arial" w:eastAsia="Arial" w:hAnsi="Arial"/>
                <w:sz w:val="18"/>
                <w:szCs w:val="18"/>
                <w:color w:val="auto"/>
              </w:rPr>
              <w:t>Year ended December 31,</w:t>
            </w:r>
          </w:p>
        </w:tc>
        <w:tc>
          <w:tcPr>
            <w:tcW w:w="70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223"/>
        </w:trPr>
        <w:tc>
          <w:tcPr>
            <w:tcW w:w="880" w:type="dxa"/>
            <w:vAlign w:val="bottom"/>
          </w:tcPr>
          <w:p>
            <w:pPr>
              <w:spacing w:after="0"/>
              <w:rPr>
                <w:sz w:val="19"/>
                <w:szCs w:val="19"/>
                <w:color w:val="auto"/>
              </w:rPr>
            </w:pPr>
          </w:p>
        </w:tc>
        <w:tc>
          <w:tcPr>
            <w:tcW w:w="6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2016</w:t>
            </w:r>
          </w:p>
        </w:tc>
        <w:tc>
          <w:tcPr>
            <w:tcW w:w="1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2017</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89"/>
              </w:rPr>
              <w:t>2018</w:t>
            </w:r>
          </w:p>
        </w:tc>
        <w:tc>
          <w:tcPr>
            <w:tcW w:w="80" w:type="dxa"/>
            <w:vAlign w:val="bottom"/>
          </w:tcPr>
          <w:p>
            <w:pPr>
              <w:spacing w:after="0"/>
              <w:rPr>
                <w:sz w:val="19"/>
                <w:szCs w:val="19"/>
                <w:color w:val="auto"/>
              </w:rPr>
            </w:pPr>
          </w:p>
        </w:tc>
      </w:tr>
      <w:tr>
        <w:trPr>
          <w:trHeight w:val="216"/>
        </w:trPr>
        <w:tc>
          <w:tcPr>
            <w:tcW w:w="880" w:type="dxa"/>
            <w:vAlign w:val="bottom"/>
          </w:tcPr>
          <w:p>
            <w:pPr>
              <w:spacing w:after="0"/>
              <w:rPr>
                <w:sz w:val="18"/>
                <w:szCs w:val="18"/>
                <w:color w:val="auto"/>
              </w:rPr>
            </w:pPr>
          </w:p>
        </w:tc>
        <w:tc>
          <w:tcPr>
            <w:tcW w:w="6320" w:type="dxa"/>
            <w:vAlign w:val="bottom"/>
            <w:tcBorders>
              <w:right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color w:val="auto"/>
                <w:w w:val="86"/>
              </w:rPr>
              <w:t>Revenues</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w:t>
            </w:r>
          </w:p>
        </w:tc>
        <w:tc>
          <w:tcPr>
            <w:tcW w:w="80" w:type="dxa"/>
            <w:vAlign w:val="bottom"/>
            <w:shd w:val="clear" w:color="auto" w:fill="CCEEFF"/>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6320" w:type="dxa"/>
            <w:vAlign w:val="bottom"/>
          </w:tcPr>
          <w:p>
            <w:pPr>
              <w:jc w:val="center"/>
              <w:ind w:right="50"/>
              <w:spacing w:after="0"/>
              <w:rPr>
                <w:sz w:val="20"/>
                <w:szCs w:val="20"/>
                <w:color w:val="auto"/>
              </w:rPr>
            </w:pPr>
            <w:r>
              <w:rPr>
                <w:rFonts w:ascii="Arial" w:cs="Arial" w:eastAsia="Arial" w:hAnsi="Arial"/>
                <w:sz w:val="18"/>
                <w:szCs w:val="18"/>
                <w:color w:val="auto"/>
                <w:w w:val="88"/>
              </w:rPr>
              <w:t>Research and development</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17,023</w:t>
            </w:r>
          </w:p>
        </w:tc>
        <w:tc>
          <w:tcPr>
            <w:tcW w:w="3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25,805</w:t>
            </w:r>
          </w:p>
        </w:tc>
        <w:tc>
          <w:tcPr>
            <w:tcW w:w="120" w:type="dxa"/>
            <w:vAlign w:val="bottom"/>
          </w:tcPr>
          <w:p>
            <w:pPr>
              <w:spacing w:after="0"/>
              <w:rPr>
                <w:sz w:val="18"/>
                <w:szCs w:val="18"/>
                <w:color w:val="auto"/>
              </w:rPr>
            </w:pP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28,146</w:t>
            </w:r>
          </w:p>
        </w:tc>
        <w:tc>
          <w:tcPr>
            <w:tcW w:w="80" w:type="dxa"/>
            <w:vAlign w:val="bottom"/>
          </w:tcPr>
          <w:p>
            <w:pPr>
              <w:spacing w:after="0"/>
              <w:rPr>
                <w:sz w:val="18"/>
                <w:szCs w:val="18"/>
                <w:color w:val="auto"/>
              </w:rPr>
            </w:pPr>
          </w:p>
        </w:tc>
      </w:tr>
      <w:tr>
        <w:trPr>
          <w:trHeight w:val="223"/>
        </w:trPr>
        <w:tc>
          <w:tcPr>
            <w:tcW w:w="880" w:type="dxa"/>
            <w:vAlign w:val="bottom"/>
          </w:tcPr>
          <w:p>
            <w:pPr>
              <w:spacing w:after="0"/>
              <w:rPr>
                <w:sz w:val="19"/>
                <w:szCs w:val="19"/>
                <w:color w:val="auto"/>
              </w:rPr>
            </w:pPr>
          </w:p>
        </w:tc>
        <w:tc>
          <w:tcPr>
            <w:tcW w:w="6320" w:type="dxa"/>
            <w:vAlign w:val="bottom"/>
            <w:tcBorders>
              <w:bottom w:val="single" w:sz="8" w:color="CCEEFF"/>
              <w:right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color w:val="auto"/>
                <w:w w:val="90"/>
              </w:rPr>
              <w:t>General and administrative</w:t>
            </w:r>
          </w:p>
        </w:tc>
        <w:tc>
          <w:tcPr>
            <w:tcW w:w="18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3,733</w:t>
            </w:r>
          </w:p>
        </w:tc>
        <w:tc>
          <w:tcPr>
            <w:tcW w:w="1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6,002</w:t>
            </w:r>
          </w:p>
        </w:tc>
        <w:tc>
          <w:tcPr>
            <w:tcW w:w="1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5,504</w:t>
            </w:r>
          </w:p>
        </w:tc>
        <w:tc>
          <w:tcPr>
            <w:tcW w:w="80" w:type="dxa"/>
            <w:vAlign w:val="bottom"/>
            <w:tcBorders>
              <w:bottom w:val="single" w:sz="8" w:color="CCEEFF"/>
            </w:tcBorders>
            <w:shd w:val="clear" w:color="auto" w:fill="CCEEFF"/>
          </w:tcPr>
          <w:p>
            <w:pPr>
              <w:spacing w:after="0"/>
              <w:rPr>
                <w:sz w:val="19"/>
                <w:szCs w:val="19"/>
                <w:color w:val="auto"/>
              </w:rPr>
            </w:pPr>
          </w:p>
        </w:tc>
      </w:tr>
      <w:tr>
        <w:trPr>
          <w:trHeight w:val="257"/>
        </w:trPr>
        <w:tc>
          <w:tcPr>
            <w:tcW w:w="880" w:type="dxa"/>
            <w:vAlign w:val="bottom"/>
          </w:tcPr>
          <w:p>
            <w:pPr>
              <w:spacing w:after="0"/>
              <w:rPr>
                <w:sz w:val="22"/>
                <w:szCs w:val="22"/>
                <w:color w:val="auto"/>
              </w:rPr>
            </w:pPr>
          </w:p>
        </w:tc>
        <w:tc>
          <w:tcPr>
            <w:tcW w:w="6320" w:type="dxa"/>
            <w:vAlign w:val="bottom"/>
          </w:tcPr>
          <w:p>
            <w:pPr>
              <w:jc w:val="center"/>
              <w:ind w:right="50"/>
              <w:spacing w:after="0"/>
              <w:rPr>
                <w:sz w:val="20"/>
                <w:szCs w:val="20"/>
                <w:color w:val="auto"/>
              </w:rPr>
            </w:pPr>
            <w:r>
              <w:rPr>
                <w:rFonts w:ascii="Arial" w:cs="Arial" w:eastAsia="Arial" w:hAnsi="Arial"/>
                <w:sz w:val="18"/>
                <w:szCs w:val="18"/>
                <w:color w:val="auto"/>
                <w:w w:val="90"/>
              </w:rPr>
              <w:t>Total operating loss</w:t>
            </w:r>
          </w:p>
        </w:tc>
        <w:tc>
          <w:tcPr>
            <w:tcW w:w="18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20,756</w:t>
            </w:r>
          </w:p>
        </w:tc>
        <w:tc>
          <w:tcPr>
            <w:tcW w:w="1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31,633</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33,521</w:t>
            </w:r>
          </w:p>
        </w:tc>
        <w:tc>
          <w:tcPr>
            <w:tcW w:w="80" w:type="dxa"/>
            <w:vAlign w:val="bottom"/>
          </w:tcPr>
          <w:p>
            <w:pPr>
              <w:spacing w:after="0"/>
              <w:rPr>
                <w:sz w:val="22"/>
                <w:szCs w:val="22"/>
                <w:color w:val="auto"/>
              </w:rPr>
            </w:pPr>
          </w:p>
        </w:tc>
      </w:tr>
      <w:tr>
        <w:trPr>
          <w:trHeight w:val="216"/>
        </w:trPr>
        <w:tc>
          <w:tcPr>
            <w:tcW w:w="880" w:type="dxa"/>
            <w:vAlign w:val="bottom"/>
          </w:tcPr>
          <w:p>
            <w:pPr>
              <w:spacing w:after="0"/>
              <w:rPr>
                <w:sz w:val="18"/>
                <w:szCs w:val="18"/>
                <w:color w:val="auto"/>
              </w:rPr>
            </w:pPr>
          </w:p>
        </w:tc>
        <w:tc>
          <w:tcPr>
            <w:tcW w:w="6320" w:type="dxa"/>
            <w:vAlign w:val="bottom"/>
            <w:tcBorders>
              <w:right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color w:val="auto"/>
                <w:w w:val="90"/>
              </w:rPr>
              <w:t>Financial expenses (income), net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(1,318)</w:t>
            </w:r>
          </w:p>
        </w:tc>
      </w:tr>
      <w:tr>
        <w:trPr>
          <w:trHeight w:val="27"/>
        </w:trPr>
        <w:tc>
          <w:tcPr>
            <w:tcW w:w="880" w:type="dxa"/>
            <w:vAlign w:val="bottom"/>
          </w:tcPr>
          <w:p>
            <w:pPr>
              <w:spacing w:after="0"/>
              <w:rPr>
                <w:sz w:val="2"/>
                <w:szCs w:val="2"/>
                <w:color w:val="auto"/>
              </w:rPr>
            </w:pPr>
          </w:p>
        </w:tc>
        <w:tc>
          <w:tcPr>
            <w:tcW w:w="6320" w:type="dxa"/>
            <w:vAlign w:val="bottom"/>
            <w:tcBorders>
              <w:right w:val="single" w:sz="8" w:color="CCEEFF"/>
            </w:tcBorders>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r>
      <w:tr>
        <w:trPr>
          <w:trHeight w:val="216"/>
        </w:trPr>
        <w:tc>
          <w:tcPr>
            <w:tcW w:w="880" w:type="dxa"/>
            <w:vAlign w:val="bottom"/>
          </w:tcPr>
          <w:p>
            <w:pPr>
              <w:spacing w:after="0"/>
              <w:rPr>
                <w:sz w:val="18"/>
                <w:szCs w:val="18"/>
                <w:color w:val="auto"/>
              </w:rPr>
            </w:pPr>
          </w:p>
        </w:tc>
        <w:tc>
          <w:tcPr>
            <w:tcW w:w="6320" w:type="dxa"/>
            <w:vAlign w:val="bottom"/>
          </w:tcPr>
          <w:p>
            <w:pPr>
              <w:jc w:val="center"/>
              <w:ind w:right="50"/>
              <w:spacing w:after="0"/>
              <w:rPr>
                <w:sz w:val="20"/>
                <w:szCs w:val="20"/>
                <w:color w:val="auto"/>
              </w:rPr>
            </w:pPr>
            <w:r>
              <w:rPr>
                <w:rFonts w:ascii="Arial" w:cs="Arial" w:eastAsia="Arial" w:hAnsi="Arial"/>
                <w:sz w:val="18"/>
                <w:szCs w:val="18"/>
                <w:color w:val="auto"/>
                <w:w w:val="90"/>
              </w:rPr>
              <w:t>Loss for the year</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20,771</w:t>
            </w:r>
          </w:p>
        </w:tc>
        <w:tc>
          <w:tcPr>
            <w:tcW w:w="3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31,568</w:t>
            </w:r>
          </w:p>
        </w:tc>
        <w:tc>
          <w:tcPr>
            <w:tcW w:w="120" w:type="dxa"/>
            <w:vAlign w:val="bottom"/>
          </w:tcPr>
          <w:p>
            <w:pPr>
              <w:spacing w:after="0"/>
              <w:rPr>
                <w:sz w:val="18"/>
                <w:szCs w:val="18"/>
                <w:color w:val="auto"/>
              </w:rPr>
            </w:pP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32,203</w:t>
            </w:r>
          </w:p>
        </w:tc>
        <w:tc>
          <w:tcPr>
            <w:tcW w:w="80" w:type="dxa"/>
            <w:vAlign w:val="bottom"/>
          </w:tcPr>
          <w:p>
            <w:pPr>
              <w:spacing w:after="0"/>
              <w:rPr>
                <w:sz w:val="18"/>
                <w:szCs w:val="18"/>
                <w:color w:val="auto"/>
              </w:rPr>
            </w:pPr>
          </w:p>
        </w:tc>
      </w:tr>
      <w:tr>
        <w:trPr>
          <w:trHeight w:val="21"/>
        </w:trPr>
        <w:tc>
          <w:tcPr>
            <w:tcW w:w="88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2017 compared to year ended December 31, 2018</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Revenues are comprised from royalties under an agreement entered by the Company in 2007 that granted rights to a third party for use and commercialization of a product for skin protection. Based on current sales, royalty revenues are not material and amounted to $0.1 million in 2018 compared with $0.2 million in 2017.</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80" w:type="dxa"/>
            <w:vAlign w:val="bottom"/>
          </w:tcPr>
          <w:p>
            <w:pPr>
              <w:spacing w:after="0"/>
              <w:rPr>
                <w:sz w:val="20"/>
                <w:szCs w:val="20"/>
                <w:color w:val="auto"/>
              </w:rPr>
            </w:pPr>
          </w:p>
        </w:tc>
        <w:tc>
          <w:tcPr>
            <w:tcW w:w="7480" w:type="dxa"/>
            <w:vAlign w:val="bottom"/>
          </w:tcPr>
          <w:p>
            <w:pPr>
              <w:spacing w:after="0"/>
              <w:rPr>
                <w:sz w:val="20"/>
                <w:szCs w:val="20"/>
                <w:color w:val="auto"/>
              </w:rPr>
            </w:pPr>
          </w:p>
        </w:tc>
        <w:tc>
          <w:tcPr>
            <w:tcW w:w="212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1"/>
              </w:rPr>
              <w:t>Year Ended December 31,</w:t>
            </w:r>
          </w:p>
        </w:tc>
        <w:tc>
          <w:tcPr>
            <w:tcW w:w="8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23"/>
        </w:trPr>
        <w:tc>
          <w:tcPr>
            <w:tcW w:w="880" w:type="dxa"/>
            <w:vAlign w:val="bottom"/>
          </w:tcPr>
          <w:p>
            <w:pPr>
              <w:spacing w:after="0"/>
              <w:rPr>
                <w:sz w:val="19"/>
                <w:szCs w:val="19"/>
                <w:color w:val="auto"/>
              </w:rPr>
            </w:pPr>
          </w:p>
        </w:tc>
        <w:tc>
          <w:tcPr>
            <w:tcW w:w="74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23"/>
        </w:trPr>
        <w:tc>
          <w:tcPr>
            <w:tcW w:w="880" w:type="dxa"/>
            <w:vAlign w:val="bottom"/>
          </w:tcPr>
          <w:p>
            <w:pPr>
              <w:spacing w:after="0"/>
              <w:rPr>
                <w:sz w:val="19"/>
                <w:szCs w:val="19"/>
                <w:color w:val="auto"/>
              </w:rPr>
            </w:pPr>
          </w:p>
        </w:tc>
        <w:tc>
          <w:tcPr>
            <w:tcW w:w="74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gridSpan w:val="4"/>
          </w:tcPr>
          <w:p>
            <w:pPr>
              <w:jc w:val="right"/>
              <w:ind w:right="430"/>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16"/>
        </w:trPr>
        <w:tc>
          <w:tcPr>
            <w:tcW w:w="880" w:type="dxa"/>
            <w:vAlign w:val="bottom"/>
          </w:tcPr>
          <w:p>
            <w:pPr>
              <w:spacing w:after="0"/>
              <w:rPr>
                <w:sz w:val="18"/>
                <w:szCs w:val="18"/>
                <w:color w:val="auto"/>
              </w:rPr>
            </w:pPr>
          </w:p>
        </w:tc>
        <w:tc>
          <w:tcPr>
            <w:tcW w:w="7480" w:type="dxa"/>
            <w:vAlign w:val="bottom"/>
            <w:shd w:val="clear" w:color="auto" w:fill="CCEEFF"/>
          </w:tcPr>
          <w:p>
            <w:pPr>
              <w:jc w:val="center"/>
              <w:ind w:right="50"/>
              <w:spacing w:after="0"/>
              <w:rPr>
                <w:sz w:val="20"/>
                <w:szCs w:val="20"/>
                <w:color w:val="auto"/>
              </w:rPr>
            </w:pPr>
            <w:r>
              <w:rPr>
                <w:rFonts w:ascii="Arial" w:cs="Arial" w:eastAsia="Arial" w:hAnsi="Arial"/>
                <w:sz w:val="18"/>
                <w:szCs w:val="18"/>
                <w:color w:val="auto"/>
                <w:w w:val="88"/>
              </w:rPr>
              <w:t>Payroll and related expenses</w:t>
            </w:r>
          </w:p>
        </w:tc>
        <w:tc>
          <w:tcPr>
            <w:tcW w:w="180" w:type="dxa"/>
            <w:vAlign w:val="bottom"/>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6,133</w:t>
            </w:r>
          </w:p>
        </w:tc>
        <w:tc>
          <w:tcPr>
            <w:tcW w:w="38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7,118</w:t>
            </w: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7480" w:type="dxa"/>
            <w:vAlign w:val="bottom"/>
          </w:tcPr>
          <w:p>
            <w:pPr>
              <w:jc w:val="center"/>
              <w:ind w:right="30"/>
              <w:spacing w:after="0"/>
              <w:rPr>
                <w:sz w:val="20"/>
                <w:szCs w:val="20"/>
                <w:color w:val="auto"/>
              </w:rPr>
            </w:pPr>
            <w:r>
              <w:rPr>
                <w:rFonts w:ascii="Arial" w:cs="Arial" w:eastAsia="Arial" w:hAnsi="Arial"/>
                <w:sz w:val="18"/>
                <w:szCs w:val="18"/>
                <w:color w:val="auto"/>
                <w:w w:val="91"/>
              </w:rPr>
              <w:t>Clinical trial expenses</w:t>
            </w: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12,768</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10,569</w:t>
            </w: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7480" w:type="dxa"/>
            <w:vAlign w:val="bottom"/>
            <w:shd w:val="clear" w:color="auto" w:fill="CCEEFF"/>
          </w:tcPr>
          <w:p>
            <w:pPr>
              <w:jc w:val="center"/>
              <w:ind w:right="50"/>
              <w:spacing w:after="0"/>
              <w:rPr>
                <w:sz w:val="20"/>
                <w:szCs w:val="20"/>
                <w:color w:val="auto"/>
              </w:rPr>
            </w:pPr>
            <w:r>
              <w:rPr>
                <w:rFonts w:ascii="Arial" w:cs="Arial" w:eastAsia="Arial" w:hAnsi="Arial"/>
                <w:sz w:val="18"/>
                <w:szCs w:val="18"/>
                <w:color w:val="auto"/>
                <w:w w:val="90"/>
              </w:rPr>
              <w:t>Professional consulting and subcontracted work</w:t>
            </w: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4,455</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6,907</w:t>
            </w: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r>
      <w:tr>
        <w:trPr>
          <w:trHeight w:val="223"/>
        </w:trPr>
        <w:tc>
          <w:tcPr>
            <w:tcW w:w="880" w:type="dxa"/>
            <w:vAlign w:val="bottom"/>
          </w:tcPr>
          <w:p>
            <w:pPr>
              <w:spacing w:after="0"/>
              <w:rPr>
                <w:sz w:val="19"/>
                <w:szCs w:val="19"/>
                <w:color w:val="auto"/>
              </w:rPr>
            </w:pPr>
          </w:p>
        </w:tc>
        <w:tc>
          <w:tcPr>
            <w:tcW w:w="7480" w:type="dxa"/>
            <w:vAlign w:val="bottom"/>
          </w:tcPr>
          <w:p>
            <w:pPr>
              <w:jc w:val="center"/>
              <w:ind w:right="50"/>
              <w:spacing w:after="0"/>
              <w:rPr>
                <w:sz w:val="20"/>
                <w:szCs w:val="20"/>
                <w:color w:val="auto"/>
              </w:rPr>
            </w:pPr>
            <w:r>
              <w:rPr>
                <w:rFonts w:ascii="Arial" w:cs="Arial" w:eastAsia="Arial" w:hAnsi="Arial"/>
                <w:sz w:val="18"/>
                <w:szCs w:val="18"/>
                <w:color w:val="auto"/>
                <w:w w:val="93"/>
              </w:rPr>
              <w:t>Other</w:t>
            </w: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2,448</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3,552</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57"/>
        </w:trPr>
        <w:tc>
          <w:tcPr>
            <w:tcW w:w="880" w:type="dxa"/>
            <w:vAlign w:val="bottom"/>
          </w:tcPr>
          <w:p>
            <w:pPr>
              <w:spacing w:after="0"/>
              <w:rPr>
                <w:sz w:val="22"/>
                <w:szCs w:val="22"/>
                <w:color w:val="auto"/>
              </w:rPr>
            </w:pPr>
          </w:p>
        </w:tc>
        <w:tc>
          <w:tcPr>
            <w:tcW w:w="7480" w:type="dxa"/>
            <w:vAlign w:val="bottom"/>
            <w:tcBorders>
              <w:bottom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color w:val="auto"/>
                <w:w w:val="87"/>
              </w:rPr>
              <w:t>Total research and development expenses</w:t>
            </w:r>
          </w:p>
        </w:tc>
        <w:tc>
          <w:tcPr>
            <w:tcW w:w="1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25,805</w:t>
            </w:r>
          </w:p>
        </w:tc>
        <w:tc>
          <w:tcPr>
            <w:tcW w:w="2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28,146</w:t>
            </w:r>
          </w:p>
        </w:tc>
        <w:tc>
          <w:tcPr>
            <w:tcW w:w="80" w:type="dxa"/>
            <w:vAlign w:val="bottom"/>
            <w:tcBorders>
              <w:bottom w:val="single" w:sz="8" w:color="CCEEFF"/>
            </w:tcBorders>
            <w:shd w:val="clear" w:color="auto" w:fill="CCEEFF"/>
          </w:tcPr>
          <w:p>
            <w:pPr>
              <w:spacing w:after="0"/>
              <w:rPr>
                <w:sz w:val="22"/>
                <w:szCs w:val="22"/>
                <w:color w:val="auto"/>
              </w:rPr>
            </w:pPr>
          </w:p>
        </w:tc>
        <w:tc>
          <w:tcPr>
            <w:tcW w:w="860" w:type="dxa"/>
            <w:vAlign w:val="bottom"/>
          </w:tcPr>
          <w:p>
            <w:pPr>
              <w:spacing w:after="0"/>
              <w:rPr>
                <w:sz w:val="22"/>
                <w:szCs w:val="22"/>
                <w:color w:val="auto"/>
              </w:rPr>
            </w:pPr>
          </w:p>
        </w:tc>
      </w:tr>
      <w:tr>
        <w:trPr>
          <w:trHeight w:val="655"/>
        </w:trPr>
        <w:tc>
          <w:tcPr>
            <w:tcW w:w="880" w:type="dxa"/>
            <w:vAlign w:val="bottom"/>
          </w:tcPr>
          <w:p>
            <w:pPr>
              <w:spacing w:after="0"/>
              <w:rPr>
                <w:sz w:val="24"/>
                <w:szCs w:val="24"/>
                <w:color w:val="auto"/>
              </w:rPr>
            </w:pPr>
          </w:p>
        </w:tc>
        <w:tc>
          <w:tcPr>
            <w:tcW w:w="7480" w:type="dxa"/>
            <w:vAlign w:val="bottom"/>
          </w:tcPr>
          <w:p>
            <w:pPr>
              <w:jc w:val="right"/>
              <w:ind w:right="2430"/>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61"/>
        </w:trPr>
        <w:tc>
          <w:tcPr>
            <w:tcW w:w="880" w:type="dxa"/>
            <w:vAlign w:val="bottom"/>
            <w:tcBorders>
              <w:bottom w:val="single" w:sz="8" w:color="auto"/>
            </w:tcBorders>
          </w:tcPr>
          <w:p>
            <w:pPr>
              <w:spacing w:after="0"/>
              <w:rPr>
                <w:sz w:val="5"/>
                <w:szCs w:val="5"/>
                <w:color w:val="auto"/>
              </w:rPr>
            </w:pPr>
          </w:p>
        </w:tc>
        <w:tc>
          <w:tcPr>
            <w:tcW w:w="74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665" w:right="239" w:bottom="1440" w:gutter="0" w:footer="0" w:header="0"/>
        </w:sectPr>
      </w:pPr>
    </w:p>
    <w:bookmarkStart w:id="103" w:name="page104"/>
    <w:bookmarkEnd w:id="103"/>
    <w:p>
      <w:pPr>
        <w:jc w:val="both"/>
        <w:ind w:firstLine="360"/>
        <w:spacing w:after="0" w:line="255" w:lineRule="auto"/>
        <w:rPr>
          <w:sz w:val="20"/>
          <w:szCs w:val="20"/>
          <w:color w:val="auto"/>
        </w:rPr>
      </w:pPr>
      <w:r>
        <w:rPr>
          <w:rFonts w:ascii="Arial" w:cs="Arial" w:eastAsia="Arial" w:hAnsi="Arial"/>
          <w:sz w:val="18"/>
          <w:szCs w:val="18"/>
          <w:color w:val="auto"/>
        </w:rPr>
        <w:t>Our research and development expenses were $25.8 million for the year ended December 31, 2017, compared to $28.1 million for the year ended December 31, 2018. The increase of $2.3 million was mainly attributed to an increase of $1.0 million in payroll and related expenses due to share-based compensation and salary increases, an increase in the number of research and development personnel and an increase of $2.4 million due to a $1.9 million increase in manufacturing expenses related to our Phase III clinical program for TWIN and a generic drug product candidate, $0.5 million increase in regulatory expenses mainly related to our Phase III clinical program for TWIN and Epsolay©, an increase of $4.1 million in clinical trial expenses and an increase of $1.0 million in depreciation, patents and other expenses, offset by a decrease of $6.2 million due to acquiring an in-process research and development product candidate in 2017.</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Our general and administrative expenses were $6.0 million for the year ended December 31, 2017, compared to $5.5 million for the year ended December 31, 2018. The decrease of $0.5 million was mainly attributed to a decrease of $0.5 million in professional fees which were capitalized in 2018 as part of our IPO.</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income, net</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financial income, net, was immaterial for the year ended December 31, 2017 compared to $1.3 million for the year ended December 31, 2018. The increase was primarily attributed to an increase of $1.3 million in interest income from marketable securities and deposits.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2016 compared to year ended December 31, 2017</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Revenues are comprised from royalties under an agreement entered by the Company in 2007 that granted rights to a third party for use and commercialization of a product for skin protection. Based on current sales, royalty revenues are not material and amounted $0.2 million in 2017 compared with zero in previous years.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80" w:type="dxa"/>
            <w:vAlign w:val="bottom"/>
          </w:tcPr>
          <w:p>
            <w:pPr>
              <w:spacing w:after="0"/>
              <w:rPr>
                <w:sz w:val="20"/>
                <w:szCs w:val="20"/>
                <w:color w:val="auto"/>
              </w:rPr>
            </w:pPr>
          </w:p>
        </w:tc>
        <w:tc>
          <w:tcPr>
            <w:tcW w:w="7480" w:type="dxa"/>
            <w:vAlign w:val="bottom"/>
          </w:tcPr>
          <w:p>
            <w:pPr>
              <w:spacing w:after="0"/>
              <w:rPr>
                <w:sz w:val="20"/>
                <w:szCs w:val="20"/>
                <w:color w:val="auto"/>
              </w:rPr>
            </w:pPr>
          </w:p>
        </w:tc>
        <w:tc>
          <w:tcPr>
            <w:tcW w:w="212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1"/>
              </w:rPr>
              <w:t>Year Ended December 31,</w:t>
            </w:r>
          </w:p>
        </w:tc>
        <w:tc>
          <w:tcPr>
            <w:tcW w:w="8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23"/>
        </w:trPr>
        <w:tc>
          <w:tcPr>
            <w:tcW w:w="880" w:type="dxa"/>
            <w:vAlign w:val="bottom"/>
          </w:tcPr>
          <w:p>
            <w:pPr>
              <w:spacing w:after="0"/>
              <w:rPr>
                <w:sz w:val="19"/>
                <w:szCs w:val="19"/>
                <w:color w:val="auto"/>
              </w:rPr>
            </w:pPr>
          </w:p>
        </w:tc>
        <w:tc>
          <w:tcPr>
            <w:tcW w:w="74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2016</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23"/>
        </w:trPr>
        <w:tc>
          <w:tcPr>
            <w:tcW w:w="880" w:type="dxa"/>
            <w:vAlign w:val="bottom"/>
          </w:tcPr>
          <w:p>
            <w:pPr>
              <w:spacing w:after="0"/>
              <w:rPr>
                <w:sz w:val="19"/>
                <w:szCs w:val="19"/>
                <w:color w:val="auto"/>
              </w:rPr>
            </w:pPr>
          </w:p>
        </w:tc>
        <w:tc>
          <w:tcPr>
            <w:tcW w:w="74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gridSpan w:val="4"/>
          </w:tcPr>
          <w:p>
            <w:pPr>
              <w:jc w:val="right"/>
              <w:ind w:right="430"/>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16"/>
        </w:trPr>
        <w:tc>
          <w:tcPr>
            <w:tcW w:w="880" w:type="dxa"/>
            <w:vAlign w:val="bottom"/>
          </w:tcPr>
          <w:p>
            <w:pPr>
              <w:spacing w:after="0"/>
              <w:rPr>
                <w:sz w:val="18"/>
                <w:szCs w:val="18"/>
                <w:color w:val="auto"/>
              </w:rPr>
            </w:pPr>
          </w:p>
        </w:tc>
        <w:tc>
          <w:tcPr>
            <w:tcW w:w="7480" w:type="dxa"/>
            <w:vAlign w:val="bottom"/>
            <w:shd w:val="clear" w:color="auto" w:fill="CCEEFF"/>
          </w:tcPr>
          <w:p>
            <w:pPr>
              <w:jc w:val="center"/>
              <w:ind w:right="50"/>
              <w:spacing w:after="0"/>
              <w:rPr>
                <w:sz w:val="20"/>
                <w:szCs w:val="20"/>
                <w:color w:val="auto"/>
              </w:rPr>
            </w:pPr>
            <w:r>
              <w:rPr>
                <w:rFonts w:ascii="Arial" w:cs="Arial" w:eastAsia="Arial" w:hAnsi="Arial"/>
                <w:sz w:val="18"/>
                <w:szCs w:val="18"/>
                <w:color w:val="auto"/>
                <w:w w:val="88"/>
              </w:rPr>
              <w:t>Payroll and related expenses</w:t>
            </w:r>
          </w:p>
        </w:tc>
        <w:tc>
          <w:tcPr>
            <w:tcW w:w="180" w:type="dxa"/>
            <w:vAlign w:val="bottom"/>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3,629</w:t>
            </w:r>
          </w:p>
        </w:tc>
        <w:tc>
          <w:tcPr>
            <w:tcW w:w="38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6,133</w:t>
            </w: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7480" w:type="dxa"/>
            <w:vAlign w:val="bottom"/>
          </w:tcPr>
          <w:p>
            <w:pPr>
              <w:jc w:val="center"/>
              <w:ind w:right="30"/>
              <w:spacing w:after="0"/>
              <w:rPr>
                <w:sz w:val="20"/>
                <w:szCs w:val="20"/>
                <w:color w:val="auto"/>
              </w:rPr>
            </w:pPr>
            <w:r>
              <w:rPr>
                <w:rFonts w:ascii="Arial" w:cs="Arial" w:eastAsia="Arial" w:hAnsi="Arial"/>
                <w:sz w:val="18"/>
                <w:szCs w:val="18"/>
                <w:color w:val="auto"/>
                <w:w w:val="91"/>
              </w:rPr>
              <w:t>Clinical trial expenses</w:t>
            </w: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9,686</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12,768</w:t>
            </w: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7480" w:type="dxa"/>
            <w:vAlign w:val="bottom"/>
            <w:shd w:val="clear" w:color="auto" w:fill="CCEEFF"/>
          </w:tcPr>
          <w:p>
            <w:pPr>
              <w:jc w:val="center"/>
              <w:ind w:right="50"/>
              <w:spacing w:after="0"/>
              <w:rPr>
                <w:sz w:val="20"/>
                <w:szCs w:val="20"/>
                <w:color w:val="auto"/>
              </w:rPr>
            </w:pPr>
            <w:r>
              <w:rPr>
                <w:rFonts w:ascii="Arial" w:cs="Arial" w:eastAsia="Arial" w:hAnsi="Arial"/>
                <w:sz w:val="18"/>
                <w:szCs w:val="18"/>
                <w:color w:val="auto"/>
                <w:w w:val="90"/>
              </w:rPr>
              <w:t>Professional consulting and subcontracted work</w:t>
            </w: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4,455</w:t>
            </w:r>
          </w:p>
        </w:tc>
        <w:tc>
          <w:tcPr>
            <w:tcW w:w="80" w:type="dxa"/>
            <w:vAlign w:val="bottom"/>
            <w:shd w:val="clear" w:color="auto" w:fill="CCEEFF"/>
          </w:tcPr>
          <w:p>
            <w:pPr>
              <w:spacing w:after="0"/>
              <w:rPr>
                <w:sz w:val="18"/>
                <w:szCs w:val="18"/>
                <w:color w:val="auto"/>
              </w:rPr>
            </w:pPr>
          </w:p>
        </w:tc>
        <w:tc>
          <w:tcPr>
            <w:tcW w:w="860" w:type="dxa"/>
            <w:vAlign w:val="bottom"/>
          </w:tcPr>
          <w:p>
            <w:pPr>
              <w:spacing w:after="0"/>
              <w:rPr>
                <w:sz w:val="18"/>
                <w:szCs w:val="18"/>
                <w:color w:val="auto"/>
              </w:rPr>
            </w:pPr>
          </w:p>
        </w:tc>
      </w:tr>
      <w:tr>
        <w:trPr>
          <w:trHeight w:val="223"/>
        </w:trPr>
        <w:tc>
          <w:tcPr>
            <w:tcW w:w="880" w:type="dxa"/>
            <w:vAlign w:val="bottom"/>
          </w:tcPr>
          <w:p>
            <w:pPr>
              <w:spacing w:after="0"/>
              <w:rPr>
                <w:sz w:val="19"/>
                <w:szCs w:val="19"/>
                <w:color w:val="auto"/>
              </w:rPr>
            </w:pPr>
          </w:p>
        </w:tc>
        <w:tc>
          <w:tcPr>
            <w:tcW w:w="7480" w:type="dxa"/>
            <w:vAlign w:val="bottom"/>
          </w:tcPr>
          <w:p>
            <w:pPr>
              <w:jc w:val="center"/>
              <w:ind w:right="50"/>
              <w:spacing w:after="0"/>
              <w:rPr>
                <w:sz w:val="20"/>
                <w:szCs w:val="20"/>
                <w:color w:val="auto"/>
              </w:rPr>
            </w:pPr>
            <w:r>
              <w:rPr>
                <w:rFonts w:ascii="Arial" w:cs="Arial" w:eastAsia="Arial" w:hAnsi="Arial"/>
                <w:sz w:val="18"/>
                <w:szCs w:val="18"/>
                <w:color w:val="auto"/>
                <w:w w:val="93"/>
              </w:rPr>
              <w:t>Other</w:t>
            </w: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1,878</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2,448</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57"/>
        </w:trPr>
        <w:tc>
          <w:tcPr>
            <w:tcW w:w="880" w:type="dxa"/>
            <w:vAlign w:val="bottom"/>
          </w:tcPr>
          <w:p>
            <w:pPr>
              <w:spacing w:after="0"/>
              <w:rPr>
                <w:sz w:val="22"/>
                <w:szCs w:val="22"/>
                <w:color w:val="auto"/>
              </w:rPr>
            </w:pPr>
          </w:p>
        </w:tc>
        <w:tc>
          <w:tcPr>
            <w:tcW w:w="7480" w:type="dxa"/>
            <w:vAlign w:val="bottom"/>
            <w:tcBorders>
              <w:bottom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color w:val="auto"/>
                <w:w w:val="87"/>
              </w:rPr>
              <w:t>Total research and development expenses</w:t>
            </w:r>
          </w:p>
        </w:tc>
        <w:tc>
          <w:tcPr>
            <w:tcW w:w="18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17,023</w:t>
            </w:r>
          </w:p>
        </w:tc>
        <w:tc>
          <w:tcPr>
            <w:tcW w:w="2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25,805</w:t>
            </w:r>
          </w:p>
        </w:tc>
        <w:tc>
          <w:tcPr>
            <w:tcW w:w="80" w:type="dxa"/>
            <w:vAlign w:val="bottom"/>
            <w:tcBorders>
              <w:bottom w:val="single" w:sz="8" w:color="CCEEFF"/>
            </w:tcBorders>
            <w:shd w:val="clear" w:color="auto" w:fill="CCEEFF"/>
          </w:tcPr>
          <w:p>
            <w:pPr>
              <w:spacing w:after="0"/>
              <w:rPr>
                <w:sz w:val="22"/>
                <w:szCs w:val="22"/>
                <w:color w:val="auto"/>
              </w:rPr>
            </w:pPr>
          </w:p>
        </w:tc>
        <w:tc>
          <w:tcPr>
            <w:tcW w:w="860" w:type="dxa"/>
            <w:vAlign w:val="bottom"/>
          </w:tcPr>
          <w:p>
            <w:pPr>
              <w:spacing w:after="0"/>
              <w:rPr>
                <w:sz w:val="22"/>
                <w:szCs w:val="22"/>
                <w:color w:val="auto"/>
              </w:rPr>
            </w:pPr>
          </w:p>
        </w:tc>
      </w:tr>
      <w:tr>
        <w:trPr>
          <w:trHeight w:val="655"/>
        </w:trPr>
        <w:tc>
          <w:tcPr>
            <w:tcW w:w="880" w:type="dxa"/>
            <w:vAlign w:val="bottom"/>
          </w:tcPr>
          <w:p>
            <w:pPr>
              <w:spacing w:after="0"/>
              <w:rPr>
                <w:sz w:val="24"/>
                <w:szCs w:val="24"/>
                <w:color w:val="auto"/>
              </w:rPr>
            </w:pPr>
          </w:p>
        </w:tc>
        <w:tc>
          <w:tcPr>
            <w:tcW w:w="7480" w:type="dxa"/>
            <w:vAlign w:val="bottom"/>
          </w:tcPr>
          <w:p>
            <w:pPr>
              <w:jc w:val="right"/>
              <w:ind w:right="2430"/>
              <w:spacing w:after="0"/>
              <w:rPr>
                <w:sz w:val="20"/>
                <w:szCs w:val="20"/>
                <w:color w:val="auto"/>
              </w:rPr>
            </w:pPr>
            <w:r>
              <w:rPr>
                <w:rFonts w:ascii="Arial" w:cs="Arial" w:eastAsia="Arial" w:hAnsi="Arial"/>
                <w:sz w:val="18"/>
                <w:szCs w:val="18"/>
                <w:color w:val="auto"/>
              </w:rPr>
              <w:t>101</w:t>
            </w: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61"/>
        </w:trPr>
        <w:tc>
          <w:tcPr>
            <w:tcW w:w="880" w:type="dxa"/>
            <w:vAlign w:val="bottom"/>
            <w:tcBorders>
              <w:bottom w:val="single" w:sz="8" w:color="auto"/>
            </w:tcBorders>
          </w:tcPr>
          <w:p>
            <w:pPr>
              <w:spacing w:after="0"/>
              <w:rPr>
                <w:sz w:val="5"/>
                <w:szCs w:val="5"/>
                <w:color w:val="auto"/>
              </w:rPr>
            </w:pPr>
          </w:p>
        </w:tc>
        <w:tc>
          <w:tcPr>
            <w:tcW w:w="74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665" w:right="239" w:bottom="1440" w:gutter="0" w:footer="0" w:header="0"/>
        </w:sectPr>
      </w:pPr>
    </w:p>
    <w:bookmarkStart w:id="104" w:name="page105"/>
    <w:bookmarkEnd w:id="104"/>
    <w:p>
      <w:pPr>
        <w:jc w:val="both"/>
        <w:ind w:firstLine="360"/>
        <w:spacing w:after="0" w:line="257" w:lineRule="auto"/>
        <w:rPr>
          <w:sz w:val="20"/>
          <w:szCs w:val="20"/>
          <w:color w:val="auto"/>
        </w:rPr>
      </w:pPr>
      <w:r>
        <w:rPr>
          <w:rFonts w:ascii="Arial" w:cs="Arial" w:eastAsia="Arial" w:hAnsi="Arial"/>
          <w:sz w:val="18"/>
          <w:szCs w:val="18"/>
          <w:color w:val="auto"/>
        </w:rPr>
        <w:t>Our research and development expenses were $17.0 million for the year ended December 31, 2016, compared to $25.8 million for the year ended December 31, 2017. The increase of $8.8 million was mainly attributed to an increase of $2.5 million in payroll and related expenses due to share-based compensation, salary increases and an increase in the number of research and development personnel, an increase of $6.2 million due to acquiring an in-process research and development product candidate offset by a decrease of $3.1 million in clinical trial expenses and an increase of $2.6 million due to an increase in manufacturing expenses.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Our general and administrative expenses were $3.7 million for the year ended December 31, 2016, compared to $6.0 million for the year ended December 31, 2017. The increase of $2.3 million was mainly attributed to an increase of $0.6 million in professional fees and $1.6 million due to share-based compensation.</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income, net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income, net, were immaterial for the year ended December 31, 2016 and 2017.</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and Estimates</w:t>
      </w:r>
    </w:p>
    <w:p>
      <w:pPr>
        <w:spacing w:after="0" w:line="28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prepare our financial statements in conformity with U.S. GAAP. We describe our significant accounting policies and estimates more fully in Note 2 to our financial statements as of and for the year ended December 31, 2018, included elsewhere in this annual report. We believe that the accounting policies and estimates below are critical in order to fully understand and evaluate our financial condition and results of operations. In preparing these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financial statements included in this annual report, the most significant estimates and assumptions relate to the fair value of share-based compensation.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Options Valuation</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We selected the Black-Scholes option pricing model as the most appropriate method for determining the estimated fair value of the shared based compensation.</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05" w:name="page106"/>
    <w:bookmarkEnd w:id="105"/>
    <w:p>
      <w:pPr>
        <w:jc w:val="both"/>
        <w:ind w:firstLine="360"/>
        <w:spacing w:after="0" w:line="279" w:lineRule="auto"/>
        <w:rPr>
          <w:sz w:val="20"/>
          <w:szCs w:val="20"/>
          <w:color w:val="auto"/>
        </w:rPr>
      </w:pPr>
      <w:r>
        <w:rPr>
          <w:rFonts w:ascii="Arial" w:cs="Arial" w:eastAsia="Arial" w:hAnsi="Arial"/>
          <w:sz w:val="17"/>
          <w:szCs w:val="17"/>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as well as our results and the number of options that will vest. These parameters include the expected volatility of our share price over the expected term of the options, the risk-free interest rate assumption, the share option exercise and forfeitures behaviors and expected dividends.</w:t>
      </w:r>
    </w:p>
    <w:p>
      <w:pPr>
        <w:spacing w:after="0" w:line="22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Prior to the initial public offering of our ordinary shares, the fair value of our ordinary shares was determined in good faith by our management and approved by our board of directors. Our management considered the fair value of our ordinary shares based on a number of objective and subjective variables, consistent with the methodologies outlined in the American Institute of Certified Public Accountants Practice Aid, Valuation of Private-Held-Company Equity Securities issued as Compensation, referred to as the AICPA Practice Aid.</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Upon the commencement of public trading of our ordinary shares in February 2018 in connection with our initial public offering, estimates by our board of directors are no longer necessary to determine the fair value of ordinary shares.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83" w:lineRule="exact"/>
        <w:rPr>
          <w:sz w:val="20"/>
          <w:szCs w:val="20"/>
          <w:color w:val="auto"/>
        </w:rPr>
      </w:pPr>
    </w:p>
    <w:p>
      <w:pPr>
        <w:ind w:right="140" w:firstLine="383"/>
        <w:spacing w:after="0" w:line="257" w:lineRule="auto"/>
        <w:rPr>
          <w:sz w:val="20"/>
          <w:szCs w:val="20"/>
          <w:color w:val="auto"/>
        </w:rPr>
      </w:pPr>
      <w:r>
        <w:rPr>
          <w:rFonts w:ascii="Arial" w:cs="Arial" w:eastAsia="Arial" w:hAnsi="Arial"/>
          <w:sz w:val="18"/>
          <w:szCs w:val="18"/>
          <w:color w:val="auto"/>
        </w:rPr>
        <w:t>In November 2016, the FASB issued ASU 2016-18, Statement of Cash Flows (Topic 230): Restricted Cash (a Consensus of the FASB Emerging Issues Task Force) (“ASU 2016-18”), which requires entities to include amounts generally described as restricted cash and restricted cash equivalents in cash and cash equivalents when reconciling beginning-of-period and end-of-period total amounts shown on the statement of cash flows. ASU 2016-18 is effective for annual reporting periods (including interim periods within those annual reporting periods) beginning after December 15, 2017. This resulted in a decrease to net cash used in investing activities of $350 in 2018.</w:t>
      </w:r>
    </w:p>
    <w:p>
      <w:pPr>
        <w:spacing w:after="0" w:line="242" w:lineRule="exact"/>
        <w:rPr>
          <w:sz w:val="20"/>
          <w:szCs w:val="20"/>
          <w:color w:val="auto"/>
        </w:rPr>
      </w:pPr>
    </w:p>
    <w:p>
      <w:pPr>
        <w:ind w:right="20" w:firstLine="383"/>
        <w:spacing w:after="0" w:line="293" w:lineRule="auto"/>
        <w:rPr>
          <w:sz w:val="20"/>
          <w:szCs w:val="20"/>
          <w:color w:val="auto"/>
        </w:rPr>
      </w:pPr>
      <w:r>
        <w:rPr>
          <w:rFonts w:ascii="Arial" w:cs="Arial" w:eastAsia="Arial" w:hAnsi="Arial"/>
          <w:sz w:val="16"/>
          <w:szCs w:val="16"/>
          <w:color w:val="auto"/>
        </w:rPr>
        <w:t>In January 2016, the FASB issued ASU No. 2016-01, Financial Instruments—Overall (Subtopic 825-10), which addresses certain aspects of recognition, measurement, presentation, and disclosure of financial instruments. The amended guidance requires changes in the fair value of equity investments to be recognized through net income, rather than other comprehensive income. Adoption of the standard will be applied through a cumulative one-time adjustment to retained earnings. This standard was adopted on January 1, 2018 and its accumulative adjustment had no material impact on the Company's financial statements. In addition, in February 2018, the FASB issued ASU No. 2018-03 which includes technical corrections and improvements to clarify the guidance in ASU No. 2016-01. This standard, adopted as of January 1, 2018, had no material impact on the Company’s financial statements.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283" w:lineRule="exact"/>
        <w:rPr>
          <w:sz w:val="20"/>
          <w:szCs w:val="20"/>
          <w:color w:val="auto"/>
        </w:rPr>
      </w:pPr>
    </w:p>
    <w:p>
      <w:pPr>
        <w:jc w:val="both"/>
        <w:ind w:firstLine="383"/>
        <w:spacing w:after="0" w:line="284" w:lineRule="auto"/>
        <w:rPr>
          <w:sz w:val="20"/>
          <w:szCs w:val="20"/>
          <w:color w:val="auto"/>
        </w:rPr>
      </w:pPr>
      <w:r>
        <w:rPr>
          <w:rFonts w:ascii="Arial" w:cs="Arial" w:eastAsia="Arial" w:hAnsi="Arial"/>
          <w:sz w:val="16"/>
          <w:szCs w:val="16"/>
          <w:color w:val="auto"/>
        </w:rPr>
        <w:t>On April 5, 2012, the JOBS Act was signed into law. Subject to certain conditions set forth in the JOBS Act, as an “emerging growth company,” we elected or may elect to rely on certain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w:t>
      </w:r>
    </w:p>
    <w:p>
      <w:pPr>
        <w:spacing w:after="0" w:line="3" w:lineRule="exact"/>
        <w:rPr>
          <w:sz w:val="20"/>
          <w:szCs w:val="20"/>
          <w:color w:val="auto"/>
        </w:rPr>
      </w:pPr>
    </w:p>
    <w:p>
      <w:pPr>
        <w:ind w:left="5580" w:right="4640" w:hanging="5572"/>
        <w:spacing w:after="0" w:line="837" w:lineRule="auto"/>
        <w:tabs>
          <w:tab w:leader="none" w:pos="264" w:val="left"/>
        </w:tabs>
        <w:numPr>
          <w:ilvl w:val="0"/>
          <w:numId w:val="58"/>
        </w:numPr>
        <w:rPr>
          <w:rFonts w:ascii="Arial" w:cs="Arial" w:eastAsia="Arial" w:hAnsi="Arial"/>
          <w:sz w:val="17"/>
          <w:szCs w:val="17"/>
          <w:color w:val="auto"/>
        </w:rPr>
      </w:pPr>
      <w:r>
        <w:rPr>
          <w:rFonts w:ascii="Arial" w:cs="Arial" w:eastAsia="Arial" w:hAnsi="Arial"/>
          <w:sz w:val="17"/>
          <w:szCs w:val="17"/>
          <w:color w:val="auto"/>
        </w:rPr>
        <w:t>the date on which we are deemed to be a “large accelerated filer” under the Exchange Act. 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2466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06" w:name="page107"/>
    <w:bookmarkEnd w:id="106"/>
    <w:p>
      <w:pPr>
        <w:ind w:left="660" w:hanging="652"/>
        <w:spacing w:after="0"/>
        <w:tabs>
          <w:tab w:leader="none" w:pos="66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Liquidity and Capital Resources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We do not currently have any approved products other than the first generic version of Zovirax® (acyclovir) cream, 5% for which Perrigo, our collaborator, received final FDA approval in February 2019.</w:t>
      </w:r>
    </w:p>
    <w:p>
      <w:pPr>
        <w:spacing w:after="0" w:line="24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From inception through December 31, 2018, we have funded our operations primarily through proceeds from our initial public offering, the issuance of equity securities and loans from our shareholder in the aggregate amount of $65.34 million, funding received from the IIA in the aggregate amount of approximately $1.4 million and from amounts received pursuant to past collaboration agreements in the aggregate amount of $28.5 million. We automatically converted our outstanding promissory note between us and our controlling shareholder into an aggregate of 5,444,825 ordinary shares immediately prior to the closing of our initial public offering. For a description of the conversion of our shareholder loan agreement, see “Item 7. Major Shareholders and Related Party Transactions – B. Related Party Transactions — Loan Agreements with Our Controlling Shareholder.” As of December 31, 2018, our cash and cash equivalents was $5.3 million.</w:t>
      </w:r>
    </w:p>
    <w:p>
      <w:pPr>
        <w:spacing w:after="0" w:line="243" w:lineRule="exact"/>
        <w:rPr>
          <w:sz w:val="20"/>
          <w:szCs w:val="20"/>
          <w:color w:val="auto"/>
        </w:rPr>
      </w:pPr>
    </w:p>
    <w:p>
      <w:pPr>
        <w:jc w:val="both"/>
        <w:ind w:right="20" w:firstLine="427"/>
        <w:spacing w:after="0" w:line="259" w:lineRule="auto"/>
        <w:rPr>
          <w:sz w:val="20"/>
          <w:szCs w:val="20"/>
          <w:color w:val="auto"/>
        </w:rPr>
      </w:pPr>
      <w:r>
        <w:rPr>
          <w:rFonts w:ascii="Arial" w:cs="Arial" w:eastAsia="Arial" w:hAnsi="Arial"/>
          <w:sz w:val="18"/>
          <w:szCs w:val="18"/>
          <w:color w:val="auto"/>
        </w:rPr>
        <w:t>On February 5, 2018, we announced the closing of our initial public offering of 7,187,500 ordinary shares at a public offering price of $12.00 per ordinary share, which included the exercise in full by the underwriters of their option to purchase up to 937,500 additional shares. The aggregate net proceeds to us from the offering were approximately $78.8 million, after deducting underwriting discounts and commissions and before deducting other offering expenses.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7420" w:type="dxa"/>
            <w:vAlign w:val="bottom"/>
          </w:tcPr>
          <w:p>
            <w:pPr>
              <w:ind w:left="360"/>
              <w:spacing w:after="0"/>
              <w:rPr>
                <w:sz w:val="20"/>
                <w:szCs w:val="20"/>
                <w:color w:val="auto"/>
              </w:rPr>
            </w:pPr>
            <w:r>
              <w:rPr>
                <w:rFonts w:ascii="Arial" w:cs="Arial" w:eastAsia="Arial" w:hAnsi="Arial"/>
                <w:sz w:val="18"/>
                <w:szCs w:val="18"/>
                <w:color w:val="auto"/>
              </w:rPr>
              <w:t>The table below summarizes our cash flow activities for the indicated periods:</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8"/>
        </w:trPr>
        <w:tc>
          <w:tcPr>
            <w:tcW w:w="20" w:type="dxa"/>
            <w:vAlign w:val="bottom"/>
          </w:tcPr>
          <w:p>
            <w:pPr>
              <w:spacing w:after="0"/>
              <w:rPr>
                <w:sz w:val="24"/>
                <w:szCs w:val="24"/>
                <w:color w:val="auto"/>
              </w:rPr>
            </w:pPr>
          </w:p>
        </w:tc>
        <w:tc>
          <w:tcPr>
            <w:tcW w:w="7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Year Ended</w:t>
            </w: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gridSpan w:val="3"/>
          </w:tcPr>
          <w:p>
            <w:pPr>
              <w:jc w:val="center"/>
              <w:ind w:right="180"/>
              <w:spacing w:after="0"/>
              <w:rPr>
                <w:sz w:val="20"/>
                <w:szCs w:val="20"/>
                <w:color w:val="auto"/>
              </w:rPr>
            </w:pPr>
            <w:r>
              <w:rPr>
                <w:rFonts w:ascii="Arial" w:cs="Arial" w:eastAsia="Arial" w:hAnsi="Arial"/>
                <w:sz w:val="18"/>
                <w:szCs w:val="18"/>
                <w:b w:val="1"/>
                <w:bCs w:val="1"/>
                <w:color w:val="auto"/>
                <w:w w:val="90"/>
              </w:rPr>
              <w:t>December 31,</w:t>
            </w: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 thousands)</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(18,495)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(24,089)</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(23,467)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(391)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(5,938)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(54,735)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28,000</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78,819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Increase (decrease) in cash and cash equivalents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1,106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(1,977)</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617</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25"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Net cash used in operating activities was $24.1 million during the year ended December 31, 2017, compared to $23.5 million during the year ended December 31, 2018.</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07" w:name="page108"/>
    <w:bookmarkEnd w:id="107"/>
    <w:p>
      <w:pPr>
        <w:jc w:val="both"/>
        <w:ind w:firstLine="360"/>
        <w:spacing w:after="0" w:line="264" w:lineRule="auto"/>
        <w:rPr>
          <w:sz w:val="20"/>
          <w:szCs w:val="20"/>
          <w:color w:val="auto"/>
        </w:rPr>
      </w:pPr>
      <w:r>
        <w:rPr>
          <w:rFonts w:ascii="Arial" w:cs="Arial" w:eastAsia="Arial" w:hAnsi="Arial"/>
          <w:sz w:val="18"/>
          <w:szCs w:val="18"/>
          <w:color w:val="auto"/>
        </w:rPr>
        <w:t>Net cash used in operating activities in the year ended December 31, 2018 primarily resulted from our loss for the period of $32.2 million during the period, a net increase of $3.2 million in working capital, $4.7 million due to share-based compensation expenses and $0.8 million of depreciation of property and equipment.</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Net cash used in operating activities in the year ended December 31, 2017 primarily resulted from our loss for the period of $31.6 million during the period, a net increase of $2.9 million in working capital and $0.3 million used as advance payments for long term receivables in connection with the Phase II clinical trial for TWIN and the collaboration agreement with Perrigo UK for Ivermectin cream, 1%. This amount was partially offset by $6.2 million due to acquiring an in-process research and development product candidate, $0.5 million of depreciation of property and equipment and $4 million of share based compensation expenses.</w:t>
      </w:r>
    </w:p>
    <w:p>
      <w:pPr>
        <w:spacing w:after="0" w:line="242"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Net cash used in operating activities was $18.5 million during the year ended December 31, 2016, compared to $24.1 million during the year ended December 31, 2017.</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2016 primarily resulted from our loss of $20.8 million during the period, and from $1.4 million used as advance payments for long-term receivables in connection with the Phase II clinical trial for TWIN and the collaboration agreement with Perrigo UK for ivermectin cream, 1%. This amount was partially offset by $1.0 million of share-based compensation expenses, a net reduction of $2.3 million in working capital and $0.4 million of depreciation of property and equipment.</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Net cash used in investing activities was $5.9 million during the year ended December 31, 2017, compared to net cash used in investing activities of $55.0 million during the year ended December 31, 2018. Net cash used in investing activities during the year ended December 31, 2017 and 2018 was primarily related to net investment in marketable securities of $56.7 million and investment in property and equipment of $1.1 million, partially offset by a decrease of $3.0 million in bank deposits.</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Net cash used in investing activities was $0.4 million during the year ended December 31, 2016, compared to net cash used in investing activities of $5.9 million during the year ended December 31, 2017. Net cash used for investing activities during the years ended December 31, 2016 and 2017 was primarily related to investments in property and equipment and a bank deposit.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08" w:name="page109"/>
    <w:bookmarkEnd w:id="108"/>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Net cash from financing activities was $28.0 million during the year ended December 31, 2017, compared to $78.8 million during the year ended December 31, 2018. The increase was due to the Company’s initial public offering in 2018, net of issuance cost, of $78.8 million.</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Net cash from financing activities was $20.0 million during the year ended December 31, 2016, compared to $28.0 million during the year ended December 31, 2017. Financing activities in these years consisted of loans received from our controlling shareholder.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the net proceeds of our initial public offering, together with our existing cash resources, will be sufficient to enable us to fund our operating expenses and capital expenditure requirements for at least the next 12 months and will be sufficient for the completion of (i) our Phase III clinical program for TWIN for the treatment of acne and (ii) our Phase III clinical program for Epsolay® for the treatment of subtype II rosacea.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22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242" w:lineRule="exact"/>
        <w:rPr>
          <w:sz w:val="20"/>
          <w:szCs w:val="20"/>
          <w:color w:val="auto"/>
        </w:rPr>
      </w:pPr>
    </w:p>
    <w:p>
      <w:pPr>
        <w:ind w:left="720" w:hanging="361"/>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progress and expenses of our pre-clinical studies, clinical trials and other research and development activities;</w:t>
      </w:r>
    </w:p>
    <w:p>
      <w:pPr>
        <w:spacing w:after="0" w:line="23" w:lineRule="exact"/>
        <w:rPr>
          <w:rFonts w:ascii="Arial" w:cs="Arial" w:eastAsia="Arial" w:hAnsi="Arial"/>
          <w:sz w:val="18"/>
          <w:szCs w:val="18"/>
          <w:color w:val="auto"/>
        </w:rPr>
      </w:pPr>
    </w:p>
    <w:p>
      <w:pPr>
        <w:ind w:left="720" w:hanging="361"/>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scope, prioritization and number of our clinical trials and other research and development programs;</w:t>
      </w:r>
    </w:p>
    <w:p>
      <w:pPr>
        <w:spacing w:after="0" w:line="9" w:lineRule="exact"/>
        <w:rPr>
          <w:rFonts w:ascii="Arial" w:cs="Arial" w:eastAsia="Arial" w:hAnsi="Arial"/>
          <w:sz w:val="18"/>
          <w:szCs w:val="18"/>
          <w:color w:val="auto"/>
        </w:rPr>
      </w:pPr>
    </w:p>
    <w:p>
      <w:pPr>
        <w:ind w:left="720" w:hanging="361"/>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expenses and timing of obtaining regulatory approval, if any, for our product candidates;</w:t>
      </w:r>
    </w:p>
    <w:p>
      <w:pPr>
        <w:spacing w:after="0" w:line="9" w:lineRule="exact"/>
        <w:rPr>
          <w:rFonts w:ascii="Arial" w:cs="Arial" w:eastAsia="Arial" w:hAnsi="Arial"/>
          <w:sz w:val="18"/>
          <w:szCs w:val="18"/>
          <w:color w:val="auto"/>
        </w:rPr>
      </w:pPr>
    </w:p>
    <w:p>
      <w:pPr>
        <w:ind w:left="720" w:hanging="361"/>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expenses of filing, prosecuting, enforcing and defending patent claims and other intellectual property rights;</w:t>
      </w:r>
    </w:p>
    <w:p>
      <w:pPr>
        <w:spacing w:after="0" w:line="9" w:lineRule="exact"/>
        <w:rPr>
          <w:rFonts w:ascii="Arial" w:cs="Arial" w:eastAsia="Arial" w:hAnsi="Arial"/>
          <w:sz w:val="18"/>
          <w:szCs w:val="18"/>
          <w:color w:val="auto"/>
        </w:rPr>
      </w:pPr>
    </w:p>
    <w:p>
      <w:pPr>
        <w:ind w:left="720" w:hanging="361"/>
        <w:spacing w:after="0" w:line="250" w:lineRule="auto"/>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expenses of, and timing for, expanding our manufacturing agreements for production of sufficient clinical and commercial quantities of our product candidates; and</w:t>
      </w:r>
    </w:p>
    <w:p>
      <w:pPr>
        <w:ind w:left="720" w:hanging="361"/>
        <w:spacing w:after="0" w:line="261" w:lineRule="auto"/>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potential expenses of contracting with third parties to provide marketing and distribution services for us or for building such capacities internally.</w:t>
      </w:r>
    </w:p>
    <w:p>
      <w:pPr>
        <w:spacing w:after="0" w:line="238"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Other than revenue that we expect to generate commencing in 2019 from a collaboration between us and Perrigo with respect to the first generic version of Zovirax® (acyclovir) cream, 5%, until we can generate recurring revenues, we expect to satisfy our future cash needs through the net proceeds from our initial public offering,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09" w:name="page110"/>
    <w:bookmarkEnd w:id="109"/>
    <w:p>
      <w:pPr>
        <w:ind w:left="680" w:hanging="672"/>
        <w:spacing w:after="0"/>
        <w:tabs>
          <w:tab w:leader="none" w:pos="680" w:val="left"/>
        </w:tabs>
        <w:numPr>
          <w:ilvl w:val="0"/>
          <w:numId w:val="61"/>
        </w:numPr>
        <w:rPr>
          <w:rFonts w:ascii="Arial" w:cs="Arial" w:eastAsia="Arial" w:hAnsi="Arial"/>
          <w:sz w:val="18"/>
          <w:szCs w:val="18"/>
          <w:b w:val="1"/>
          <w:bCs w:val="1"/>
          <w:color w:val="auto"/>
        </w:rPr>
      </w:pPr>
      <w:r>
        <w:rPr>
          <w:rFonts w:ascii="Arial" w:cs="Arial" w:eastAsia="Arial" w:hAnsi="Arial"/>
          <w:sz w:val="18"/>
          <w:szCs w:val="18"/>
          <w:b w:val="1"/>
          <w:bCs w:val="1"/>
          <w:color w:val="auto"/>
        </w:rPr>
        <w:t>Research and Development, Patents and Licenses</w:t>
      </w:r>
    </w:p>
    <w:p>
      <w:pPr>
        <w:spacing w:after="0" w:line="283" w:lineRule="exact"/>
        <w:rPr>
          <w:sz w:val="20"/>
          <w:szCs w:val="20"/>
          <w:color w:val="auto"/>
        </w:rPr>
      </w:pPr>
    </w:p>
    <w:p>
      <w:pPr>
        <w:jc w:val="both"/>
        <w:ind w:firstLine="383"/>
        <w:spacing w:after="0" w:line="257" w:lineRule="auto"/>
        <w:rPr>
          <w:sz w:val="20"/>
          <w:szCs w:val="20"/>
          <w:color w:val="auto"/>
        </w:rPr>
      </w:pPr>
      <w:r>
        <w:rPr>
          <w:rFonts w:ascii="Arial" w:cs="Arial" w:eastAsia="Arial" w:hAnsi="Arial"/>
          <w:sz w:val="18"/>
          <w:szCs w:val="18"/>
          <w:color w:val="auto"/>
        </w:rPr>
        <w:t>For a description of our research and development programs and the amounts that we have incurred over the last three years pursuant to those programs, please see “Item 5. Operating and Financial Review and Prospects — A. Operating Results — Research and Development Expenses”; “Item 5. Operating and Financial Review and Prospects — A. Operating Results — Year Ended December 31, 2017 compared to Year ended December 31, 2018 - Research and Development Expenses”; and “Item 5. Operating and Financial Review and Prospects — A. Operating Results — Year Ended December 31, 2016 compared to Year ended December 31, 2017 - Research and Development Expenses.”</w:t>
      </w:r>
    </w:p>
    <w:p>
      <w:pPr>
        <w:spacing w:after="0" w:line="238" w:lineRule="exact"/>
        <w:rPr>
          <w:sz w:val="20"/>
          <w:szCs w:val="20"/>
          <w:color w:val="auto"/>
        </w:rPr>
      </w:pPr>
    </w:p>
    <w:p>
      <w:pPr>
        <w:ind w:left="680" w:hanging="672"/>
        <w:spacing w:after="0"/>
        <w:tabs>
          <w:tab w:leader="none" w:pos="680" w:val="left"/>
        </w:tabs>
        <w:numPr>
          <w:ilvl w:val="0"/>
          <w:numId w:val="62"/>
        </w:numPr>
        <w:rPr>
          <w:rFonts w:ascii="Arial" w:cs="Arial" w:eastAsia="Arial" w:hAnsi="Arial"/>
          <w:sz w:val="18"/>
          <w:szCs w:val="18"/>
          <w:b w:val="1"/>
          <w:bCs w:val="1"/>
          <w:color w:val="auto"/>
        </w:rPr>
      </w:pPr>
      <w:r>
        <w:rPr>
          <w:rFonts w:ascii="Arial" w:cs="Arial" w:eastAsia="Arial" w:hAnsi="Arial"/>
          <w:sz w:val="18"/>
          <w:szCs w:val="18"/>
          <w:b w:val="1"/>
          <w:bCs w:val="1"/>
          <w:color w:val="auto"/>
        </w:rPr>
        <w:t>Trend Information</w:t>
      </w:r>
    </w:p>
    <w:p>
      <w:pPr>
        <w:spacing w:after="0" w:line="283" w:lineRule="exact"/>
        <w:rPr>
          <w:sz w:val="20"/>
          <w:szCs w:val="20"/>
          <w:color w:val="auto"/>
        </w:rPr>
      </w:pPr>
    </w:p>
    <w:p>
      <w:pPr>
        <w:jc w:val="both"/>
        <w:ind w:right="20" w:firstLine="383"/>
        <w:spacing w:after="0" w:line="312" w:lineRule="auto"/>
        <w:rPr>
          <w:sz w:val="20"/>
          <w:szCs w:val="20"/>
          <w:color w:val="auto"/>
        </w:rPr>
      </w:pPr>
      <w:r>
        <w:rPr>
          <w:rFonts w:ascii="Arial" w:cs="Arial" w:eastAsia="Arial" w:hAnsi="Arial"/>
          <w:sz w:val="16"/>
          <w:szCs w:val="16"/>
          <w:color w:val="auto"/>
        </w:rPr>
        <w:t>Other than as disclosed elsewhere in this annual report, we are not aware of any trends, uncertainties, demands, commitments or events for the period from January 1, 2018 to December 31, 2018 that are reasonably likely to have a material adverse effect on our revenue, income, profitability, liquidity or capital resources, or that caused that disclosed financial information to be not necessarily indicative of future operating results or financial condition.</w:t>
      </w:r>
    </w:p>
    <w:p>
      <w:pPr>
        <w:spacing w:after="0" w:line="197" w:lineRule="exact"/>
        <w:rPr>
          <w:sz w:val="20"/>
          <w:szCs w:val="20"/>
          <w:color w:val="auto"/>
        </w:rPr>
      </w:pPr>
    </w:p>
    <w:p>
      <w:pPr>
        <w:ind w:left="720" w:hanging="712"/>
        <w:spacing w:after="0"/>
        <w:tabs>
          <w:tab w:leader="none" w:pos="72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Off-Balance Sheet Arrangements</w:t>
      </w:r>
    </w:p>
    <w:p>
      <w:pPr>
        <w:spacing w:after="0" w:line="283"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We do not have any, and during the periods presented we did not have any, off-balance sheet arrangements as defined in the rules and regulations of the SEC.</w:t>
      </w:r>
    </w:p>
    <w:p>
      <w:pPr>
        <w:spacing w:after="0" w:line="220" w:lineRule="exact"/>
        <w:rPr>
          <w:sz w:val="20"/>
          <w:szCs w:val="20"/>
          <w:color w:val="auto"/>
        </w:rPr>
      </w:pPr>
    </w:p>
    <w:p>
      <w:pPr>
        <w:ind w:left="680" w:hanging="672"/>
        <w:spacing w:after="0"/>
        <w:tabs>
          <w:tab w:leader="none" w:pos="680" w:val="left"/>
        </w:tabs>
        <w:numPr>
          <w:ilvl w:val="0"/>
          <w:numId w:val="64"/>
        </w:numPr>
        <w:rPr>
          <w:rFonts w:ascii="Arial" w:cs="Arial" w:eastAsia="Arial" w:hAnsi="Arial"/>
          <w:sz w:val="18"/>
          <w:szCs w:val="18"/>
          <w:b w:val="1"/>
          <w:bCs w:val="1"/>
          <w:color w:val="auto"/>
        </w:rPr>
      </w:pPr>
      <w:r>
        <w:rPr>
          <w:rFonts w:ascii="Arial" w:cs="Arial" w:eastAsia="Arial" w:hAnsi="Arial"/>
          <w:sz w:val="18"/>
          <w:szCs w:val="18"/>
          <w:b w:val="1"/>
          <w:bCs w:val="1"/>
          <w:color w:val="auto"/>
        </w:rPr>
        <w:t>Tabular Disclosure of Contractual Obligations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contractual obligations as of December 31, 2018:</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gridSpan w:val="2"/>
          </w:tcPr>
          <w:p>
            <w:pPr>
              <w:ind w:left="240"/>
              <w:spacing w:after="0"/>
              <w:rPr>
                <w:sz w:val="20"/>
                <w:szCs w:val="20"/>
                <w:color w:val="auto"/>
              </w:rPr>
            </w:pPr>
            <w:r>
              <w:rPr>
                <w:rFonts w:ascii="Arial" w:cs="Arial" w:eastAsia="Arial" w:hAnsi="Arial"/>
                <w:sz w:val="18"/>
                <w:szCs w:val="18"/>
                <w:b w:val="1"/>
                <w:bCs w:val="1"/>
                <w:color w:val="auto"/>
                <w:w w:val="92"/>
              </w:rPr>
              <w:t>Less than</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More than</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520" w:type="dxa"/>
            <w:vAlign w:val="bottom"/>
          </w:tcPr>
          <w:p>
            <w:pPr>
              <w:spacing w:after="0"/>
              <w:rPr>
                <w:sz w:val="20"/>
                <w:szCs w:val="20"/>
                <w:color w:val="auto"/>
              </w:rPr>
            </w:pPr>
          </w:p>
        </w:tc>
        <w:tc>
          <w:tcPr>
            <w:tcW w:w="1040" w:type="dxa"/>
            <w:vAlign w:val="bottom"/>
            <w:gridSpan w:val="2"/>
          </w:tcPr>
          <w:p>
            <w:pPr>
              <w:ind w:left="240"/>
              <w:spacing w:after="0"/>
              <w:rPr>
                <w:sz w:val="20"/>
                <w:szCs w:val="20"/>
                <w:color w:val="auto"/>
              </w:rPr>
            </w:pPr>
            <w:r>
              <w:rPr>
                <w:rFonts w:ascii="Arial" w:cs="Arial" w:eastAsia="Arial" w:hAnsi="Arial"/>
                <w:sz w:val="18"/>
                <w:szCs w:val="18"/>
                <w:b w:val="1"/>
                <w:bCs w:val="1"/>
                <w:color w:val="auto"/>
              </w:rPr>
              <w:t>1 year</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ind w:left="120"/>
              <w:spacing w:after="0"/>
              <w:rPr>
                <w:sz w:val="20"/>
                <w:szCs w:val="20"/>
                <w:color w:val="auto"/>
              </w:rPr>
            </w:pPr>
            <w:r>
              <w:rPr>
                <w:rFonts w:ascii="Arial" w:cs="Arial" w:eastAsia="Arial" w:hAnsi="Arial"/>
                <w:sz w:val="18"/>
                <w:szCs w:val="18"/>
                <w:b w:val="1"/>
                <w:bCs w:val="1"/>
                <w:color w:val="auto"/>
                <w:w w:val="86"/>
              </w:rPr>
              <w:t>1 – 3 years</w:t>
            </w: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8"/>
                <w:szCs w:val="18"/>
                <w:b w:val="1"/>
                <w:bCs w:val="1"/>
                <w:color w:val="auto"/>
                <w:w w:val="99"/>
              </w:rPr>
              <w:t>3 – 5 years</w:t>
            </w: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5 years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18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(in thousands)</w:t>
            </w:r>
          </w:p>
        </w:tc>
        <w:tc>
          <w:tcPr>
            <w:tcW w:w="240" w:type="dxa"/>
            <w:vAlign w:val="bottom"/>
            <w:tcBorders>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obligations (1)</w:t>
            </w:r>
          </w:p>
        </w:tc>
        <w:tc>
          <w:tcPr>
            <w:tcW w:w="6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954</w:t>
            </w:r>
          </w:p>
        </w:tc>
        <w:tc>
          <w:tcPr>
            <w:tcW w:w="10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477</w:t>
            </w:r>
          </w:p>
        </w:tc>
        <w:tc>
          <w:tcPr>
            <w:tcW w:w="9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9"/>
              </w:rPr>
              <w:t>954</w:t>
            </w:r>
          </w:p>
        </w:tc>
        <w:tc>
          <w:tcPr>
            <w:tcW w:w="9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EEFF"/>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520" w:type="dxa"/>
            <w:vAlign w:val="bottom"/>
            <w:tcBorders>
              <w:right w:val="single" w:sz="8" w:color="CCEEFF"/>
            </w:tcBorders>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Total</w:t>
            </w:r>
          </w:p>
        </w:tc>
        <w:tc>
          <w:tcPr>
            <w:tcW w:w="66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954</w:t>
            </w:r>
          </w:p>
        </w:tc>
        <w:tc>
          <w:tcPr>
            <w:tcW w:w="104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477</w:t>
            </w:r>
          </w:p>
        </w:tc>
        <w:tc>
          <w:tcPr>
            <w:tcW w:w="9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954</w:t>
            </w:r>
          </w:p>
        </w:tc>
        <w:tc>
          <w:tcPr>
            <w:tcW w:w="940" w:type="dxa"/>
            <w:vAlign w:val="bottom"/>
          </w:tcPr>
          <w:p>
            <w:pPr>
              <w:spacing w:after="0"/>
              <w:rPr>
                <w:sz w:val="18"/>
                <w:szCs w:val="18"/>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62865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28650"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5580" w:right="1180" w:hanging="5572"/>
        <w:spacing w:after="0" w:line="794" w:lineRule="auto"/>
        <w:tabs>
          <w:tab w:leader="none" w:pos="3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Operating lease obligations consist of payments pursuant to several lease agreements that are scheduled to expire on December 31, 2020. 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246620"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10" w:name="page111"/>
    <w:bookmarkEnd w:id="110"/>
    <w:p>
      <w:pPr>
        <w:spacing w:after="0"/>
        <w:tabs>
          <w:tab w:leader="none" w:pos="11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DIRECTORS, SENIOR MANAGEMENT AND EMPLOYEES</w:t>
      </w:r>
    </w:p>
    <w:p>
      <w:pPr>
        <w:spacing w:after="0" w:line="279" w:lineRule="exact"/>
        <w:rPr>
          <w:sz w:val="20"/>
          <w:szCs w:val="20"/>
          <w:color w:val="auto"/>
        </w:rPr>
      </w:pPr>
    </w:p>
    <w:p>
      <w:pPr>
        <w:ind w:left="640" w:hanging="632"/>
        <w:spacing w:after="0"/>
        <w:tabs>
          <w:tab w:leader="none" w:pos="640"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color w:val="auto"/>
        </w:rPr>
        <w:t>Directors and Senior Management</w:t>
      </w:r>
    </w:p>
    <w:p>
      <w:pPr>
        <w:spacing w:after="0" w:line="283"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The following table sets forth information concerning our directors and senior management, which includes members of our administrative, supervisory and management bodies, including their ages, as of the date of this annual report:</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gridSpan w:val="2"/>
          </w:tcPr>
          <w:p>
            <w:pPr>
              <w:ind w:left="40"/>
              <w:spacing w:after="0"/>
              <w:rPr>
                <w:sz w:val="20"/>
                <w:szCs w:val="20"/>
                <w:color w:val="auto"/>
              </w:rPr>
            </w:pPr>
            <w:r>
              <w:rPr>
                <w:rFonts w:ascii="Arial" w:cs="Arial" w:eastAsia="Arial" w:hAnsi="Arial"/>
                <w:sz w:val="18"/>
                <w:szCs w:val="18"/>
                <w:b w:val="1"/>
                <w:bCs w:val="1"/>
                <w:color w:val="auto"/>
              </w:rPr>
              <w:t>Name</w:t>
            </w:r>
          </w:p>
        </w:tc>
        <w:tc>
          <w:tcPr>
            <w:tcW w:w="220" w:type="dxa"/>
            <w:vAlign w:val="bottom"/>
          </w:tcPr>
          <w:p>
            <w:pPr>
              <w:spacing w:after="0"/>
              <w:rPr>
                <w:sz w:val="20"/>
                <w:szCs w:val="20"/>
                <w:color w:val="auto"/>
              </w:rPr>
            </w:pPr>
          </w:p>
        </w:tc>
        <w:tc>
          <w:tcPr>
            <w:tcW w:w="600" w:type="dxa"/>
            <w:vAlign w:val="bottom"/>
          </w:tcPr>
          <w:p>
            <w:pPr>
              <w:ind w:left="20"/>
              <w:spacing w:after="0"/>
              <w:rPr>
                <w:sz w:val="20"/>
                <w:szCs w:val="20"/>
                <w:color w:val="auto"/>
              </w:rPr>
            </w:pPr>
            <w:r>
              <w:rPr>
                <w:rFonts w:ascii="Arial" w:cs="Arial" w:eastAsia="Arial" w:hAnsi="Arial"/>
                <w:sz w:val="18"/>
                <w:szCs w:val="18"/>
                <w:b w:val="1"/>
                <w:bCs w:val="1"/>
                <w:color w:val="auto"/>
              </w:rPr>
              <w:t>Age</w:t>
            </w:r>
          </w:p>
        </w:tc>
        <w:tc>
          <w:tcPr>
            <w:tcW w:w="100" w:type="dxa"/>
            <w:vAlign w:val="bottom"/>
          </w:tcPr>
          <w:p>
            <w:pPr>
              <w:spacing w:after="0"/>
              <w:rPr>
                <w:sz w:val="20"/>
                <w:szCs w:val="20"/>
                <w:color w:val="auto"/>
              </w:rPr>
            </w:pPr>
          </w:p>
        </w:tc>
        <w:tc>
          <w:tcPr>
            <w:tcW w:w="7000" w:type="dxa"/>
            <w:vAlign w:val="bottom"/>
          </w:tcPr>
          <w:p>
            <w:pPr>
              <w:ind w:left="40"/>
              <w:spacing w:after="0"/>
              <w:rPr>
                <w:sz w:val="20"/>
                <w:szCs w:val="20"/>
                <w:color w:val="auto"/>
              </w:rPr>
            </w:pPr>
            <w:r>
              <w:rPr>
                <w:rFonts w:ascii="Arial" w:cs="Arial" w:eastAsia="Arial" w:hAnsi="Arial"/>
                <w:sz w:val="18"/>
                <w:szCs w:val="18"/>
                <w:b w:val="1"/>
                <w:bCs w:val="1"/>
                <w:color w:val="auto"/>
              </w:rPr>
              <w:t>Position</w:t>
            </w:r>
          </w:p>
        </w:tc>
      </w:tr>
      <w:tr>
        <w:trPr>
          <w:trHeight w:val="34"/>
        </w:trPr>
        <w:tc>
          <w:tcPr>
            <w:tcW w:w="118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000" w:type="dxa"/>
            <w:vAlign w:val="bottom"/>
            <w:tcBorders>
              <w:bottom w:val="single" w:sz="8" w:color="auto"/>
            </w:tcBorders>
          </w:tcPr>
          <w:p>
            <w:pPr>
              <w:spacing w:after="0"/>
              <w:rPr>
                <w:sz w:val="2"/>
                <w:szCs w:val="2"/>
                <w:color w:val="auto"/>
              </w:rPr>
            </w:pPr>
          </w:p>
        </w:tc>
      </w:tr>
      <w:tr>
        <w:trPr>
          <w:trHeight w:val="243"/>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Moshe Arkin</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Chairman of the Board of Directors</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Alon Seri-Levy</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Chief Executive Officer and Director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Gilad Mamlok</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Chief Financial Officer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Ofer Toledano</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Research and Development</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Ofra Levy-Hacham</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Clinical and Regulatory Affairs</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Karine Neimann</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Projects and Planning, Chief Chemist</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Itzik Yosef</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Operations</w:t>
            </w:r>
          </w:p>
        </w:tc>
      </w:tr>
      <w:tr>
        <w:trPr>
          <w:trHeight w:val="256"/>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Dubi Zamir</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65</w:t>
            </w:r>
          </w:p>
        </w:tc>
        <w:tc>
          <w:tcPr>
            <w:tcW w:w="100" w:type="dxa"/>
            <w:vAlign w:val="bottom"/>
          </w:tcPr>
          <w:p>
            <w:pPr>
              <w:spacing w:after="0"/>
              <w:rPr>
                <w:sz w:val="22"/>
                <w:szCs w:val="22"/>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Special Projects</w:t>
            </w:r>
          </w:p>
        </w:tc>
      </w:tr>
      <w:tr>
        <w:trPr>
          <w:trHeight w:val="216"/>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Nissim Bilman</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18"/>
                <w:szCs w:val="18"/>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Vice President Quality</w:t>
            </w:r>
          </w:p>
        </w:tc>
      </w:tr>
      <w:tr>
        <w:trPr>
          <w:trHeight w:val="23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John Vieira</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0"/>
                <w:szCs w:val="20"/>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U.S. Head of Commercialization</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Itai Arkin</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Director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Shmuel Ben Zvi</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Director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Hani Lerman</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Director</w:t>
            </w:r>
          </w:p>
        </w:tc>
      </w:tr>
      <w:tr>
        <w:trPr>
          <w:trHeight w:val="256"/>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Yaffa Krindel-Sieradzki</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64</w:t>
            </w:r>
          </w:p>
        </w:tc>
        <w:tc>
          <w:tcPr>
            <w:tcW w:w="100" w:type="dxa"/>
            <w:vAlign w:val="bottom"/>
          </w:tcPr>
          <w:p>
            <w:pPr>
              <w:spacing w:after="0"/>
              <w:rPr>
                <w:sz w:val="22"/>
                <w:szCs w:val="22"/>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Director</w:t>
            </w:r>
          </w:p>
        </w:tc>
      </w:tr>
      <w:tr>
        <w:trPr>
          <w:trHeight w:val="23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Jonathan B. Siegel</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45</w:t>
            </w:r>
          </w:p>
        </w:tc>
        <w:tc>
          <w:tcPr>
            <w:tcW w:w="100" w:type="dxa"/>
            <w:vAlign w:val="bottom"/>
          </w:tcPr>
          <w:p>
            <w:pPr>
              <w:spacing w:after="0"/>
              <w:rPr>
                <w:sz w:val="20"/>
                <w:szCs w:val="20"/>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Director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Ran Gottfried</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External Director</w:t>
            </w:r>
          </w:p>
        </w:tc>
      </w:tr>
      <w:tr>
        <w:trPr>
          <w:trHeight w:val="270"/>
        </w:trPr>
        <w:tc>
          <w:tcPr>
            <w:tcW w:w="3500" w:type="dxa"/>
            <w:vAlign w:val="bottom"/>
            <w:gridSpan w:val="2"/>
          </w:tcPr>
          <w:p>
            <w:pPr>
              <w:ind w:left="40"/>
              <w:spacing w:after="0"/>
              <w:rPr>
                <w:sz w:val="20"/>
                <w:szCs w:val="20"/>
                <w:color w:val="auto"/>
              </w:rPr>
            </w:pPr>
            <w:r>
              <w:rPr>
                <w:rFonts w:ascii="Arial" w:cs="Arial" w:eastAsia="Arial" w:hAnsi="Arial"/>
                <w:sz w:val="18"/>
                <w:szCs w:val="18"/>
                <w:color w:val="auto"/>
              </w:rPr>
              <w:t>Jerrold S. Gattegno</w:t>
            </w:r>
          </w:p>
        </w:tc>
        <w:tc>
          <w:tcPr>
            <w:tcW w:w="820" w:type="dxa"/>
            <w:vAlign w:val="bottom"/>
            <w:gridSpan w:val="2"/>
          </w:tcPr>
          <w:p>
            <w:pPr>
              <w:ind w:left="24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3"/>
                <w:szCs w:val="23"/>
                <w:color w:val="auto"/>
              </w:rPr>
            </w:pPr>
          </w:p>
        </w:tc>
        <w:tc>
          <w:tcPr>
            <w:tcW w:w="7000" w:type="dxa"/>
            <w:vAlign w:val="bottom"/>
          </w:tcPr>
          <w:p>
            <w:pPr>
              <w:ind w:left="40"/>
              <w:spacing w:after="0"/>
              <w:rPr>
                <w:sz w:val="20"/>
                <w:szCs w:val="20"/>
                <w:color w:val="auto"/>
              </w:rPr>
            </w:pPr>
            <w:r>
              <w:rPr>
                <w:rFonts w:ascii="Arial" w:cs="Arial" w:eastAsia="Arial" w:hAnsi="Arial"/>
                <w:sz w:val="18"/>
                <w:szCs w:val="18"/>
                <w:color w:val="auto"/>
              </w:rPr>
              <w:t>External Director</w:t>
            </w:r>
          </w:p>
        </w:tc>
      </w:tr>
      <w:tr>
        <w:trPr>
          <w:trHeight w:val="473"/>
        </w:trPr>
        <w:tc>
          <w:tcPr>
            <w:tcW w:w="1180" w:type="dxa"/>
            <w:vAlign w:val="bottom"/>
            <w:tcBorders>
              <w:bottom w:val="single" w:sz="8" w:color="auto"/>
            </w:tcBorders>
          </w:tcPr>
          <w:p>
            <w:pPr>
              <w:spacing w:after="0"/>
              <w:rPr>
                <w:sz w:val="24"/>
                <w:szCs w:val="24"/>
                <w:color w:val="auto"/>
              </w:rPr>
            </w:pPr>
          </w:p>
        </w:tc>
        <w:tc>
          <w:tcPr>
            <w:tcW w:w="2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0" w:type="dxa"/>
            <w:vAlign w:val="bottom"/>
          </w:tcPr>
          <w:p>
            <w:pPr>
              <w:spacing w:after="0"/>
              <w:rPr>
                <w:sz w:val="24"/>
                <w:szCs w:val="24"/>
                <w:color w:val="auto"/>
              </w:rPr>
            </w:pPr>
          </w:p>
        </w:tc>
      </w:tr>
    </w:tbl>
    <w:p>
      <w:pPr>
        <w:spacing w:after="0" w:line="200" w:lineRule="exact"/>
        <w:rPr>
          <w:sz w:val="20"/>
          <w:szCs w:val="20"/>
          <w:color w:val="auto"/>
        </w:rPr>
      </w:pPr>
    </w:p>
    <w:p>
      <w:pPr>
        <w:spacing w:after="0" w:line="353"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b w:val="1"/>
          <w:bCs w:val="1"/>
          <w:i w:val="1"/>
          <w:iCs w:val="1"/>
          <w:color w:val="auto"/>
        </w:rPr>
        <w:t xml:space="preserve">Mr. Moshe Arkin </w:t>
      </w:r>
      <w:r>
        <w:rPr>
          <w:rFonts w:ascii="Arial" w:cs="Arial" w:eastAsia="Arial" w:hAnsi="Arial"/>
          <w:sz w:val="18"/>
          <w:szCs w:val="18"/>
          <w:color w:val="auto"/>
        </w:rPr>
        <w:t>has served as chairman of our board of directors since 2014. Mr. Moshe Arkin currently sits on the board of directors of several health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care companies including Exalenz Bioscience Ltd., a developer of advanced systems for gastrointestinal and liver disorders since 2006, Quiet Therapeutics Ltd., a cancer drug discovery and development and SoniVie Ltd., a private company developing systems for the treatment of pulmonary arterial hypertension. From 2005 to 2008, Mr. Moshe Arkin served as the head of generics at Perrigo Company and from 2005 until 2011 as the vice chairman of its board of directors. Prior to joining us, Mr. Moshe Arkin served as a director of cCAM Biotherapeutics Ltd., a company focused on the discovery and development of novel immunotherapies to treat cancer from 2012 until its acquisition in 2015 by Merck &amp; Co., Inc. Mr. Moshe Arkin served as chairman of Agis Industries Ltd. from its inception in 1972 until its acquisition by Perrigo Company in 2005. Mr. Moshe Arkin holds a B.A. in psychology from the Tel Aviv University, Israel.</w:t>
      </w:r>
    </w:p>
    <w:p>
      <w:pPr>
        <w:spacing w:after="0" w:line="246"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Alon Seri-Levy </w:t>
      </w:r>
      <w:r>
        <w:rPr>
          <w:rFonts w:ascii="Arial" w:cs="Arial" w:eastAsia="Arial" w:hAnsi="Arial"/>
          <w:sz w:val="18"/>
          <w:szCs w:val="18"/>
          <w:color w:val="auto"/>
        </w:rPr>
        <w:t>co-founded Sol-Gel and has served as our chief executive officer since our inception in 1997 and as a member of our board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our initial public offering.</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11" w:name="page112"/>
    <w:bookmarkEnd w:id="111"/>
    <w:p>
      <w:pPr>
        <w:jc w:val="both"/>
        <w:ind w:firstLine="360"/>
        <w:spacing w:after="0" w:line="255" w:lineRule="auto"/>
        <w:rPr>
          <w:sz w:val="20"/>
          <w:szCs w:val="20"/>
          <w:color w:val="auto"/>
        </w:rPr>
      </w:pPr>
      <w:r>
        <w:rPr>
          <w:rFonts w:ascii="Arial" w:cs="Arial" w:eastAsia="Arial" w:hAnsi="Arial"/>
          <w:sz w:val="18"/>
          <w:szCs w:val="18"/>
          <w:b w:val="1"/>
          <w:bCs w:val="1"/>
          <w:i w:val="1"/>
          <w:iCs w:val="1"/>
          <w:color w:val="auto"/>
        </w:rPr>
        <w:t xml:space="preserve">Mr. Gilad Mamlok </w:t>
      </w:r>
      <w:r>
        <w:rPr>
          <w:rFonts w:ascii="Arial" w:cs="Arial" w:eastAsia="Arial" w:hAnsi="Arial"/>
          <w:sz w:val="18"/>
          <w:szCs w:val="18"/>
          <w:color w:val="auto"/>
        </w:rPr>
        <w:t>has served as our chief financial officer since March 2017. From August 2015 to January 2017, Mr. Mamlok served as the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for Medigus Ltd., a medical device company dual listed on Nasdaq and the Tel Aviv Stock Exchange, or the TASE. From September 2005 to March 2015, Mr. Mamlok served as senior vice president, global finance and 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247"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b w:val="1"/>
          <w:bCs w:val="1"/>
          <w:i w:val="1"/>
          <w:iCs w:val="1"/>
          <w:color w:val="auto"/>
        </w:rPr>
        <w:t xml:space="preserve">Dr. Ofer Toledano </w:t>
      </w:r>
      <w:r>
        <w:rPr>
          <w:rFonts w:ascii="Arial" w:cs="Arial" w:eastAsia="Arial" w:hAnsi="Arial"/>
          <w:sz w:val="16"/>
          <w:szCs w:val="16"/>
          <w:color w:val="auto"/>
        </w:rPr>
        <w:t>has served as our vice president of research and development since 2004. Prior to joining Sol-Gel, Dr. Toledano served as manager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201"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b w:val="1"/>
          <w:bCs w:val="1"/>
          <w:i w:val="1"/>
          <w:iCs w:val="1"/>
          <w:color w:val="auto"/>
        </w:rPr>
        <w:t xml:space="preserve">Dr. Ofra Levy-Hacham </w:t>
      </w:r>
      <w:r>
        <w:rPr>
          <w:rFonts w:ascii="Arial" w:cs="Arial" w:eastAsia="Arial" w:hAnsi="Arial"/>
          <w:sz w:val="17"/>
          <w:szCs w:val="17"/>
          <w:color w:val="auto"/>
        </w:rPr>
        <w:t>has served as our vice president of clinical and regulatory affairs since 2011. Prior to joining Sol-Gel, Dr. Levy-Hacham served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as a scientific specialist and project manager at Biotechnology General Ltd., a wholly owned subsidiary of Ferring Pharmaceuticals Ltd., and a fully integrated biopharmaceutical services private company from 2010 until 2011. From 2008 until 2010, Dr. Levy-Hacham served as vice president chemistry, manufacturing and controls at HealOr Ltd., a private company engaging in the development of therapeutics for the treatment of various skin disorders. Dr. Levy-Hacham holds a Ph.D. in chemistry from The Technion – Israel Institute of Technology, Israel.</w:t>
      </w:r>
    </w:p>
    <w:p>
      <w:pPr>
        <w:spacing w:after="0" w:line="22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b w:val="1"/>
          <w:bCs w:val="1"/>
          <w:i w:val="1"/>
          <w:iCs w:val="1"/>
          <w:color w:val="auto"/>
        </w:rPr>
        <w:t xml:space="preserve">Dr. Karine Neimann </w:t>
      </w:r>
      <w:r>
        <w:rPr>
          <w:rFonts w:ascii="Arial" w:cs="Arial" w:eastAsia="Arial" w:hAnsi="Arial"/>
          <w:sz w:val="18"/>
          <w:szCs w:val="18"/>
          <w:color w:val="auto"/>
        </w:rPr>
        <w:t>has served as our vice president of projects and planning and chief chemist since September 2016. Since joining us in 2008, Dr.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Neimann held various positions, including as chief chemist and laboratory manager. Dr. Neimann holds a Ph.D. in chemistry from The Hebrew University of Jerusalem, Israel.</w:t>
      </w:r>
    </w:p>
    <w:p>
      <w:pPr>
        <w:spacing w:after="0" w:line="235"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b w:val="1"/>
          <w:bCs w:val="1"/>
          <w:i w:val="1"/>
          <w:iCs w:val="1"/>
          <w:color w:val="auto"/>
        </w:rPr>
        <w:t xml:space="preserve">Dr. Itzik Yosef </w:t>
      </w:r>
      <w:r>
        <w:rPr>
          <w:rFonts w:ascii="Arial" w:cs="Arial" w:eastAsia="Arial" w:hAnsi="Arial"/>
          <w:sz w:val="18"/>
          <w:szCs w:val="18"/>
          <w:color w:val="auto"/>
        </w:rPr>
        <w:t>has served as our vice president of operations since August 2016. Since joining us in 2010, Dr. Yosef held various positions including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head of operations. Dr. Yosef holds a Ph.D. in chemistry from The Hebrew University of Jerusalem, Israel.</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b w:val="1"/>
          <w:bCs w:val="1"/>
          <w:i w:val="1"/>
          <w:iCs w:val="1"/>
          <w:color w:val="auto"/>
        </w:rPr>
        <w:t xml:space="preserve">Dr. Dubi Zamir </w:t>
      </w:r>
      <w:r>
        <w:rPr>
          <w:rFonts w:ascii="Arial" w:cs="Arial" w:eastAsia="Arial" w:hAnsi="Arial"/>
          <w:sz w:val="18"/>
          <w:szCs w:val="18"/>
          <w:color w:val="auto"/>
        </w:rPr>
        <w:t>has served as our vice president special projects since August 2016. Prior to joining us, Dr. Zamir lead the R&amp;D group in Cima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NanoTech Ltd., a private company developing sophisticated nanotechnology 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Mr. Nissim Bilman </w:t>
      </w:r>
      <w:r>
        <w:rPr>
          <w:rFonts w:ascii="Arial" w:cs="Arial" w:eastAsia="Arial" w:hAnsi="Arial"/>
          <w:sz w:val="18"/>
          <w:szCs w:val="18"/>
          <w:color w:val="auto"/>
        </w:rPr>
        <w:t>became Vice President Quality of Sol-Gel on the August 15,, 2018. From 2004 until 2018, Mr. Bilman served as CEO of QPRO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Pharma, a project management and consulting company offering services related to the pharmaceutical industry. From 2011 until 2018, he served as the Vice President Drug Development of Exalenz Bioscience. From 2007 until 2010, Mr. Bilman served as VP R&amp;D and Manufacturing and Site Manager for Gelesis Inc./Gelesis R&amp;D Ltd. Mr. Bilman holds a Bachelor Degree in Chemistry and Meteorology, as well as a Master of Science in Applied Chemistry, both from the Hebrew University in Israel.</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12" w:name="page113"/>
    <w:bookmarkEnd w:id="112"/>
    <w:p>
      <w:pPr>
        <w:jc w:val="both"/>
        <w:ind w:firstLine="383"/>
        <w:spacing w:after="0" w:line="255" w:lineRule="auto"/>
        <w:rPr>
          <w:sz w:val="20"/>
          <w:szCs w:val="20"/>
          <w:color w:val="auto"/>
        </w:rPr>
      </w:pPr>
      <w:r>
        <w:rPr>
          <w:rFonts w:ascii="Arial" w:cs="Arial" w:eastAsia="Arial" w:hAnsi="Arial"/>
          <w:sz w:val="18"/>
          <w:szCs w:val="18"/>
          <w:b w:val="1"/>
          <w:bCs w:val="1"/>
          <w:i w:val="1"/>
          <w:iCs w:val="1"/>
          <w:color w:val="auto"/>
        </w:rPr>
        <w:t xml:space="preserve">Mr. John Vieira </w:t>
      </w:r>
      <w:r>
        <w:rPr>
          <w:rFonts w:ascii="Arial" w:cs="Arial" w:eastAsia="Arial" w:hAnsi="Arial"/>
          <w:sz w:val="18"/>
          <w:szCs w:val="18"/>
          <w:color w:val="auto"/>
        </w:rPr>
        <w:t>has served as our U.S. head of commercialization since January 2019. Prior to joining Sol-Gel, Mr. Vieira served in U.S. and Global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Marketing roles at Leo Pharmaceuticals. Prior to Leo Pharmaceuticals, Mr. Vieira was Executive Director, Thrombosis, at Daiichi Sankyo, where he led the global launch of a major anti-coagulant, following various senior leadership roles in the U.S. commercial operations. Prior to Daiichi Sankyo, Mr. Vieira held leadership positions at several healthcare companies, including Organon Biopharmaceuticals and GlaxoSmithKline, successfully launching over six new global and U.S. products in diverse therapeutic areas. Mr. Vieira holds an M.B.A. degree from Rutgers University and a B.A. degree from York University in Toronto, Canada.</w:t>
      </w:r>
    </w:p>
    <w:p>
      <w:pPr>
        <w:spacing w:after="0" w:line="247"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b w:val="1"/>
          <w:bCs w:val="1"/>
          <w:i w:val="1"/>
          <w:iCs w:val="1"/>
          <w:color w:val="auto"/>
        </w:rPr>
        <w:t xml:space="preserve">Mr. Itai Arkin </w:t>
      </w:r>
      <w:r>
        <w:rPr>
          <w:rFonts w:ascii="Arial" w:cs="Arial" w:eastAsia="Arial" w:hAnsi="Arial"/>
          <w:sz w:val="17"/>
          <w:szCs w:val="17"/>
          <w:color w:val="auto"/>
        </w:rPr>
        <w:t>became a member of our board of directors immediately following the pricing of our initial public offering. Mr. Itai Arkin currently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serves as Investment Manager at Arkin Holdings Ltd. and on the boards of directors of Exalenz Bioscience Ltd. and Kamari Pharma. Mr. Itai Arkin is an investment committee member of both Accelmed, a leading Israeli MedTech investment firm since March 2014, and of Sphera Global Healthcare, a leading healthcare hedge fund. Mr. Itai Arkin holds a B.A. in business administration (cum laude) from Interdisciplinary Center, Herzliya, Israel. Mr. Itai Arkin is the son of Mr. Moshe Arkin, the chairman of our board of directors and sole beneficial owner of Arkin Dermatology, our controlling shareholder.</w:t>
      </w:r>
    </w:p>
    <w:p>
      <w:pPr>
        <w:spacing w:after="0" w:line="227"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b w:val="1"/>
          <w:bCs w:val="1"/>
          <w:i w:val="1"/>
          <w:iCs w:val="1"/>
          <w:color w:val="auto"/>
        </w:rPr>
        <w:t xml:space="preserve">Dr. Shmuel (Muli) Ben Zvi </w:t>
      </w:r>
      <w:r>
        <w:rPr>
          <w:rFonts w:ascii="Arial" w:cs="Arial" w:eastAsia="Arial" w:hAnsi="Arial"/>
          <w:sz w:val="16"/>
          <w:szCs w:val="16"/>
          <w:color w:val="auto"/>
        </w:rPr>
        <w:t>became a member of our board of directors immediately following pricing of our initial public offering. Dr. Ben Zvi is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currently a board member and member of the audit, risk management and strategy committees at Bank Leumi.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21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Ms. Hani Lerman </w:t>
      </w:r>
      <w:r>
        <w:rPr>
          <w:rFonts w:ascii="Arial" w:cs="Arial" w:eastAsia="Arial" w:hAnsi="Arial"/>
          <w:sz w:val="18"/>
          <w:szCs w:val="18"/>
          <w:color w:val="auto"/>
        </w:rPr>
        <w:t>became a member of our board of directors immediately following pricing of our initial public offering. Ms. Lerman has served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chief financial officer at Arkin Holdings since 2015. From 2010 until 2014, Ms. Lerman served as chief financial officer of Sansa Security (f/k/a Discretix Technologies), and from 2006 until 2010, she served as chief financial officer of Storwize, which was acquired by IBM in 2010. She serves as a board member of Exalenz Bioscience. She holds a Master's degree in business administration with a major in finance from Tel-Aviv University, Israel, and a B.A. in economics and accounting from Tel-Aviv University, Israel.</w:t>
      </w:r>
    </w:p>
    <w:p>
      <w:pPr>
        <w:spacing w:after="0" w:line="242"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b w:val="1"/>
          <w:bCs w:val="1"/>
          <w:i w:val="1"/>
          <w:iCs w:val="1"/>
          <w:color w:val="auto"/>
        </w:rPr>
        <w:t>Ms. Yaffa Krindel</w:t>
      </w:r>
      <w:r>
        <w:rPr>
          <w:rFonts w:ascii="Arial" w:cs="Arial" w:eastAsia="Arial" w:hAnsi="Arial"/>
          <w:sz w:val="16"/>
          <w:szCs w:val="16"/>
          <w:color w:val="auto"/>
        </w:rPr>
        <w:t>-</w:t>
      </w:r>
      <w:r>
        <w:rPr>
          <w:rFonts w:ascii="Arial" w:cs="Arial" w:eastAsia="Arial" w:hAnsi="Arial"/>
          <w:sz w:val="16"/>
          <w:szCs w:val="16"/>
          <w:b w:val="1"/>
          <w:bCs w:val="1"/>
          <w:i w:val="1"/>
          <w:iCs w:val="1"/>
          <w:color w:val="auto"/>
        </w:rPr>
        <w:t xml:space="preserve">Sieradzki </w:t>
      </w:r>
      <w:r>
        <w:rPr>
          <w:rFonts w:ascii="Arial" w:cs="Arial" w:eastAsia="Arial" w:hAnsi="Arial"/>
          <w:sz w:val="16"/>
          <w:szCs w:val="16"/>
          <w:color w:val="auto"/>
        </w:rPr>
        <w:t>became a member of our board of directors on February 23, 2018. Ms. Krindel-Sieradzki currently serves on the board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Itamar Medical Ltd., a medical device company publicly traded on the Tel Aviv Stock Exchange ("TASE"), BGN Technologies Ltd., the technology transfer company of Ben Gurion University, and two medical device start-up companies, and has served on the board directors of numerous companies publicly traded on Nasdaq. From 1997 until 2007, Ms. Krindel-Sieradzki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13" w:name="page114"/>
    <w:bookmarkEnd w:id="113"/>
    <w:p>
      <w:pPr>
        <w:jc w:val="both"/>
        <w:ind w:firstLine="360"/>
        <w:spacing w:after="0" w:line="272" w:lineRule="auto"/>
        <w:rPr>
          <w:sz w:val="20"/>
          <w:szCs w:val="20"/>
          <w:color w:val="auto"/>
        </w:rPr>
      </w:pPr>
      <w:r>
        <w:rPr>
          <w:rFonts w:ascii="Arial" w:cs="Arial" w:eastAsia="Arial" w:hAnsi="Arial"/>
          <w:sz w:val="17"/>
          <w:szCs w:val="17"/>
          <w:b w:val="1"/>
          <w:bCs w:val="1"/>
          <w:i w:val="1"/>
          <w:iCs w:val="1"/>
          <w:color w:val="auto"/>
        </w:rPr>
        <w:t xml:space="preserve">Jonathan B. Siegel </w:t>
      </w:r>
      <w:r>
        <w:rPr>
          <w:rFonts w:ascii="Arial" w:cs="Arial" w:eastAsia="Arial" w:hAnsi="Arial"/>
          <w:sz w:val="17"/>
          <w:szCs w:val="17"/>
          <w:color w:val="auto"/>
        </w:rPr>
        <w:t>became a member of our board of directors on September 13, 2018. Mr. Siegel is the founder and CEO of JBS Healthcare Ventures.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Previously, he was a partner and healthcare sector head at Kingdon Capital Management. Prior to joining Kingdon, Mr. Siegel was a healthcare portfolio manager at SAC Capital Advisors; an associate director of pharmaceutical and specialty pharmaceutical research at Bear, Stearns &amp; Co.; a pharmaceuticals research associate at Dresdner Kleinwort Wasserstein and a consultant to the Life Sciences Division of Computer Sciences Corporation. Mr. Siegel has worked as a research associate at the Novartis Center for Immunobiology at Harvard Medical School and as a research assistant at Tufts University School of Medicine. He is also a director at Jaguar Health, Inc., a Nasdaq listed company. Mr. Siegel received a BS in Psychology from Tufts University in 1995 and an MBA from Columbia Business School on 1999.</w:t>
      </w:r>
    </w:p>
    <w:p>
      <w:pPr>
        <w:spacing w:after="0" w:line="232"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b w:val="1"/>
          <w:bCs w:val="1"/>
          <w:i w:val="1"/>
          <w:iCs w:val="1"/>
          <w:color w:val="auto"/>
        </w:rPr>
        <w:t xml:space="preserve">Mr. Ran Gottfried </w:t>
      </w:r>
      <w:r>
        <w:rPr>
          <w:rFonts w:ascii="Arial" w:cs="Arial" w:eastAsia="Arial" w:hAnsi="Arial"/>
          <w:sz w:val="16"/>
          <w:szCs w:val="16"/>
          <w:color w:val="auto"/>
        </w:rPr>
        <w:t>became a member of our board of directors immediately following the pricing of our initial public offering and serves as an external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director under the Companies Law.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w:t>
      </w:r>
    </w:p>
    <w:p>
      <w:pPr>
        <w:spacing w:after="0" w:line="21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b w:val="1"/>
          <w:bCs w:val="1"/>
          <w:i w:val="1"/>
          <w:iCs w:val="1"/>
          <w:color w:val="auto"/>
        </w:rPr>
        <w:t xml:space="preserve">Mr. Jerrold S. Gattegno </w:t>
      </w:r>
      <w:r>
        <w:rPr>
          <w:rFonts w:ascii="Arial" w:cs="Arial" w:eastAsia="Arial" w:hAnsi="Arial"/>
          <w:sz w:val="17"/>
          <w:szCs w:val="17"/>
          <w:color w:val="auto"/>
        </w:rPr>
        <w:t>became a member of our board of directors immediately following the pricing of our initial public offering and serves as 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external director under the Companies Law. Mr. Gattegno worked in the New York, Washington D.C. and London offices of Deloitte Touche Tohmatsu Limited, a public accounting firm, from 1973 until 2015, where he served in various senior positions, including as the founding partner of Deloitte’s multistate tax practice and as a managing partner in Deloitte’s Washington National Tax Office. Mr. Gattegno has served as a member of the Hispanic Association of Colleges and Universities finance and audit committee from 2012 until 2015. Mr. Gattegno is a certified public accountant and holds a B.S. in accounting (cum laude) from the City University of New York and an M.B.A. in taxation (with honors) from Pace University, New York.</w:t>
      </w:r>
    </w:p>
    <w:p>
      <w:pPr>
        <w:spacing w:after="0" w:line="228" w:lineRule="exact"/>
        <w:rPr>
          <w:sz w:val="20"/>
          <w:szCs w:val="20"/>
          <w:color w:val="auto"/>
        </w:rPr>
      </w:pPr>
    </w:p>
    <w:p>
      <w:pPr>
        <w:ind w:left="660" w:hanging="652"/>
        <w:spacing w:after="0"/>
        <w:tabs>
          <w:tab w:leader="none" w:pos="660" w:val="left"/>
        </w:tabs>
        <w:numPr>
          <w:ilvl w:val="0"/>
          <w:numId w:val="67"/>
        </w:numPr>
        <w:rPr>
          <w:rFonts w:ascii="Arial" w:cs="Arial" w:eastAsia="Arial" w:hAnsi="Arial"/>
          <w:sz w:val="18"/>
          <w:szCs w:val="18"/>
          <w:b w:val="1"/>
          <w:bCs w:val="1"/>
          <w:color w:val="auto"/>
        </w:rPr>
      </w:pPr>
      <w:r>
        <w:rPr>
          <w:rFonts w:ascii="Arial" w:cs="Arial" w:eastAsia="Arial" w:hAnsi="Arial"/>
          <w:sz w:val="18"/>
          <w:szCs w:val="18"/>
          <w:b w:val="1"/>
          <w:bCs w:val="1"/>
          <w:color w:val="auto"/>
        </w:rPr>
        <w:t>Compensation</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aggregate compensation paid by us to our executive officers and directors for the year ended December 31, 2018 was approximately $4.8 million. This amount includes approximately $0.2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14" w:name="page115"/>
    <w:bookmarkEnd w:id="114"/>
    <w:p>
      <w:pPr>
        <w:jc w:val="both"/>
        <w:ind w:firstLine="383"/>
        <w:spacing w:after="0" w:line="264" w:lineRule="auto"/>
        <w:rPr>
          <w:sz w:val="20"/>
          <w:szCs w:val="20"/>
          <w:color w:val="auto"/>
        </w:rPr>
      </w:pPr>
      <w:r>
        <w:rPr>
          <w:rFonts w:ascii="Arial" w:cs="Arial" w:eastAsia="Arial" w:hAnsi="Arial"/>
          <w:sz w:val="18"/>
          <w:szCs w:val="18"/>
          <w:color w:val="auto"/>
        </w:rPr>
        <w:t>The table and summary below outline the compensation granted to our five highest compensated directors and officers during the year ended December 31, 2018. The compensation detailed in the table below refers to actual compensation granted or paid to the director or officer during the year 2018.</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700"/>
        <w:spacing w:after="0"/>
        <w:rPr>
          <w:sz w:val="20"/>
          <w:szCs w:val="20"/>
          <w:color w:val="auto"/>
        </w:rPr>
      </w:pPr>
      <w:r>
        <w:rPr>
          <w:rFonts w:ascii="Arial" w:cs="Arial" w:eastAsia="Arial" w:hAnsi="Arial"/>
          <w:sz w:val="16"/>
          <w:szCs w:val="16"/>
          <w:b w:val="1"/>
          <w:bCs w:val="1"/>
          <w:color w:val="auto"/>
        </w:rPr>
        <w:t>Base Salary 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Value of</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spacing w:after="0"/>
        <w:tabs>
          <w:tab w:leader="none" w:pos="960" w:val="left"/>
        </w:tabs>
        <w:rPr>
          <w:sz w:val="20"/>
          <w:szCs w:val="20"/>
          <w:color w:val="auto"/>
        </w:rPr>
      </w:pPr>
      <w:r>
        <w:rPr>
          <w:rFonts w:ascii="Arial" w:cs="Arial" w:eastAsia="Arial" w:hAnsi="Arial"/>
          <w:sz w:val="14"/>
          <w:szCs w:val="14"/>
          <w:b w:val="1"/>
          <w:bCs w:val="1"/>
          <w:color w:val="auto"/>
        </w:rPr>
        <w:t>Value</w:t>
      </w:r>
      <w:r>
        <w:rPr>
          <w:sz w:val="20"/>
          <w:szCs w:val="20"/>
          <w:color w:val="auto"/>
        </w:rPr>
        <w:tab/>
      </w:r>
      <w:r>
        <w:rPr>
          <w:rFonts w:ascii="Arial" w:cs="Arial" w:eastAsia="Arial" w:hAnsi="Arial"/>
          <w:sz w:val="14"/>
          <w:szCs w:val="14"/>
          <w:b w:val="1"/>
          <w:bCs w:val="1"/>
          <w:color w:val="auto"/>
        </w:rPr>
        <w:t>of</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Based</w:t>
      </w:r>
    </w:p>
    <w:p>
      <w:pPr>
        <w:spacing w:after="0" w:line="1" w:lineRule="exact"/>
        <w:rPr>
          <w:sz w:val="20"/>
          <w:szCs w:val="20"/>
          <w:color w:val="auto"/>
        </w:rPr>
      </w:pPr>
    </w:p>
    <w:p>
      <w:pPr>
        <w:sectPr>
          <w:pgSz w:w="11900" w:h="16838" w:orient="portrait"/>
          <w:cols w:equalWidth="0" w:num="3">
            <w:col w:w="5820" w:space="300"/>
            <w:col w:w="640" w:space="720"/>
            <w:col w:w="394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207"/>
        </w:trPr>
        <w:tc>
          <w:tcPr>
            <w:tcW w:w="4580" w:type="dxa"/>
            <w:vAlign w:val="bottom"/>
          </w:tcPr>
          <w:p>
            <w:pPr>
              <w:spacing w:after="0"/>
              <w:rPr>
                <w:sz w:val="17"/>
                <w:szCs w:val="17"/>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b w:val="1"/>
                <w:bCs w:val="1"/>
                <w:color w:val="auto"/>
              </w:rPr>
              <w:t>Other</w:t>
            </w: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Social</w:t>
            </w:r>
          </w:p>
        </w:tc>
        <w:tc>
          <w:tcPr>
            <w:tcW w:w="1460" w:type="dxa"/>
            <w:vAlign w:val="bottom"/>
            <w:gridSpan w:val="3"/>
          </w:tcPr>
          <w:p>
            <w:pPr>
              <w:ind w:left="120"/>
              <w:spacing w:after="0"/>
              <w:rPr>
                <w:sz w:val="20"/>
                <w:szCs w:val="20"/>
                <w:color w:val="auto"/>
              </w:rPr>
            </w:pPr>
            <w:r>
              <w:rPr>
                <w:rFonts w:ascii="Arial" w:cs="Arial" w:eastAsia="Arial" w:hAnsi="Arial"/>
                <w:sz w:val="18"/>
                <w:szCs w:val="18"/>
                <w:b w:val="1"/>
                <w:bCs w:val="1"/>
                <w:color w:val="auto"/>
              </w:rPr>
              <w:t>Compensation</w:t>
            </w:r>
          </w:p>
        </w:tc>
        <w:tc>
          <w:tcPr>
            <w:tcW w:w="1240" w:type="dxa"/>
            <w:vAlign w:val="bottom"/>
            <w:gridSpan w:val="2"/>
          </w:tcPr>
          <w:p>
            <w:pPr>
              <w:spacing w:after="0"/>
              <w:rPr>
                <w:sz w:val="20"/>
                <w:szCs w:val="20"/>
                <w:color w:val="auto"/>
              </w:rPr>
            </w:pPr>
            <w:r>
              <w:rPr>
                <w:rFonts w:ascii="Arial" w:cs="Arial" w:eastAsia="Arial" w:hAnsi="Arial"/>
                <w:sz w:val="18"/>
                <w:szCs w:val="18"/>
                <w:b w:val="1"/>
                <w:bCs w:val="1"/>
                <w:color w:val="auto"/>
              </w:rPr>
              <w:t>All Other</w:t>
            </w: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4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spacing w:after="0"/>
              <w:rPr>
                <w:sz w:val="20"/>
                <w:szCs w:val="20"/>
                <w:color w:val="auto"/>
              </w:rPr>
            </w:pPr>
            <w:r>
              <w:rPr>
                <w:rFonts w:ascii="Arial" w:cs="Arial" w:eastAsia="Arial" w:hAnsi="Arial"/>
                <w:sz w:val="18"/>
                <w:szCs w:val="18"/>
                <w:b w:val="1"/>
                <w:bCs w:val="1"/>
                <w:color w:val="auto"/>
                <w:w w:val="97"/>
              </w:rPr>
              <w:t>Compensation</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4580" w:type="dxa"/>
            <w:vAlign w:val="bottom"/>
          </w:tcPr>
          <w:p>
            <w:pPr>
              <w:spacing w:after="0"/>
              <w:rPr>
                <w:sz w:val="20"/>
                <w:szCs w:val="20"/>
                <w:color w:val="auto"/>
              </w:rPr>
            </w:pPr>
            <w:r>
              <w:rPr>
                <w:rFonts w:ascii="Arial" w:cs="Arial" w:eastAsia="Arial" w:hAnsi="Arial"/>
                <w:sz w:val="18"/>
                <w:szCs w:val="18"/>
                <w:b w:val="1"/>
                <w:bCs w:val="1"/>
                <w:color w:val="auto"/>
              </w:rPr>
              <w:t>Name and Position of director or officer</w:t>
            </w: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8"/>
                <w:szCs w:val="18"/>
                <w:b w:val="1"/>
                <w:bCs w:val="1"/>
                <w:color w:val="auto"/>
              </w:rPr>
              <w:t>Payment (1)</w:t>
            </w:r>
          </w:p>
        </w:tc>
        <w:tc>
          <w:tcPr>
            <w:tcW w:w="140" w:type="dxa"/>
            <w:vAlign w:val="bottom"/>
          </w:tcPr>
          <w:p>
            <w:pPr>
              <w:spacing w:after="0"/>
              <w:rPr>
                <w:sz w:val="20"/>
                <w:szCs w:val="20"/>
                <w:color w:val="auto"/>
              </w:rPr>
            </w:pP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benefits (2)</w:t>
            </w:r>
          </w:p>
        </w:tc>
        <w:tc>
          <w:tcPr>
            <w:tcW w:w="1460" w:type="dxa"/>
            <w:vAlign w:val="bottom"/>
            <w:gridSpan w:val="3"/>
          </w:tcPr>
          <w:p>
            <w:pPr>
              <w:ind w:left="120"/>
              <w:spacing w:after="0"/>
              <w:rPr>
                <w:sz w:val="20"/>
                <w:szCs w:val="20"/>
                <w:color w:val="auto"/>
              </w:rPr>
            </w:pPr>
            <w:r>
              <w:rPr>
                <w:rFonts w:ascii="Arial" w:cs="Arial" w:eastAsia="Arial" w:hAnsi="Arial"/>
                <w:sz w:val="18"/>
                <w:szCs w:val="18"/>
                <w:b w:val="1"/>
                <w:bCs w:val="1"/>
                <w:color w:val="auto"/>
              </w:rPr>
              <w:t>Granted (3)</w:t>
            </w:r>
          </w:p>
        </w:tc>
        <w:tc>
          <w:tcPr>
            <w:tcW w:w="1140" w:type="dxa"/>
            <w:vAlign w:val="bottom"/>
          </w:tcPr>
          <w:p>
            <w:pPr>
              <w:spacing w:after="0"/>
              <w:rPr>
                <w:sz w:val="20"/>
                <w:szCs w:val="20"/>
                <w:color w:val="auto"/>
              </w:rPr>
            </w:pPr>
            <w:r>
              <w:rPr>
                <w:rFonts w:ascii="Arial" w:cs="Arial" w:eastAsia="Arial" w:hAnsi="Arial"/>
                <w:sz w:val="18"/>
                <w:szCs w:val="18"/>
                <w:b w:val="1"/>
                <w:bCs w:val="1"/>
                <w:color w:val="auto"/>
              </w:rPr>
              <w:t>(4)</w:t>
            </w:r>
          </w:p>
        </w:tc>
        <w:tc>
          <w:tcPr>
            <w:tcW w:w="100" w:type="dxa"/>
            <w:vAlign w:val="bottom"/>
          </w:tcPr>
          <w:p>
            <w:pPr>
              <w:spacing w:after="0"/>
              <w:rPr>
                <w:sz w:val="20"/>
                <w:szCs w:val="20"/>
                <w:color w:val="auto"/>
              </w:rPr>
            </w:pP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Total</w:t>
            </w:r>
          </w:p>
        </w:tc>
      </w:tr>
      <w:tr>
        <w:trPr>
          <w:trHeight w:val="27"/>
        </w:trPr>
        <w:tc>
          <w:tcPr>
            <w:tcW w:w="4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shd w:val="clear" w:color="auto" w:fill="000000"/>
          </w:tcPr>
          <w:p>
            <w:pPr>
              <w:spacing w:after="0"/>
              <w:rPr>
                <w:sz w:val="2"/>
                <w:szCs w:val="2"/>
                <w:color w:val="auto"/>
              </w:rPr>
            </w:pPr>
          </w:p>
        </w:tc>
        <w:tc>
          <w:tcPr>
            <w:tcW w:w="260" w:type="dxa"/>
            <w:vAlign w:val="bottom"/>
            <w:gridSpan w:val="2"/>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20" w:type="dxa"/>
            <w:vAlign w:val="bottom"/>
            <w:gridSpan w:val="2"/>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10060" w:type="dxa"/>
            <w:vAlign w:val="bottom"/>
            <w:gridSpan w:val="12"/>
          </w:tcPr>
          <w:p>
            <w:pPr>
              <w:ind w:left="1360"/>
              <w:spacing w:after="0"/>
              <w:rPr>
                <w:sz w:val="20"/>
                <w:szCs w:val="20"/>
                <w:color w:val="auto"/>
              </w:rPr>
            </w:pPr>
            <w:r>
              <w:rPr>
                <w:rFonts w:ascii="Arial" w:cs="Arial" w:eastAsia="Arial" w:hAnsi="Arial"/>
                <w:sz w:val="18"/>
                <w:szCs w:val="18"/>
                <w:b w:val="1"/>
                <w:bCs w:val="1"/>
                <w:color w:val="auto"/>
                <w:w w:val="90"/>
              </w:rPr>
              <w:t>(Amounts in U.S.$ dollars are based on 2018 monthly average representative U.S. dollar – NIS rate of exchange)</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Alon Seri-Levy / CEO</w:t>
            </w:r>
          </w:p>
        </w:tc>
        <w:tc>
          <w:tcPr>
            <w:tcW w:w="14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294</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58</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881</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1,306</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Gilad Mamlok / CFO</w:t>
            </w:r>
          </w:p>
        </w:tc>
        <w:tc>
          <w:tcPr>
            <w:tcW w:w="1420" w:type="dxa"/>
            <w:vAlign w:val="bottom"/>
            <w:gridSpan w:val="3"/>
          </w:tcPr>
          <w:p>
            <w:pPr>
              <w:jc w:val="right"/>
              <w:ind w:right="140"/>
              <w:spacing w:after="0"/>
              <w:rPr>
                <w:sz w:val="20"/>
                <w:szCs w:val="20"/>
                <w:color w:val="auto"/>
              </w:rPr>
            </w:pPr>
            <w:r>
              <w:rPr>
                <w:rFonts w:ascii="Arial" w:cs="Arial" w:eastAsia="Arial" w:hAnsi="Arial"/>
                <w:sz w:val="18"/>
                <w:szCs w:val="18"/>
                <w:color w:val="auto"/>
              </w:rPr>
              <w:t>216</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48</w:t>
            </w: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842</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81</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1,187</w:t>
            </w: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Ofer Toledano / VP R&amp;D</w:t>
            </w:r>
          </w:p>
        </w:tc>
        <w:tc>
          <w:tcPr>
            <w:tcW w:w="14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187</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52</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432</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731</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Ofra Levy-Hacham / VP RA</w:t>
            </w:r>
          </w:p>
        </w:tc>
        <w:tc>
          <w:tcPr>
            <w:tcW w:w="1420" w:type="dxa"/>
            <w:vAlign w:val="bottom"/>
            <w:gridSpan w:val="3"/>
          </w:tcPr>
          <w:p>
            <w:pPr>
              <w:jc w:val="right"/>
              <w:ind w:right="140"/>
              <w:spacing w:after="0"/>
              <w:rPr>
                <w:sz w:val="20"/>
                <w:szCs w:val="20"/>
                <w:color w:val="auto"/>
              </w:rPr>
            </w:pPr>
            <w:r>
              <w:rPr>
                <w:rFonts w:ascii="Arial" w:cs="Arial" w:eastAsia="Arial" w:hAnsi="Arial"/>
                <w:sz w:val="18"/>
                <w:szCs w:val="18"/>
                <w:color w:val="auto"/>
              </w:rPr>
              <w:t>120</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39</w:t>
            </w: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345</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532</w:t>
            </w: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Itzik Yosef / VP Operations</w:t>
            </w:r>
          </w:p>
        </w:tc>
        <w:tc>
          <w:tcPr>
            <w:tcW w:w="14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100</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32</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132</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290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94615</wp:posOffset>
            </wp:positionV>
            <wp:extent cx="138049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380490" cy="8890"/>
                    </a:xfrm>
                    <a:prstGeom prst="rect">
                      <a:avLst/>
                    </a:prstGeom>
                    <a:noFill/>
                  </pic:spPr>
                </pic:pic>
              </a:graphicData>
            </a:graphic>
          </wp:anchor>
        </w:drawing>
      </w:r>
    </w:p>
    <w:p>
      <w:pPr>
        <w:spacing w:after="0" w:line="182" w:lineRule="exact"/>
        <w:rPr>
          <w:sz w:val="20"/>
          <w:szCs w:val="20"/>
          <w:color w:val="auto"/>
        </w:rPr>
      </w:pPr>
    </w:p>
    <w:p>
      <w:pPr>
        <w:ind w:left="340" w:hanging="332"/>
        <w:spacing w:after="0" w:line="258"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“Base Salary or Other Payment” means the aggregate yearly gross monthly salaries or other payments with respect to the Company's Executive Officers and members of the board of directors for the year 2018.</w:t>
      </w:r>
    </w:p>
    <w:p>
      <w:pPr>
        <w:spacing w:after="0" w:line="1" w:lineRule="exact"/>
        <w:rPr>
          <w:rFonts w:ascii="Arial" w:cs="Arial" w:eastAsia="Arial" w:hAnsi="Arial"/>
          <w:sz w:val="18"/>
          <w:szCs w:val="18"/>
          <w:color w:val="auto"/>
        </w:rPr>
      </w:pPr>
    </w:p>
    <w:p>
      <w:pPr>
        <w:ind w:left="340" w:hanging="332"/>
        <w:spacing w:after="0" w:line="250"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“Social Benefits” include payments to the National Insurance Institute, advanced education funds, managers’ insurance and pension funds; vacation pay; and recuperation pay as mandated by Israeli law.</w:t>
      </w:r>
    </w:p>
    <w:p>
      <w:pPr>
        <w:jc w:val="both"/>
        <w:ind w:left="340" w:right="20" w:hanging="332"/>
        <w:spacing w:after="0" w:line="250"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Consists of the fair value of the equity-based compensation granted during 2018 in exchange for the directors and officers services recognized as an expense in profit or loss and is carried to the accumulated deficit under equity. The total amount recognized as an expense over the vesting period of the options.</w:t>
      </w:r>
    </w:p>
    <w:p>
      <w:pPr>
        <w:spacing w:after="0" w:line="1" w:lineRule="exact"/>
        <w:rPr>
          <w:rFonts w:ascii="Arial" w:cs="Arial" w:eastAsia="Arial" w:hAnsi="Arial"/>
          <w:sz w:val="18"/>
          <w:szCs w:val="18"/>
          <w:color w:val="auto"/>
        </w:rPr>
      </w:pPr>
    </w:p>
    <w:p>
      <w:pPr>
        <w:ind w:left="340" w:hanging="332"/>
        <w:spacing w:after="0" w:line="261" w:lineRule="auto"/>
        <w:tabs>
          <w:tab w:leader="none" w:pos="3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“All Other Compensation” includes, among other things, car-related expenses, communication expenses, basic health insurance, holiday presents, and special bonuses the management received in 2018.</w:t>
      </w:r>
    </w:p>
    <w:p>
      <w:pPr>
        <w:spacing w:after="0" w:line="23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addition, all of our directors and executive officers are covered under our directors’ and executive officers’ liability insurance policies and were granted letters of indemnification by us.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In February 2018, we paid a one-time management compensation payment associated with our initial public offering of approximately $0.13 million.</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28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“Item 3. Key Information – D. Risk Factors — Risks Related to Employee Matters — Under applicable employment laws, we may not be able to enforce covenants not to compete” for a further description of the enforceability of non-competition clauses.</w:t>
      </w:r>
    </w:p>
    <w:p>
      <w:pPr>
        <w:spacing w:after="0" w:line="247"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For information on exemption and indemnification letters granted to our directors and officers, please see “ – C. Board Practices – Exculpation, Insurance and Indemnification of Directors and Officers”.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115" w:name="page116"/>
    <w:bookmarkEnd w:id="115"/>
    <w:p>
      <w:pPr>
        <w:spacing w:after="0"/>
        <w:rPr>
          <w:sz w:val="20"/>
          <w:szCs w:val="20"/>
          <w:color w:val="auto"/>
        </w:rPr>
      </w:pPr>
      <w:r>
        <w:rPr>
          <w:rFonts w:ascii="Arial" w:cs="Arial" w:eastAsia="Arial" w:hAnsi="Arial"/>
          <w:sz w:val="18"/>
          <w:szCs w:val="18"/>
          <w:b w:val="1"/>
          <w:bCs w:val="1"/>
          <w:color w:val="auto"/>
        </w:rPr>
        <w:t>Director Compensation</w:t>
      </w:r>
    </w:p>
    <w:p>
      <w:pPr>
        <w:spacing w:after="0" w:line="290" w:lineRule="exact"/>
        <w:rPr>
          <w:sz w:val="20"/>
          <w:szCs w:val="20"/>
          <w:color w:val="auto"/>
        </w:rPr>
      </w:pPr>
    </w:p>
    <w:p>
      <w:pPr>
        <w:ind w:firstLine="486"/>
        <w:spacing w:after="0" w:line="279" w:lineRule="auto"/>
        <w:rPr>
          <w:sz w:val="20"/>
          <w:szCs w:val="20"/>
          <w:color w:val="auto"/>
        </w:rPr>
      </w:pPr>
      <w:r>
        <w:rPr>
          <w:rFonts w:ascii="Arial" w:cs="Arial" w:eastAsia="Arial" w:hAnsi="Arial"/>
          <w:sz w:val="21"/>
          <w:szCs w:val="21"/>
          <w:color w:val="auto"/>
        </w:rPr>
        <w:t>We currently pay our external directors and our other independent directors: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w:t>
      </w:r>
    </w:p>
    <w:p>
      <w:pPr>
        <w:spacing w:after="0" w:line="228" w:lineRule="exact"/>
        <w:rPr>
          <w:sz w:val="20"/>
          <w:szCs w:val="20"/>
          <w:color w:val="auto"/>
        </w:rPr>
      </w:pPr>
    </w:p>
    <w:p>
      <w:pPr>
        <w:ind w:right="500" w:firstLine="486"/>
        <w:spacing w:after="0" w:line="276" w:lineRule="auto"/>
        <w:rPr>
          <w:sz w:val="20"/>
          <w:szCs w:val="20"/>
          <w:color w:val="auto"/>
        </w:rPr>
      </w:pPr>
      <w:r>
        <w:rPr>
          <w:rFonts w:ascii="Arial" w:cs="Arial" w:eastAsia="Arial" w:hAnsi="Arial"/>
          <w:sz w:val="22"/>
          <w:szCs w:val="22"/>
          <w:color w:val="auto"/>
        </w:rPr>
        <w:t>There shall be no limit regarding the number and/or hours of meetings, and it includes all meetings of the Board and any Board’s committees.</w:t>
      </w:r>
    </w:p>
    <w:p>
      <w:pPr>
        <w:spacing w:after="0" w:line="228" w:lineRule="exact"/>
        <w:rPr>
          <w:sz w:val="20"/>
          <w:szCs w:val="20"/>
          <w:color w:val="auto"/>
        </w:rPr>
      </w:pPr>
    </w:p>
    <w:p>
      <w:pPr>
        <w:ind w:right="320" w:firstLine="486"/>
        <w:spacing w:after="0" w:line="263" w:lineRule="auto"/>
        <w:rPr>
          <w:sz w:val="20"/>
          <w:szCs w:val="20"/>
          <w:color w:val="auto"/>
        </w:rPr>
      </w:pPr>
      <w:r>
        <w:rPr>
          <w:rFonts w:ascii="Arial" w:cs="Arial" w:eastAsia="Arial" w:hAnsi="Arial"/>
          <w:sz w:val="22"/>
          <w:szCs w:val="22"/>
          <w:color w:val="auto"/>
        </w:rPr>
        <w:t>In addition, on February 15, 2018, our shareholders approved a grant to our external directors and our other independent directors 11,500 Restricted Share Units ("RSU's") for the first three years of their service as a director, with a three-year vesting, one-third of the RSU's to vest after each year (if they continue to serve as directors), and otherwise in accordance with the Company's 2014 Share Incentive Plan.</w:t>
      </w:r>
    </w:p>
    <w:p>
      <w:pPr>
        <w:spacing w:after="0" w:line="242" w:lineRule="exact"/>
        <w:rPr>
          <w:sz w:val="20"/>
          <w:szCs w:val="20"/>
          <w:color w:val="auto"/>
        </w:rPr>
      </w:pPr>
    </w:p>
    <w:p>
      <w:pPr>
        <w:ind w:left="500"/>
        <w:spacing w:after="0"/>
        <w:rPr>
          <w:sz w:val="20"/>
          <w:szCs w:val="20"/>
          <w:color w:val="auto"/>
        </w:rPr>
      </w:pPr>
      <w:r>
        <w:rPr>
          <w:rFonts w:ascii="Arial" w:cs="Arial" w:eastAsia="Arial" w:hAnsi="Arial"/>
          <w:sz w:val="22"/>
          <w:szCs w:val="22"/>
          <w:color w:val="auto"/>
        </w:rPr>
        <w:t>We do not pay compensation to the other directors of the Company in their capacity as directors.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Policy</w:t>
      </w:r>
    </w:p>
    <w:p>
      <w:pPr>
        <w:spacing w:after="0" w:line="28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Our compensation policy, which became effective immediately after the pricing of our initial public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24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 based compensation) may not exceed 85% of each executive officer’s total compensation package with respect to any given calendar year.</w:t>
      </w:r>
    </w:p>
    <w:p>
      <w:pPr>
        <w:spacing w:after="0" w:line="23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16" w:name="page117"/>
    <w:bookmarkEnd w:id="116"/>
    <w:p>
      <w:pPr>
        <w:jc w:val="both"/>
        <w:ind w:firstLine="360"/>
        <w:spacing w:after="0" w:line="259" w:lineRule="auto"/>
        <w:rPr>
          <w:sz w:val="20"/>
          <w:szCs w:val="20"/>
          <w:color w:val="auto"/>
        </w:rPr>
      </w:pPr>
      <w:r>
        <w:rPr>
          <w:rFonts w:ascii="Arial" w:cs="Arial" w:eastAsia="Arial" w:hAnsi="Arial"/>
          <w:sz w:val="18"/>
          <w:szCs w:val="18"/>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241"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23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compensation policy, which was approved by our board of directors and our controlling shareholder on October 2, 2017, became effective upon the pricing of our initial public offering.</w:t>
      </w:r>
    </w:p>
    <w:p>
      <w:pPr>
        <w:spacing w:after="0" w:line="220" w:lineRule="exact"/>
        <w:rPr>
          <w:sz w:val="20"/>
          <w:szCs w:val="20"/>
          <w:color w:val="auto"/>
        </w:rPr>
      </w:pPr>
    </w:p>
    <w:p>
      <w:pPr>
        <w:ind w:left="720" w:hanging="712"/>
        <w:spacing w:after="0"/>
        <w:tabs>
          <w:tab w:leader="none" w:pos="720" w:val="left"/>
        </w:tabs>
        <w:numPr>
          <w:ilvl w:val="0"/>
          <w:numId w:val="69"/>
        </w:numPr>
        <w:rPr>
          <w:rFonts w:ascii="Arial" w:cs="Arial" w:eastAsia="Arial" w:hAnsi="Arial"/>
          <w:sz w:val="18"/>
          <w:szCs w:val="18"/>
          <w:b w:val="1"/>
          <w:bCs w:val="1"/>
          <w:color w:val="auto"/>
        </w:rPr>
      </w:pPr>
      <w:r>
        <w:rPr>
          <w:rFonts w:ascii="Arial" w:cs="Arial" w:eastAsia="Arial" w:hAnsi="Arial"/>
          <w:sz w:val="18"/>
          <w:szCs w:val="18"/>
          <w:b w:val="1"/>
          <w:bCs w:val="1"/>
          <w:color w:val="auto"/>
        </w:rPr>
        <w:t>Board Practices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Appointment of Directors and Terms of Officers</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board of directors consists of eight directors, including two directors who are intended to qualify as external directors, and whose appointment fulfills the requirements of the Companies Law for the company to have two external directors (see “ – External Directors”). These two directors, as well as one additional director, will qualify as independent directors under the corporate governance standards of the Nasdaq corporate governance rules and the independence requirements of Rule 10A-3 of the Exchange Act.</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17" w:name="page118"/>
    <w:bookmarkEnd w:id="117"/>
    <w:p>
      <w:pPr>
        <w:jc w:val="both"/>
        <w:ind w:firstLine="360"/>
        <w:spacing w:after="0" w:line="264" w:lineRule="auto"/>
        <w:rPr>
          <w:sz w:val="20"/>
          <w:szCs w:val="20"/>
          <w:color w:val="auto"/>
        </w:rPr>
      </w:pPr>
      <w:r>
        <w:rPr>
          <w:rFonts w:ascii="Arial" w:cs="Arial" w:eastAsia="Arial" w:hAnsi="Arial"/>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662⁄3% majority shareholder vote.</w:t>
      </w:r>
    </w:p>
    <w:p>
      <w:pPr>
        <w:spacing w:after="0" w:line="235"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directors who are not external directors are divided among the three classes as follows:</w:t>
      </w:r>
    </w:p>
    <w:p>
      <w:pPr>
        <w:spacing w:after="0" w:line="279" w:lineRule="exact"/>
        <w:rPr>
          <w:sz w:val="20"/>
          <w:szCs w:val="20"/>
          <w:color w:val="auto"/>
        </w:rPr>
      </w:pPr>
    </w:p>
    <w:p>
      <w:pPr>
        <w:ind w:left="720" w:hanging="361"/>
        <w:spacing w:after="0" w:line="277" w:lineRule="auto"/>
        <w:tabs>
          <w:tab w:leader="none" w:pos="720" w:val="left"/>
        </w:tabs>
        <w:numPr>
          <w:ilvl w:val="0"/>
          <w:numId w:val="70"/>
        </w:numPr>
        <w:rPr>
          <w:rFonts w:ascii="Arial" w:cs="Arial" w:eastAsia="Arial" w:hAnsi="Arial"/>
          <w:sz w:val="18"/>
          <w:szCs w:val="18"/>
          <w:color w:val="auto"/>
        </w:rPr>
      </w:pPr>
      <w:r>
        <w:rPr>
          <w:rFonts w:ascii="Arial" w:cs="Arial" w:eastAsia="Arial" w:hAnsi="Arial"/>
          <w:sz w:val="18"/>
          <w:szCs w:val="18"/>
          <w:color w:val="auto"/>
        </w:rPr>
        <w:t>Class I directors consist of Ms. Yaffa Krindel-Sieradzki, Dr. Ben Zvi and Mr. Jonathan Siegel, who are all independent directors, and their term will expire at our annual general meeting of our shareholders to be held in 2019;</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0"/>
        </w:numPr>
        <w:rPr>
          <w:rFonts w:ascii="Arial" w:cs="Arial" w:eastAsia="Arial" w:hAnsi="Arial"/>
          <w:sz w:val="18"/>
          <w:szCs w:val="18"/>
          <w:color w:val="auto"/>
        </w:rPr>
      </w:pPr>
      <w:r>
        <w:rPr>
          <w:rFonts w:ascii="Arial" w:cs="Arial" w:eastAsia="Arial" w:hAnsi="Arial"/>
          <w:sz w:val="18"/>
          <w:szCs w:val="18"/>
          <w:color w:val="auto"/>
        </w:rPr>
        <w:t>Class II directors consist of Ms. Lerman and Dr. Seri-Levy, and their term will expire at our annual general meeting of our shareholders to be held in 2020;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0"/>
        </w:numPr>
        <w:rPr>
          <w:rFonts w:ascii="Arial" w:cs="Arial" w:eastAsia="Arial" w:hAnsi="Arial"/>
          <w:sz w:val="18"/>
          <w:szCs w:val="18"/>
          <w:color w:val="auto"/>
        </w:rPr>
      </w:pPr>
      <w:r>
        <w:rPr>
          <w:rFonts w:ascii="Arial" w:cs="Arial" w:eastAsia="Arial" w:hAnsi="Arial"/>
          <w:sz w:val="18"/>
          <w:szCs w:val="18"/>
          <w:color w:val="auto"/>
        </w:rPr>
        <w:t>Class III directors consist of Mr. Itai Arkin and Mr. Moshe Arkin, and their term will expire at our annual general meeting of our shareholders to be held in 2021.</w:t>
      </w:r>
    </w:p>
    <w:p>
      <w:pPr>
        <w:spacing w:after="0" w:line="22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Mr. Gattegno and Mr. Gottfried serve as our external directors and will each have a term of three years.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Election and Dismissal of External Directors” for a description of the procedure for the election of external directors.</w:t>
      </w:r>
    </w:p>
    <w:p>
      <w:pPr>
        <w:spacing w:after="0" w:line="208"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18" w:name="page119"/>
    <w:bookmarkEnd w:id="118"/>
    <w:p>
      <w:pPr>
        <w:jc w:val="both"/>
        <w:ind w:firstLine="360"/>
        <w:spacing w:after="0" w:line="291" w:lineRule="auto"/>
        <w:rPr>
          <w:sz w:val="20"/>
          <w:szCs w:val="20"/>
          <w:color w:val="auto"/>
        </w:rPr>
      </w:pPr>
      <w:r>
        <w:rPr>
          <w:rFonts w:ascii="Arial" w:cs="Arial" w:eastAsia="Arial" w:hAnsi="Arial"/>
          <w:sz w:val="16"/>
          <w:szCs w:val="16"/>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22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There are no family relationships among any of our office holders (including directors), other than Mr. Itai Arkin who is the son of Mr. Moshe Arkin.</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Alternate Directors</w:t>
      </w:r>
    </w:p>
    <w:p>
      <w:pPr>
        <w:spacing w:after="0" w:line="283"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External Directors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Qualifications of External Directors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w:t>
      </w:r>
    </w:p>
    <w:p>
      <w:pPr>
        <w:spacing w:after="0" w:line="235"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9" w:name="page120"/>
    <w:bookmarkEnd w:id="119"/>
    <w:p>
      <w:pPr>
        <w:jc w:val="both"/>
        <w:ind w:firstLine="360"/>
        <w:spacing w:after="0" w:line="272" w:lineRule="auto"/>
        <w:rPr>
          <w:sz w:val="20"/>
          <w:szCs w:val="20"/>
          <w:color w:val="auto"/>
        </w:rPr>
      </w:pPr>
      <w:r>
        <w:rPr>
          <w:rFonts w:ascii="Arial" w:cs="Arial" w:eastAsia="Arial" w:hAnsi="Arial"/>
          <w:sz w:val="17"/>
          <w:szCs w:val="17"/>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2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term affiliation includes:</w:t>
      </w:r>
    </w:p>
    <w:p>
      <w:pPr>
        <w:spacing w:after="0" w:line="279" w:lineRule="exact"/>
        <w:rPr>
          <w:sz w:val="20"/>
          <w:szCs w:val="20"/>
          <w:color w:val="auto"/>
        </w:rPr>
      </w:pPr>
    </w:p>
    <w:p>
      <w:pPr>
        <w:ind w:left="720" w:hanging="361"/>
        <w:spacing w:after="0"/>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an employment relationship;</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business or professional relationship maintained on a regular basis;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control; and</w:t>
      </w:r>
    </w:p>
    <w:p>
      <w:pPr>
        <w:spacing w:after="0" w:line="279" w:lineRule="exact"/>
        <w:rPr>
          <w:rFonts w:ascii="Arial" w:cs="Arial" w:eastAsia="Arial" w:hAnsi="Arial"/>
          <w:sz w:val="18"/>
          <w:szCs w:val="18"/>
          <w:color w:val="auto"/>
        </w:rPr>
      </w:pPr>
    </w:p>
    <w:p>
      <w:pPr>
        <w:ind w:left="720" w:hanging="361"/>
        <w:spacing w:after="0" w:line="308" w:lineRule="auto"/>
        <w:tabs>
          <w:tab w:leader="none" w:pos="720" w:val="left"/>
        </w:tabs>
        <w:numPr>
          <w:ilvl w:val="0"/>
          <w:numId w:val="71"/>
        </w:numPr>
        <w:rPr>
          <w:rFonts w:ascii="Arial" w:cs="Arial" w:eastAsia="Arial" w:hAnsi="Arial"/>
          <w:sz w:val="17"/>
          <w:szCs w:val="17"/>
          <w:color w:val="auto"/>
        </w:rPr>
      </w:pPr>
      <w:r>
        <w:rPr>
          <w:rFonts w:ascii="Arial" w:cs="Arial" w:eastAsia="Arial" w:hAnsi="Arial"/>
          <w:sz w:val="17"/>
          <w:szCs w:val="17"/>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20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term “relative” is defined as a spouse, sibling, parent, grandparent, descendant, spouse’s descendant, sibling and parent and the spouse of each of the foregoing.</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0" w:name="page121"/>
    <w:bookmarkEnd w:id="120"/>
    <w:p>
      <w:pPr>
        <w:jc w:val="both"/>
        <w:ind w:firstLine="360"/>
        <w:spacing w:after="0" w:line="290" w:lineRule="auto"/>
        <w:rPr>
          <w:sz w:val="20"/>
          <w:szCs w:val="20"/>
          <w:color w:val="auto"/>
        </w:rPr>
      </w:pPr>
      <w:r>
        <w:rPr>
          <w:rFonts w:ascii="Arial" w:cs="Arial" w:eastAsia="Arial" w:hAnsi="Arial"/>
          <w:sz w:val="16"/>
          <w:szCs w:val="16"/>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220"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24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Election and Dismissal of External Directors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Israeli law, external directors are elected by a majority vote at a shareholders’ meeting, provided that either:</w:t>
      </w:r>
    </w:p>
    <w:p>
      <w:pPr>
        <w:spacing w:after="0" w:line="279" w:lineRule="exact"/>
        <w:rPr>
          <w:sz w:val="20"/>
          <w:szCs w:val="20"/>
          <w:color w:val="auto"/>
        </w:rPr>
      </w:pPr>
    </w:p>
    <w:p>
      <w:pPr>
        <w:jc w:val="both"/>
        <w:ind w:left="720" w:hanging="361"/>
        <w:spacing w:after="0" w:line="264"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1" w:name="page122"/>
    <w:bookmarkEnd w:id="121"/>
    <w:p>
      <w:pPr>
        <w:ind w:left="720" w:right="20" w:hanging="361"/>
        <w:spacing w:after="0" w:line="277" w:lineRule="auto"/>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235" w:lineRule="exact"/>
        <w:rPr>
          <w:sz w:val="20"/>
          <w:szCs w:val="20"/>
          <w:color w:val="auto"/>
        </w:rPr>
      </w:pPr>
    </w:p>
    <w:p>
      <w:pPr>
        <w:jc w:val="both"/>
        <w:ind w:left="720" w:hanging="361"/>
        <w:spacing w:after="0" w:line="259" w:lineRule="auto"/>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40"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external director proposed his or her own nomination, and such nomination was approved in accordance with the requirements described in the paragraph above; or</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Provisions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224"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22" w:name="page123"/>
    <w:bookmarkEnd w:id="122"/>
    <w:p>
      <w:pPr>
        <w:spacing w:after="0"/>
        <w:rPr>
          <w:sz w:val="20"/>
          <w:szCs w:val="20"/>
          <w:color w:val="auto"/>
        </w:rPr>
      </w:pPr>
      <w:r>
        <w:rPr>
          <w:rFonts w:ascii="Arial" w:cs="Arial" w:eastAsia="Arial" w:hAnsi="Arial"/>
          <w:sz w:val="18"/>
          <w:szCs w:val="18"/>
          <w:b w:val="1"/>
          <w:bCs w:val="1"/>
          <w:color w:val="auto"/>
        </w:rPr>
        <w:t>Audit Committee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Companies Law Requirements</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224" w:lineRule="exact"/>
        <w:rPr>
          <w:sz w:val="20"/>
          <w:szCs w:val="20"/>
          <w:color w:val="auto"/>
        </w:rPr>
      </w:pPr>
    </w:p>
    <w:p>
      <w:pPr>
        <w:ind w:left="720" w:hanging="361"/>
        <w:spacing w:after="0"/>
        <w:tabs>
          <w:tab w:leader="none" w:pos="72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chairman of the board of directors;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controlling shareholder or a relative of a controlling shareholder;</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any director employed by us or by one of our controlling shareholders or by an entity controlled by our controlling shareholders (other than as a member of the board of directors); or</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75"/>
        </w:numPr>
        <w:rPr>
          <w:rFonts w:ascii="Arial" w:cs="Arial" w:eastAsia="Arial" w:hAnsi="Arial"/>
          <w:sz w:val="16"/>
          <w:szCs w:val="16"/>
          <w:color w:val="auto"/>
        </w:rPr>
      </w:pPr>
      <w:r>
        <w:rPr>
          <w:rFonts w:ascii="Arial" w:cs="Arial" w:eastAsia="Arial" w:hAnsi="Arial"/>
          <w:sz w:val="16"/>
          <w:szCs w:val="16"/>
          <w:color w:val="auto"/>
        </w:rPr>
        <w:t>any director who regularly provides services to us, to one of our controlling shareholders or to an entity controlled by our controlling shareholders.</w:t>
      </w:r>
    </w:p>
    <w:p>
      <w:pPr>
        <w:spacing w:after="0" w:line="30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4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Nasdaq Listing Requirements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audit committee consists of Ran Gottfried, Jerrold S. Gattegno and Shmuel Ben Zvi. Jerrold S. Gattegno serves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23" w:name="page124"/>
    <w:bookmarkEnd w:id="123"/>
    <w:p>
      <w:pPr>
        <w:ind w:left="360"/>
        <w:spacing w:after="0"/>
        <w:rPr>
          <w:sz w:val="20"/>
          <w:szCs w:val="20"/>
          <w:color w:val="auto"/>
        </w:rPr>
      </w:pPr>
      <w:r>
        <w:rPr>
          <w:rFonts w:ascii="Arial" w:cs="Arial" w:eastAsia="Arial" w:hAnsi="Arial"/>
          <w:sz w:val="18"/>
          <w:szCs w:val="18"/>
          <w:color w:val="auto"/>
        </w:rPr>
        <w:t>Each of the members of the audit committee is “independent” as such term is defined in Rule 10A-3(b)(1) under the Exchange Act.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Transactions with Related Parties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approval of the audit committee is required to effect specified actions and transactions with office holders and controlling shareholders and their relatives, or in which they have a personal interest. See “— Duties of Directors and Officers and Approval of Specified Related Party Transactions under the Israeli Companies Law – Fiduciary Duties of Office Holders.” The audit committee may not approve an action or a transaction with a controlling shareholder or with an office holder unless at the time of approval the audit committee meets the composition requirements under the Companies Law.</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 Role</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board of directors has adopted an audit committee charter effective immediately after the pricing of our initial public offering setting forth the responsibilities of the audit committee consistent with the rules of the SEC and the Nasdaq corporate governance rules, which include:</w:t>
      </w:r>
    </w:p>
    <w:p>
      <w:pPr>
        <w:spacing w:after="0" w:line="224" w:lineRule="exact"/>
        <w:rPr>
          <w:sz w:val="20"/>
          <w:szCs w:val="20"/>
          <w:color w:val="auto"/>
        </w:rPr>
      </w:pPr>
    </w:p>
    <w:p>
      <w:pPr>
        <w:ind w:left="720" w:hanging="361"/>
        <w:spacing w:after="0"/>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retaining and terminating our independent auditors, subject to board of directors and shareholder ratification;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overseeing the independence, compensation and performance of the Company’s independent auditors;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appointment, compensation, retention and oversight of any accounting firm engaged for the purpose of preparing or issuing an audit report or performing other audit services;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pre-approval of audit and non-audit services to be provided by the independent auditors;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reviewing with management and our independent directors our financial statements prior to their submission to the SEC;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6"/>
        </w:numPr>
        <w:rPr>
          <w:rFonts w:ascii="Arial" w:cs="Arial" w:eastAsia="Arial" w:hAnsi="Arial"/>
          <w:sz w:val="17"/>
          <w:szCs w:val="17"/>
          <w:color w:val="auto"/>
        </w:rPr>
      </w:pPr>
      <w:r>
        <w:rPr>
          <w:rFonts w:ascii="Arial" w:cs="Arial" w:eastAsia="Arial" w:hAnsi="Arial"/>
          <w:sz w:val="17"/>
          <w:szCs w:val="17"/>
          <w:color w:val="auto"/>
        </w:rPr>
        <w:t>approval of certain transactions with office holders and controlling shareholders, as described below, and other related party transactions.</w:t>
      </w:r>
    </w:p>
    <w:p>
      <w:pPr>
        <w:spacing w:after="0" w:line="291"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 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4" w:name="page125"/>
    <w:bookmarkEnd w:id="124"/>
    <w:p>
      <w:pPr>
        <w:spacing w:after="0"/>
        <w:rPr>
          <w:sz w:val="20"/>
          <w:szCs w:val="20"/>
          <w:color w:val="auto"/>
        </w:rPr>
      </w:pPr>
      <w:r>
        <w:rPr>
          <w:rFonts w:ascii="Arial" w:cs="Arial" w:eastAsia="Arial" w:hAnsi="Arial"/>
          <w:sz w:val="18"/>
          <w:szCs w:val="18"/>
          <w:b w:val="1"/>
          <w:bCs w:val="1"/>
          <w:color w:val="auto"/>
        </w:rPr>
        <w:t>Compensation Committee</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Under the Companies Law, public companies are required to appoint a compensation committee in accordance with the guidelines set forth thereunder.</w:t>
      </w:r>
    </w:p>
    <w:p>
      <w:pPr>
        <w:spacing w:after="0" w:line="30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23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The compensation committee, which consists of Ran Gottfried, Jerrold S. Gattegno and Shmuel Ben Zvi, will assist the board of directors in determining compensation for our directors and officers. Ran Gottfried serves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22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accordance with the Companies Law, the roles of the compensation committee are, among others, as follows:</w:t>
      </w:r>
    </w:p>
    <w:p>
      <w:pPr>
        <w:spacing w:after="0" w:line="279" w:lineRule="exact"/>
        <w:rPr>
          <w:sz w:val="20"/>
          <w:szCs w:val="20"/>
          <w:color w:val="auto"/>
        </w:rPr>
      </w:pPr>
    </w:p>
    <w:p>
      <w:pPr>
        <w:ind w:left="720" w:hanging="361"/>
        <w:spacing w:after="0" w:line="308" w:lineRule="auto"/>
        <w:tabs>
          <w:tab w:leader="none" w:pos="72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200" w:lineRule="exact"/>
        <w:rPr>
          <w:rFonts w:ascii="Arial" w:cs="Arial" w:eastAsia="Arial" w:hAnsi="Arial"/>
          <w:sz w:val="17"/>
          <w:szCs w:val="17"/>
          <w:color w:val="auto"/>
        </w:rPr>
      </w:pPr>
    </w:p>
    <w:p>
      <w:pPr>
        <w:ind w:left="720" w:hanging="361"/>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to recommend to the board of directors updates to the compensation policy, from time to time, and examine its implementation;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7"/>
        </w:numPr>
        <w:rPr>
          <w:rFonts w:ascii="Arial" w:cs="Arial" w:eastAsia="Arial" w:hAnsi="Arial"/>
          <w:sz w:val="16"/>
          <w:szCs w:val="16"/>
          <w:color w:val="auto"/>
        </w:rPr>
      </w:pPr>
      <w:r>
        <w:rPr>
          <w:rFonts w:ascii="Arial" w:cs="Arial" w:eastAsia="Arial" w:hAnsi="Arial"/>
          <w:sz w:val="16"/>
          <w:szCs w:val="16"/>
          <w:color w:val="auto"/>
        </w:rPr>
        <w:t>to decide whether to approve the terms of office and employment of directors and officers that require approval of the compensation committee; and</w:t>
      </w:r>
    </w:p>
    <w:p>
      <w:pPr>
        <w:spacing w:after="0" w:line="302" w:lineRule="exact"/>
        <w:rPr>
          <w:rFonts w:ascii="Arial" w:cs="Arial" w:eastAsia="Arial" w:hAnsi="Arial"/>
          <w:sz w:val="16"/>
          <w:szCs w:val="16"/>
          <w:color w:val="auto"/>
        </w:rPr>
      </w:pPr>
    </w:p>
    <w:p>
      <w:pPr>
        <w:ind w:left="720" w:hanging="361"/>
        <w:spacing w:after="0" w:line="308" w:lineRule="auto"/>
        <w:tabs>
          <w:tab w:leader="none" w:pos="72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20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In addition to the roles mentioned above our compensation committee also makes recommendations to our board of directors regarding the awarding of employee equity grants.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 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5" w:name="page126"/>
    <w:bookmarkEnd w:id="125"/>
    <w:p>
      <w:pPr>
        <w:jc w:val="both"/>
        <w:ind w:firstLine="360"/>
        <w:spacing w:after="0" w:line="259" w:lineRule="auto"/>
        <w:rPr>
          <w:sz w:val="20"/>
          <w:szCs w:val="20"/>
          <w:color w:val="auto"/>
        </w:rPr>
      </w:pPr>
      <w:r>
        <w:rPr>
          <w:rFonts w:ascii="Arial" w:cs="Arial" w:eastAsia="Arial" w:hAnsi="Arial"/>
          <w:sz w:val="18"/>
          <w:szCs w:val="18"/>
          <w:color w:val="auto"/>
        </w:rPr>
        <w:t>If a company initially offer its securities to the public, like we recently did,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compensation policy must be based on certain considerations, include certain provisions and needs to reference certain matters as set forth in the Companies Law.</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242" w:lineRule="exact"/>
        <w:rPr>
          <w:sz w:val="20"/>
          <w:szCs w:val="20"/>
          <w:color w:val="auto"/>
        </w:rPr>
      </w:pPr>
    </w:p>
    <w:p>
      <w:pPr>
        <w:ind w:left="720" w:hanging="361"/>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education, skills, experience, expertise and accomplishments of the relevant office holder;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office holder’s position, responsibilities and prior compensation agreements with him or her;</w:t>
      </w:r>
    </w:p>
    <w:p>
      <w:pPr>
        <w:spacing w:after="0" w:line="279" w:lineRule="exact"/>
        <w:rPr>
          <w:rFonts w:ascii="Arial" w:cs="Arial" w:eastAsia="Arial" w:hAnsi="Arial"/>
          <w:sz w:val="18"/>
          <w:szCs w:val="18"/>
          <w:color w:val="auto"/>
        </w:rPr>
      </w:pPr>
    </w:p>
    <w:p>
      <w:pPr>
        <w:jc w:val="both"/>
        <w:ind w:left="720" w:hanging="361"/>
        <w:spacing w:after="0" w:line="312" w:lineRule="auto"/>
        <w:tabs>
          <w:tab w:leader="none" w:pos="720" w:val="left"/>
        </w:tabs>
        <w:numPr>
          <w:ilvl w:val="0"/>
          <w:numId w:val="78"/>
        </w:numPr>
        <w:rPr>
          <w:rFonts w:ascii="Arial" w:cs="Arial" w:eastAsia="Arial" w:hAnsi="Arial"/>
          <w:sz w:val="16"/>
          <w:szCs w:val="16"/>
          <w:color w:val="auto"/>
        </w:rPr>
      </w:pPr>
      <w:r>
        <w:rPr>
          <w:rFonts w:ascii="Arial" w:cs="Arial" w:eastAsia="Arial" w:hAnsi="Arial"/>
          <w:sz w:val="16"/>
          <w:szCs w:val="16"/>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200" w:lineRule="exact"/>
        <w:rPr>
          <w:rFonts w:ascii="Arial" w:cs="Arial" w:eastAsia="Arial" w:hAnsi="Arial"/>
          <w:sz w:val="16"/>
          <w:szCs w:val="16"/>
          <w:color w:val="auto"/>
        </w:rPr>
      </w:pPr>
    </w:p>
    <w:p>
      <w:pPr>
        <w:ind w:left="720" w:hanging="361"/>
        <w:spacing w:after="0" w:line="277"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224" w:lineRule="exact"/>
        <w:rPr>
          <w:rFonts w:ascii="Arial" w:cs="Arial" w:eastAsia="Arial" w:hAnsi="Arial"/>
          <w:sz w:val="18"/>
          <w:szCs w:val="18"/>
          <w:color w:val="auto"/>
        </w:rPr>
      </w:pPr>
    </w:p>
    <w:p>
      <w:pPr>
        <w:jc w:val="both"/>
        <w:ind w:left="720" w:hanging="361"/>
        <w:spacing w:after="0" w:line="286" w:lineRule="auto"/>
        <w:tabs>
          <w:tab w:leader="none" w:pos="720" w:val="left"/>
        </w:tabs>
        <w:numPr>
          <w:ilvl w:val="0"/>
          <w:numId w:val="78"/>
        </w:numPr>
        <w:rPr>
          <w:rFonts w:ascii="Arial" w:cs="Arial" w:eastAsia="Arial" w:hAnsi="Arial"/>
          <w:sz w:val="17"/>
          <w:szCs w:val="17"/>
          <w:color w:val="auto"/>
        </w:rPr>
      </w:pPr>
      <w:r>
        <w:rPr>
          <w:rFonts w:ascii="Arial" w:cs="Arial" w:eastAsia="Arial" w:hAnsi="Arial"/>
          <w:sz w:val="17"/>
          <w:szCs w:val="17"/>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6" w:name="page127"/>
    <w:bookmarkEnd w:id="126"/>
    <w:p>
      <w:pPr>
        <w:ind w:left="380"/>
        <w:spacing w:after="0"/>
        <w:rPr>
          <w:sz w:val="20"/>
          <w:szCs w:val="20"/>
          <w:color w:val="auto"/>
        </w:rPr>
      </w:pPr>
      <w:r>
        <w:rPr>
          <w:rFonts w:ascii="Arial" w:cs="Arial" w:eastAsia="Arial" w:hAnsi="Arial"/>
          <w:sz w:val="18"/>
          <w:szCs w:val="18"/>
          <w:color w:val="auto"/>
        </w:rPr>
        <w:t>The compensation policy must also include, among others:</w:t>
      </w:r>
    </w:p>
    <w:p>
      <w:pPr>
        <w:spacing w:after="0" w:line="279" w:lineRule="exact"/>
        <w:rPr>
          <w:sz w:val="20"/>
          <w:szCs w:val="20"/>
          <w:color w:val="auto"/>
        </w:rPr>
      </w:pPr>
    </w:p>
    <w:p>
      <w:pPr>
        <w:ind w:left="720" w:hanging="361"/>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with regards to variable components:</w:t>
      </w:r>
    </w:p>
    <w:p>
      <w:pPr>
        <w:spacing w:after="0" w:line="279" w:lineRule="exact"/>
        <w:rPr>
          <w:rFonts w:ascii="Arial" w:cs="Arial" w:eastAsia="Arial" w:hAnsi="Arial"/>
          <w:sz w:val="18"/>
          <w:szCs w:val="18"/>
          <w:color w:val="auto"/>
        </w:rPr>
      </w:pPr>
    </w:p>
    <w:p>
      <w:pPr>
        <w:ind w:left="1080" w:hanging="315"/>
        <w:spacing w:after="0" w:line="279" w:lineRule="auto"/>
        <w:rPr>
          <w:rFonts w:ascii="Arial" w:cs="Arial" w:eastAsia="Arial" w:hAnsi="Arial"/>
          <w:sz w:val="18"/>
          <w:szCs w:val="18"/>
          <w:color w:val="auto"/>
        </w:rPr>
      </w:pPr>
      <w:r>
        <w:rPr>
          <w:rFonts w:ascii="Arial" w:cs="Arial" w:eastAsia="Arial" w:hAnsi="Arial"/>
          <w:sz w:val="17"/>
          <w:szCs w:val="17"/>
          <w:color w:val="auto"/>
        </w:rPr>
        <w:t>– with the exception of office holders who report directly to the chief executive officer, determining the variable components on long-term performance basis and on 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225" w:lineRule="exact"/>
        <w:rPr>
          <w:rFonts w:ascii="Arial" w:cs="Arial" w:eastAsia="Arial" w:hAnsi="Arial"/>
          <w:sz w:val="18"/>
          <w:szCs w:val="18"/>
          <w:color w:val="auto"/>
        </w:rPr>
      </w:pPr>
    </w:p>
    <w:p>
      <w:pPr>
        <w:ind w:left="760"/>
        <w:spacing w:after="0"/>
        <w:rPr>
          <w:rFonts w:ascii="Arial" w:cs="Arial" w:eastAsia="Arial" w:hAnsi="Arial"/>
          <w:sz w:val="18"/>
          <w:szCs w:val="18"/>
          <w:color w:val="auto"/>
        </w:rPr>
      </w:pPr>
      <w:r>
        <w:rPr>
          <w:rFonts w:ascii="Arial" w:cs="Arial" w:eastAsia="Arial" w:hAnsi="Arial"/>
          <w:sz w:val="17"/>
          <w:szCs w:val="17"/>
          <w:color w:val="auto"/>
        </w:rPr>
        <w:t>–   the ratio between variable and fixed components, as well as the limit of the values of variable components at the time of their grant.</w:t>
      </w:r>
    </w:p>
    <w:p>
      <w:pPr>
        <w:spacing w:after="0" w:line="290"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235"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minimum holding or vesting period of variable equity-based components to be set in the terms of office or employment, as applicable, while taking into consideration long-term incentives; and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a limit to retirement grants.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Practices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225"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annual report, we have not yet appointed our internal auditor.</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7" w:name="page128"/>
    <w:bookmarkEnd w:id="127"/>
    <w:p>
      <w:pPr>
        <w:spacing w:after="0"/>
        <w:rPr>
          <w:sz w:val="20"/>
          <w:szCs w:val="20"/>
          <w:color w:val="auto"/>
        </w:rPr>
      </w:pPr>
      <w:r>
        <w:rPr>
          <w:rFonts w:ascii="Arial" w:cs="Arial" w:eastAsia="Arial" w:hAnsi="Arial"/>
          <w:sz w:val="18"/>
          <w:szCs w:val="18"/>
          <w:b w:val="1"/>
          <w:bCs w:val="1"/>
          <w:color w:val="auto"/>
        </w:rPr>
        <w:t>Duties of Directors and Officers and Approval of Specified Related Party Transactions under the Israeli Companies Law</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Fiduciary Duties of Office Holders</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The Companies Law imposes a duty of care and a fiduciary duty on all office holders of a company. The duty of care of an office holder is based on the duty of care set forth in connection 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225" w:lineRule="exact"/>
        <w:rPr>
          <w:sz w:val="20"/>
          <w:szCs w:val="20"/>
          <w:color w:val="auto"/>
        </w:rPr>
      </w:pPr>
    </w:p>
    <w:p>
      <w:pPr>
        <w:ind w:left="720" w:hanging="361"/>
        <w:spacing w:after="0"/>
        <w:tabs>
          <w:tab w:leader="none" w:pos="720" w:val="left"/>
        </w:tabs>
        <w:numPr>
          <w:ilvl w:val="0"/>
          <w:numId w:val="80"/>
        </w:numPr>
        <w:rPr>
          <w:rFonts w:ascii="Arial" w:cs="Arial" w:eastAsia="Arial" w:hAnsi="Arial"/>
          <w:sz w:val="17"/>
          <w:szCs w:val="17"/>
          <w:color w:val="auto"/>
        </w:rPr>
      </w:pPr>
      <w:r>
        <w:rPr>
          <w:rFonts w:ascii="Arial" w:cs="Arial" w:eastAsia="Arial" w:hAnsi="Arial"/>
          <w:sz w:val="17"/>
          <w:szCs w:val="17"/>
          <w:color w:val="auto"/>
        </w:rPr>
        <w:t>information on the business advisability of a given action brought for his or her approval or performed by virtue of his or her position; and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all other important information pertaining to such action.</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fiduciary duty incumbent on an office holder requires him or her to act in good faith and for the benefit of the company, and includes, among other things, the duty to:</w:t>
      </w:r>
    </w:p>
    <w:p>
      <w:pPr>
        <w:spacing w:after="0" w:line="224" w:lineRule="exact"/>
        <w:rPr>
          <w:sz w:val="20"/>
          <w:szCs w:val="20"/>
          <w:color w:val="auto"/>
        </w:rPr>
      </w:pPr>
    </w:p>
    <w:p>
      <w:pPr>
        <w:ind w:left="720" w:hanging="361"/>
        <w:spacing w:after="0" w:line="277"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refrain from any act involving a conflict of interest between the performance of his or her duties in the company and his or her other duties or personal affairs;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refrain from any activity that is competitive with the business of the company;</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refrain from exploiting any business opportunity of the company for the purpose of gaining a personal advantage for himself or herself or others;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disclose to the company any information or documents relating to the company’s affairs which the office holder received as a result of his or her position as an office holder.</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an Office Holder and Approval of Transactions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28" w:name="page129"/>
    <w:bookmarkEnd w:id="128"/>
    <w:p>
      <w:pPr>
        <w:jc w:val="both"/>
        <w:ind w:firstLine="360"/>
        <w:spacing w:after="0" w:line="254" w:lineRule="auto"/>
        <w:rPr>
          <w:sz w:val="20"/>
          <w:szCs w:val="20"/>
          <w:color w:val="auto"/>
        </w:rPr>
      </w:pPr>
      <w:r>
        <w:rPr>
          <w:rFonts w:ascii="Arial" w:cs="Arial" w:eastAsia="Arial" w:hAnsi="Arial"/>
          <w:sz w:val="18"/>
          <w:szCs w:val="18"/>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 – Duties of Directors and Officers and Approval of Specified Related Party Transactions under the Israeli Companies Law – Fiduciary Duties of Office Holders.”</w:t>
      </w:r>
    </w:p>
    <w:p>
      <w:pPr>
        <w:spacing w:after="0" w:line="246"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21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An “extraordinary transaction” is defined under the Companies Law as any of the following:</w:t>
      </w:r>
    </w:p>
    <w:p>
      <w:pPr>
        <w:spacing w:after="0" w:line="279" w:lineRule="exact"/>
        <w:rPr>
          <w:sz w:val="20"/>
          <w:szCs w:val="20"/>
          <w:color w:val="auto"/>
        </w:rPr>
      </w:pPr>
    </w:p>
    <w:p>
      <w:pPr>
        <w:ind w:left="720" w:hanging="361"/>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transaction other than in the ordinary course of business;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transaction that is not on market terms;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transaction that may have a material impact on the company’s profitability, assets or liabilities.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9" w:name="page130"/>
    <w:bookmarkEnd w:id="129"/>
    <w:p>
      <w:pPr>
        <w:spacing w:after="0"/>
        <w:rPr>
          <w:sz w:val="20"/>
          <w:szCs w:val="20"/>
          <w:color w:val="auto"/>
        </w:rPr>
      </w:pPr>
      <w:r>
        <w:rPr>
          <w:rFonts w:ascii="Arial" w:cs="Arial" w:eastAsia="Arial" w:hAnsi="Arial"/>
          <w:sz w:val="18"/>
          <w:szCs w:val="18"/>
          <w:b w:val="1"/>
          <w:bCs w:val="1"/>
          <w:i w:val="1"/>
          <w:iCs w:val="1"/>
          <w:color w:val="auto"/>
        </w:rPr>
        <w:t>Disclosure of Personal Interests of a Controlling Shareholder and Approval of Transactions</w:t>
      </w:r>
    </w:p>
    <w:p>
      <w:pPr>
        <w:spacing w:after="0" w:line="279" w:lineRule="exact"/>
        <w:rPr>
          <w:sz w:val="20"/>
          <w:szCs w:val="20"/>
          <w:color w:val="auto"/>
        </w:rPr>
      </w:pPr>
    </w:p>
    <w:p>
      <w:pPr>
        <w:jc w:val="both"/>
        <w:ind w:firstLine="360"/>
        <w:spacing w:after="0" w:line="284" w:lineRule="auto"/>
        <w:rPr>
          <w:sz w:val="20"/>
          <w:szCs w:val="20"/>
          <w:color w:val="auto"/>
        </w:rPr>
      </w:pPr>
      <w:r>
        <w:rPr>
          <w:rFonts w:ascii="Arial" w:cs="Arial" w:eastAsia="Arial" w:hAnsi="Arial"/>
          <w:sz w:val="16"/>
          <w:szCs w:val="16"/>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w:t>
      </w:r>
    </w:p>
    <w:p>
      <w:pPr>
        <w:spacing w:after="0" w:line="3" w:lineRule="exact"/>
        <w:rPr>
          <w:sz w:val="20"/>
          <w:szCs w:val="20"/>
          <w:color w:val="auto"/>
        </w:rPr>
      </w:pPr>
    </w:p>
    <w:p>
      <w:pPr>
        <w:ind w:firstLine="8"/>
        <w:spacing w:after="0" w:line="261" w:lineRule="auto"/>
        <w:tabs>
          <w:tab w:leader="none" w:pos="227"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237" w:lineRule="exact"/>
        <w:rPr>
          <w:rFonts w:ascii="Arial" w:cs="Arial" w:eastAsia="Arial" w:hAnsi="Arial"/>
          <w:sz w:val="18"/>
          <w:szCs w:val="18"/>
          <w:color w:val="auto"/>
        </w:rPr>
      </w:pPr>
    </w:p>
    <w:p>
      <w:pPr>
        <w:ind w:left="720" w:hanging="361"/>
        <w:spacing w:after="0" w:line="277" w:lineRule="auto"/>
        <w:tabs>
          <w:tab w:leader="none" w:pos="720" w:val="left"/>
        </w:tabs>
        <w:numPr>
          <w:ilvl w:val="1"/>
          <w:numId w:val="83"/>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24"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25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Compensation of Executive Officers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became a public company, to disclose the annual compensation of our five most highly compensated office holders on an individual basis, rather than on an aggregate basis. This disclosure will not be as extensive as that required of a U.S. domestic issuer.</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30" w:name="page131"/>
    <w:bookmarkEnd w:id="130"/>
    <w:p>
      <w:pPr>
        <w:spacing w:after="0"/>
        <w:rPr>
          <w:sz w:val="20"/>
          <w:szCs w:val="20"/>
          <w:color w:val="auto"/>
        </w:rPr>
      </w:pPr>
      <w:r>
        <w:rPr>
          <w:rFonts w:ascii="Arial" w:cs="Arial" w:eastAsia="Arial" w:hAnsi="Arial"/>
          <w:sz w:val="18"/>
          <w:szCs w:val="18"/>
          <w:b w:val="1"/>
          <w:bCs w:val="1"/>
          <w:i w:val="1"/>
          <w:iCs w:val="1"/>
          <w:color w:val="auto"/>
        </w:rPr>
        <w:t>Compensation of Directors and Executive Officers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i w:val="1"/>
          <w:iCs w:val="1"/>
          <w:color w:val="auto"/>
        </w:rPr>
        <w:t>Directors</w:t>
      </w:r>
      <w:r>
        <w:rPr>
          <w:rFonts w:ascii="Arial" w:cs="Arial" w:eastAsia="Arial" w:hAnsi="Arial"/>
          <w:sz w:val="18"/>
          <w:szCs w:val="18"/>
          <w:color w:val="auto"/>
        </w:rPr>
        <w:t>. Under the Companies Law, the compensation of our directors requires the approval of our compensation committee, the subsequent approval</w:t>
      </w:r>
      <w:r>
        <w:rPr>
          <w:rFonts w:ascii="Arial" w:cs="Arial" w:eastAsia="Arial" w:hAnsi="Arial"/>
          <w:sz w:val="18"/>
          <w:szCs w:val="18"/>
          <w:i w:val="1"/>
          <w:iCs w:val="1"/>
          <w:color w:val="auto"/>
        </w:rPr>
        <w:t xml:space="preserve"> </w:t>
      </w:r>
      <w:r>
        <w:rPr>
          <w:rFonts w:ascii="Arial" w:cs="Arial" w:eastAsia="Arial" w:hAnsi="Arial"/>
          <w:sz w:val="18"/>
          <w:szCs w:val="18"/>
          <w:color w:val="auto"/>
        </w:rPr>
        <w:t>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242" w:lineRule="exact"/>
        <w:rPr>
          <w:sz w:val="20"/>
          <w:szCs w:val="20"/>
          <w:color w:val="auto"/>
        </w:rPr>
      </w:pPr>
    </w:p>
    <w:p>
      <w:pPr>
        <w:ind w:left="720" w:hanging="361"/>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22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i w:val="1"/>
          <w:iCs w:val="1"/>
          <w:color w:val="auto"/>
        </w:rPr>
        <w:t xml:space="preserve">Executive officers other than the chief executive officer. </w:t>
      </w:r>
      <w:r>
        <w:rPr>
          <w:rFonts w:ascii="Arial" w:cs="Arial" w:eastAsia="Arial" w:hAnsi="Arial"/>
          <w:sz w:val="16"/>
          <w:szCs w:val="16"/>
          <w:color w:val="auto"/>
        </w:rPr>
        <w:t>The Companies Law requires the approval of the compensation of a public company’s executive</w:t>
      </w:r>
      <w:r>
        <w:rPr>
          <w:rFonts w:ascii="Arial" w:cs="Arial" w:eastAsia="Arial" w:hAnsi="Arial"/>
          <w:sz w:val="16"/>
          <w:szCs w:val="16"/>
          <w:i w:val="1"/>
          <w:iCs w:val="1"/>
          <w:color w:val="auto"/>
        </w:rPr>
        <w:t xml:space="preserve"> </w:t>
      </w:r>
      <w:r>
        <w:rPr>
          <w:rFonts w:ascii="Arial" w:cs="Arial" w:eastAsia="Arial" w:hAnsi="Arial"/>
          <w:sz w:val="16"/>
          <w:szCs w:val="16"/>
          <w:color w:val="auto"/>
        </w:rPr>
        <w:t>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 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21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i w:val="1"/>
          <w:iCs w:val="1"/>
          <w:color w:val="auto"/>
        </w:rPr>
        <w:t xml:space="preserve">Chief executive officer. </w:t>
      </w:r>
      <w:r>
        <w:rPr>
          <w:rFonts w:ascii="Arial" w:cs="Arial" w:eastAsia="Arial" w:hAnsi="Arial"/>
          <w:sz w:val="17"/>
          <w:szCs w:val="17"/>
          <w:color w:val="auto"/>
        </w:rPr>
        <w:t>Under the Companies Law, the compensation of a public company’s chief executive officer is required to be approved by: (i)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1" w:name="page132"/>
    <w:bookmarkEnd w:id="131"/>
    <w:p>
      <w:pPr>
        <w:spacing w:after="0"/>
        <w:rPr>
          <w:sz w:val="20"/>
          <w:szCs w:val="20"/>
          <w:color w:val="auto"/>
        </w:rPr>
      </w:pPr>
      <w:r>
        <w:rPr>
          <w:rFonts w:ascii="Arial" w:cs="Arial" w:eastAsia="Arial" w:hAnsi="Arial"/>
          <w:sz w:val="18"/>
          <w:szCs w:val="18"/>
          <w:b w:val="1"/>
          <w:bCs w:val="1"/>
          <w:i w:val="1"/>
          <w:iCs w:val="1"/>
          <w:color w:val="auto"/>
        </w:rPr>
        <w:t>Duties of Shareholders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235" w:lineRule="exact"/>
        <w:rPr>
          <w:sz w:val="20"/>
          <w:szCs w:val="20"/>
          <w:color w:val="auto"/>
        </w:rPr>
      </w:pPr>
    </w:p>
    <w:p>
      <w:pPr>
        <w:ind w:left="720" w:hanging="361"/>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an amendment to the articles of association;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an increase in the company’s authorized share capital;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merger; and</w:t>
      </w:r>
    </w:p>
    <w:p>
      <w:pPr>
        <w:spacing w:after="0" w:line="279" w:lineRule="exact"/>
        <w:rPr>
          <w:rFonts w:ascii="Arial" w:cs="Arial" w:eastAsia="Arial" w:hAnsi="Arial"/>
          <w:sz w:val="18"/>
          <w:szCs w:val="18"/>
          <w:color w:val="auto"/>
        </w:rPr>
      </w:pPr>
    </w:p>
    <w:p>
      <w:pPr>
        <w:ind w:left="360" w:right="3440" w:hanging="1"/>
        <w:spacing w:after="0" w:line="634" w:lineRule="auto"/>
        <w:tabs>
          <w:tab w:leader="none" w:pos="702"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approval of related party transactions and acts of office holders that require shareholder approval. A shareholder also has a general duty to refrain from discriminating against other shareholders.</w:t>
      </w:r>
    </w:p>
    <w:p>
      <w:pPr>
        <w:jc w:val="both"/>
        <w:ind w:firstLine="360"/>
        <w:spacing w:after="0" w:line="277" w:lineRule="auto"/>
        <w:rPr>
          <w:sz w:val="20"/>
          <w:szCs w:val="20"/>
          <w:color w:val="auto"/>
        </w:rPr>
      </w:pPr>
      <w:r>
        <w:rPr>
          <w:rFonts w:ascii="Arial" w:cs="Arial" w:eastAsia="Arial" w:hAnsi="Arial"/>
          <w:sz w:val="18"/>
          <w:szCs w:val="18"/>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Private Placements</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“Item 10. Additional Information— Memorandum of Association – Acquisitions under Israeli Law”) or a private placement which qualifies as a related party transaction (see “— Duties of Directors and Officers and Approval of Specified Related Party Transactions under the Israeli Companies Law – Fiduciary Duties of Office Holders”), approval at a general meeting of the shareholders of a company is required.</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b w:val="1"/>
          <w:bCs w:val="1"/>
          <w:color w:val="auto"/>
        </w:rPr>
        <w:t>Exculpation, Insurance and Indemnification of Directors and Officers</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and the Israeli Securities Law, 5728-1968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235" w:lineRule="exact"/>
        <w:rPr>
          <w:sz w:val="20"/>
          <w:szCs w:val="20"/>
          <w:color w:val="auto"/>
        </w:rPr>
      </w:pPr>
    </w:p>
    <w:p>
      <w:pPr>
        <w:jc w:val="both"/>
        <w:ind w:left="720" w:hanging="361"/>
        <w:spacing w:after="0" w:line="255" w:lineRule="auto"/>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247" w:lineRule="exact"/>
        <w:rPr>
          <w:rFonts w:ascii="Arial" w:cs="Arial" w:eastAsia="Arial" w:hAnsi="Arial"/>
          <w:sz w:val="18"/>
          <w:szCs w:val="18"/>
          <w:color w:val="auto"/>
        </w:rPr>
      </w:pPr>
    </w:p>
    <w:p>
      <w:pPr>
        <w:jc w:val="both"/>
        <w:ind w:left="720" w:hanging="361"/>
        <w:spacing w:after="0" w:line="255" w:lineRule="auto"/>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247"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w:t>
      </w:r>
    </w:p>
    <w:p>
      <w:pPr>
        <w:spacing w:after="0" w:line="224"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 and</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33" w:name="page134"/>
    <w:bookmarkEnd w:id="133"/>
    <w:p>
      <w:pPr>
        <w:ind w:left="720" w:hanging="361"/>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224" w:lineRule="exact"/>
        <w:rPr>
          <w:sz w:val="20"/>
          <w:szCs w:val="20"/>
          <w:color w:val="auto"/>
        </w:rPr>
      </w:pPr>
    </w:p>
    <w:p>
      <w:pPr>
        <w:ind w:left="720" w:hanging="361"/>
        <w:spacing w:after="0" w:line="277" w:lineRule="auto"/>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breach of the fiduciary duty to the company, provided that the office holder acted in good faith and had a reasonable basis to believe that the act would not harm the company;</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8"/>
        </w:numPr>
        <w:rPr>
          <w:rFonts w:ascii="Arial" w:cs="Arial" w:eastAsia="Arial" w:hAnsi="Arial"/>
          <w:sz w:val="17"/>
          <w:szCs w:val="17"/>
          <w:color w:val="auto"/>
        </w:rPr>
      </w:pPr>
      <w:r>
        <w:rPr>
          <w:rFonts w:ascii="Arial" w:cs="Arial" w:eastAsia="Arial" w:hAnsi="Arial"/>
          <w:sz w:val="17"/>
          <w:szCs w:val="17"/>
          <w:color w:val="auto"/>
        </w:rPr>
        <w:t>a breach of duty of care to the company or to a third party, to the extent such a breach arises out of the negligent conduct of the office holder;</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an injured party at an Administrative Procedure pursuant to Section 52(54)(a)(1)(a) of the Securities Law; and</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22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Companies Law, a company may not indemnify, exculpate or insure an office holder against any of the following:</w:t>
      </w:r>
    </w:p>
    <w:p>
      <w:pPr>
        <w:spacing w:after="0" w:line="279" w:lineRule="exact"/>
        <w:rPr>
          <w:sz w:val="20"/>
          <w:szCs w:val="20"/>
          <w:color w:val="auto"/>
        </w:rPr>
      </w:pPr>
    </w:p>
    <w:p>
      <w:pPr>
        <w:ind w:left="720" w:hanging="361"/>
        <w:spacing w:after="0" w:line="277"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9"/>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23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annual report,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34" w:name="page135"/>
    <w:bookmarkEnd w:id="134"/>
    <w:p>
      <w:pPr>
        <w:spacing w:after="0" w:line="277" w:lineRule="auto"/>
        <w:rPr>
          <w:sz w:val="20"/>
          <w:szCs w:val="20"/>
          <w:color w:val="auto"/>
        </w:rPr>
      </w:pPr>
      <w:r>
        <w:rPr>
          <w:rFonts w:ascii="Arial" w:cs="Arial" w:eastAsia="Arial" w:hAnsi="Arial"/>
          <w:sz w:val="18"/>
          <w:szCs w:val="18"/>
          <w:color w:val="auto"/>
        </w:rPr>
        <w:t>See "Item 7. Major Shareholders and Related Party Transactions – B. Related Party Transactions - Directors and Officers Insurance Policy and Indemnification Agreements" for information regarding letters of indemnification to directors and officers of the Company.</w:t>
      </w:r>
    </w:p>
    <w:p>
      <w:pPr>
        <w:spacing w:after="0" w:line="220" w:lineRule="exact"/>
        <w:rPr>
          <w:sz w:val="20"/>
          <w:szCs w:val="20"/>
          <w:color w:val="auto"/>
        </w:rPr>
      </w:pPr>
    </w:p>
    <w:p>
      <w:pPr>
        <w:ind w:left="680" w:hanging="672"/>
        <w:spacing w:after="0"/>
        <w:tabs>
          <w:tab w:leader="none" w:pos="680" w:val="left"/>
        </w:tabs>
        <w:numPr>
          <w:ilvl w:val="0"/>
          <w:numId w:val="90"/>
        </w:numPr>
        <w:rPr>
          <w:rFonts w:ascii="Arial" w:cs="Arial" w:eastAsia="Arial" w:hAnsi="Arial"/>
          <w:sz w:val="18"/>
          <w:szCs w:val="18"/>
          <w:b w:val="1"/>
          <w:bCs w:val="1"/>
          <w:color w:val="auto"/>
        </w:rPr>
      </w:pPr>
      <w:r>
        <w:rPr>
          <w:rFonts w:ascii="Arial" w:cs="Arial" w:eastAsia="Arial" w:hAnsi="Arial"/>
          <w:sz w:val="18"/>
          <w:szCs w:val="18"/>
          <w:b w:val="1"/>
          <w:bCs w:val="1"/>
          <w:color w:val="auto"/>
        </w:rPr>
        <w:t>Employees</w:t>
      </w:r>
    </w:p>
    <w:p>
      <w:pPr>
        <w:spacing w:after="0" w:line="28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As of December 31, 2018, we had 56 employees, all of which are located in Israel.</w:t>
      </w:r>
    </w:p>
    <w:p>
      <w:pPr>
        <w:spacing w:after="0" w:line="221"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As of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2016</w:t>
            </w:r>
          </w:p>
        </w:tc>
        <w:tc>
          <w:tcPr>
            <w:tcW w:w="1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gridSpan w:val="2"/>
          </w:tcPr>
          <w:p>
            <w:pPr>
              <w:ind w:left="220"/>
              <w:spacing w:after="0"/>
              <w:rPr>
                <w:sz w:val="20"/>
                <w:szCs w:val="20"/>
                <w:color w:val="auto"/>
              </w:rPr>
            </w:pPr>
            <w:r>
              <w:rPr>
                <w:rFonts w:ascii="Arial" w:cs="Arial" w:eastAsia="Arial" w:hAnsi="Arial"/>
                <w:sz w:val="18"/>
                <w:szCs w:val="18"/>
                <w:b w:val="1"/>
                <w:bCs w:val="1"/>
                <w:color w:val="auto"/>
              </w:rPr>
              <w:t>2017</w:t>
            </w: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gridSpan w:val="2"/>
          </w:tcPr>
          <w:p>
            <w:pPr>
              <w:ind w:left="200"/>
              <w:spacing w:after="0"/>
              <w:rPr>
                <w:sz w:val="20"/>
                <w:szCs w:val="20"/>
                <w:color w:val="auto"/>
              </w:rPr>
            </w:pPr>
            <w:r>
              <w:rPr>
                <w:rFonts w:ascii="Arial" w:cs="Arial" w:eastAsia="Arial" w:hAnsi="Arial"/>
                <w:sz w:val="18"/>
                <w:szCs w:val="18"/>
                <w:b w:val="1"/>
                <w:bCs w:val="1"/>
                <w:color w:val="auto"/>
              </w:rPr>
              <w:t>2018</w:t>
            </w: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34"/>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28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Company</w:t>
            </w:r>
          </w:p>
        </w:tc>
        <w:tc>
          <w:tcPr>
            <w:tcW w:w="1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Company</w:t>
            </w:r>
          </w:p>
        </w:tc>
        <w:tc>
          <w:tcPr>
            <w:tcW w:w="1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Company</w:t>
            </w:r>
          </w:p>
        </w:tc>
        <w:tc>
          <w:tcPr>
            <w:tcW w:w="12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45"/>
        </w:trPr>
        <w:tc>
          <w:tcPr>
            <w:tcW w:w="20" w:type="dxa"/>
            <w:vAlign w:val="bottom"/>
          </w:tcPr>
          <w:p>
            <w:pPr>
              <w:spacing w:after="0"/>
              <w:rPr>
                <w:sz w:val="21"/>
                <w:szCs w:val="21"/>
                <w:color w:val="auto"/>
              </w:rPr>
            </w:pPr>
          </w:p>
        </w:tc>
        <w:tc>
          <w:tcPr>
            <w:tcW w:w="3320" w:type="dxa"/>
            <w:vAlign w:val="bottom"/>
          </w:tcPr>
          <w:p>
            <w:pPr>
              <w:spacing w:after="0"/>
              <w:rPr>
                <w:sz w:val="21"/>
                <w:szCs w:val="21"/>
                <w:color w:val="auto"/>
              </w:rPr>
            </w:pPr>
          </w:p>
        </w:tc>
        <w:tc>
          <w:tcPr>
            <w:tcW w:w="1280" w:type="dxa"/>
            <w:vAlign w:val="bottom"/>
            <w:gridSpan w:val="2"/>
          </w:tcPr>
          <w:p>
            <w:pPr>
              <w:spacing w:after="0"/>
              <w:rPr>
                <w:sz w:val="20"/>
                <w:szCs w:val="20"/>
                <w:color w:val="auto"/>
              </w:rPr>
            </w:pPr>
            <w:r>
              <w:rPr>
                <w:rFonts w:ascii="Arial" w:cs="Arial" w:eastAsia="Arial" w:hAnsi="Arial"/>
                <w:sz w:val="18"/>
                <w:szCs w:val="18"/>
                <w:b w:val="1"/>
                <w:bCs w:val="1"/>
                <w:color w:val="auto"/>
              </w:rPr>
              <w:t>Employees</w:t>
            </w:r>
          </w:p>
        </w:tc>
        <w:tc>
          <w:tcPr>
            <w:tcW w:w="1280" w:type="dxa"/>
            <w:vAlign w:val="bottom"/>
            <w:gridSpan w:val="2"/>
          </w:tcPr>
          <w:p>
            <w:pPr>
              <w:ind w:left="120"/>
              <w:spacing w:after="0"/>
              <w:rPr>
                <w:sz w:val="20"/>
                <w:szCs w:val="20"/>
                <w:color w:val="auto"/>
              </w:rPr>
            </w:pPr>
            <w:r>
              <w:rPr>
                <w:rFonts w:ascii="Arial" w:cs="Arial" w:eastAsia="Arial" w:hAnsi="Arial"/>
                <w:sz w:val="18"/>
                <w:szCs w:val="18"/>
                <w:b w:val="1"/>
                <w:bCs w:val="1"/>
                <w:color w:val="auto"/>
              </w:rPr>
              <w:t>Consultants</w:t>
            </w:r>
          </w:p>
        </w:tc>
        <w:tc>
          <w:tcPr>
            <w:tcW w:w="220" w:type="dxa"/>
            <w:vAlign w:val="bottom"/>
          </w:tcPr>
          <w:p>
            <w:pPr>
              <w:spacing w:after="0"/>
              <w:rPr>
                <w:sz w:val="21"/>
                <w:szCs w:val="21"/>
                <w:color w:val="auto"/>
              </w:rPr>
            </w:pPr>
          </w:p>
        </w:tc>
        <w:tc>
          <w:tcPr>
            <w:tcW w:w="1240" w:type="dxa"/>
            <w:vAlign w:val="bottom"/>
            <w:gridSpan w:val="2"/>
          </w:tcPr>
          <w:p>
            <w:pPr>
              <w:spacing w:after="0"/>
              <w:rPr>
                <w:sz w:val="20"/>
                <w:szCs w:val="20"/>
                <w:color w:val="auto"/>
              </w:rPr>
            </w:pPr>
            <w:r>
              <w:rPr>
                <w:rFonts w:ascii="Arial" w:cs="Arial" w:eastAsia="Arial" w:hAnsi="Arial"/>
                <w:sz w:val="18"/>
                <w:szCs w:val="18"/>
                <w:b w:val="1"/>
                <w:bCs w:val="1"/>
                <w:color w:val="auto"/>
              </w:rPr>
              <w:t>Employees</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8"/>
              </w:rPr>
              <w:t>Consultants</w:t>
            </w:r>
          </w:p>
        </w:tc>
        <w:tc>
          <w:tcPr>
            <w:tcW w:w="200" w:type="dxa"/>
            <w:vAlign w:val="bottom"/>
          </w:tcPr>
          <w:p>
            <w:pPr>
              <w:spacing w:after="0"/>
              <w:rPr>
                <w:sz w:val="21"/>
                <w:szCs w:val="21"/>
                <w:color w:val="auto"/>
              </w:rPr>
            </w:pPr>
          </w:p>
        </w:tc>
        <w:tc>
          <w:tcPr>
            <w:tcW w:w="1240" w:type="dxa"/>
            <w:vAlign w:val="bottom"/>
            <w:gridSpan w:val="2"/>
          </w:tcPr>
          <w:p>
            <w:pPr>
              <w:spacing w:after="0"/>
              <w:rPr>
                <w:sz w:val="20"/>
                <w:szCs w:val="20"/>
                <w:color w:val="auto"/>
              </w:rPr>
            </w:pPr>
            <w:r>
              <w:rPr>
                <w:rFonts w:ascii="Arial" w:cs="Arial" w:eastAsia="Arial" w:hAnsi="Arial"/>
                <w:sz w:val="18"/>
                <w:szCs w:val="18"/>
                <w:b w:val="1"/>
                <w:bCs w:val="1"/>
                <w:color w:val="auto"/>
              </w:rPr>
              <w:t>Employees</w:t>
            </w: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Consultants</w:t>
            </w: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Management and administration</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280" w:type="dxa"/>
            <w:vAlign w:val="bottom"/>
            <w:gridSpan w:val="2"/>
          </w:tcPr>
          <w:p>
            <w:pPr>
              <w:jc w:val="right"/>
              <w:ind w:right="120"/>
              <w:spacing w:after="0"/>
              <w:rPr>
                <w:sz w:val="20"/>
                <w:szCs w:val="20"/>
                <w:color w:val="auto"/>
              </w:rPr>
            </w:pPr>
            <w:r>
              <w:rPr>
                <w:rFonts w:ascii="Arial" w:cs="Arial" w:eastAsia="Arial" w:hAnsi="Arial"/>
                <w:sz w:val="18"/>
                <w:szCs w:val="18"/>
                <w:color w:val="auto"/>
              </w:rPr>
              <w:t>33</w:t>
            </w: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460" w:type="dxa"/>
            <w:vAlign w:val="bottom"/>
            <w:gridSpan w:val="3"/>
          </w:tcPr>
          <w:p>
            <w:pPr>
              <w:jc w:val="right"/>
              <w:ind w:right="100"/>
              <w:spacing w:after="0"/>
              <w:rPr>
                <w:sz w:val="20"/>
                <w:szCs w:val="20"/>
                <w:color w:val="auto"/>
              </w:rPr>
            </w:pPr>
            <w:r>
              <w:rPr>
                <w:rFonts w:ascii="Arial" w:cs="Arial" w:eastAsia="Arial" w:hAnsi="Arial"/>
                <w:sz w:val="18"/>
                <w:szCs w:val="18"/>
                <w:color w:val="auto"/>
              </w:rPr>
              <w:t>43</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40" w:type="dxa"/>
            <w:vAlign w:val="bottom"/>
            <w:gridSpan w:val="3"/>
          </w:tcPr>
          <w:p>
            <w:pPr>
              <w:jc w:val="right"/>
              <w:ind w:right="100"/>
              <w:spacing w:after="0"/>
              <w:rPr>
                <w:sz w:val="20"/>
                <w:szCs w:val="20"/>
                <w:color w:val="auto"/>
              </w:rPr>
            </w:pPr>
            <w:r>
              <w:rPr>
                <w:rFonts w:ascii="Arial" w:cs="Arial" w:eastAsia="Arial" w:hAnsi="Arial"/>
                <w:sz w:val="18"/>
                <w:szCs w:val="18"/>
                <w:color w:val="auto"/>
              </w:rPr>
              <w:t>48</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bl>
    <w:p>
      <w:pPr>
        <w:spacing w:after="0" w:line="241"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While none of our employees are party to a collective bargaining agreement, certain provisions of the collective bargaining agreements between the Histadrut (General Federation of Labor in Israel) and the Coordination Bureau of Economic Organizations (including the Industrialists’ Associations) are applicable to our employees by order of the Israel Ministry of Labor. These provisions primarily concern the length of the workday, minimum daily wages for professional workers, pension fund benefits for all employees, insurance for work-related accidents, procedures for dismissing employees, determination of severance pay and other conditions of employment. We generally provide our employees with benefits and working conditions beyond the required minimums.</w:t>
      </w:r>
    </w:p>
    <w:p>
      <w:pPr>
        <w:spacing w:after="0" w:line="247" w:lineRule="exact"/>
        <w:rPr>
          <w:sz w:val="20"/>
          <w:szCs w:val="20"/>
          <w:color w:val="auto"/>
        </w:rPr>
      </w:pPr>
    </w:p>
    <w:p>
      <w:pPr>
        <w:ind w:left="400"/>
        <w:spacing w:after="0"/>
        <w:rPr>
          <w:sz w:val="20"/>
          <w:szCs w:val="20"/>
          <w:color w:val="auto"/>
        </w:rPr>
      </w:pPr>
      <w:r>
        <w:rPr>
          <w:rFonts w:ascii="Arial" w:cs="Arial" w:eastAsia="Arial" w:hAnsi="Arial"/>
          <w:sz w:val="18"/>
          <w:szCs w:val="18"/>
          <w:color w:val="auto"/>
        </w:rPr>
        <w:t>We have never experienced any employment-related work stoppages and believe our relationship with our employees is good.</w:t>
      </w:r>
    </w:p>
    <w:p>
      <w:pPr>
        <w:spacing w:after="0" w:line="275" w:lineRule="exact"/>
        <w:rPr>
          <w:sz w:val="20"/>
          <w:szCs w:val="20"/>
          <w:color w:val="auto"/>
        </w:rPr>
      </w:pPr>
    </w:p>
    <w:p>
      <w:pPr>
        <w:ind w:left="620" w:hanging="612"/>
        <w:spacing w:after="0"/>
        <w:tabs>
          <w:tab w:leader="none" w:pos="620" w:val="left"/>
        </w:tabs>
        <w:numPr>
          <w:ilvl w:val="0"/>
          <w:numId w:val="91"/>
        </w:numPr>
        <w:rPr>
          <w:rFonts w:ascii="Arial" w:cs="Arial" w:eastAsia="Arial" w:hAnsi="Arial"/>
          <w:sz w:val="18"/>
          <w:szCs w:val="18"/>
          <w:b w:val="1"/>
          <w:bCs w:val="1"/>
          <w:color w:val="auto"/>
        </w:rPr>
      </w:pPr>
      <w:r>
        <w:rPr>
          <w:rFonts w:ascii="Arial" w:cs="Arial" w:eastAsia="Arial" w:hAnsi="Arial"/>
          <w:sz w:val="18"/>
          <w:szCs w:val="18"/>
          <w:b w:val="1"/>
          <w:bCs w:val="1"/>
          <w:color w:val="auto"/>
        </w:rPr>
        <w:t>Share Ownership</w:t>
      </w:r>
    </w:p>
    <w:p>
      <w:pPr>
        <w:spacing w:after="0" w:line="28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For information regarding the share ownership of our directors and executive officers, please see “Item 7.A. Major Shareholders.”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Award Plans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2014 Share Incentive Plan</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On December 2, 2014, we adopted the 2014 Share Incentive Plan, or the Plan, and, in connection with our initial public offering, we amended and restated the Plan which became effective immediately after the pricing of our initial public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35" w:name="page136"/>
    <w:bookmarkEnd w:id="135"/>
    <w:p>
      <w:pPr>
        <w:jc w:val="both"/>
        <w:ind w:firstLine="360"/>
        <w:spacing w:after="0" w:line="259" w:lineRule="auto"/>
        <w:rPr>
          <w:sz w:val="20"/>
          <w:szCs w:val="20"/>
          <w:color w:val="auto"/>
        </w:rPr>
      </w:pPr>
      <w:r>
        <w:rPr>
          <w:rFonts w:ascii="Arial" w:cs="Arial" w:eastAsia="Arial" w:hAnsi="Arial"/>
          <w:sz w:val="18"/>
          <w:szCs w:val="18"/>
          <w:color w:val="auto"/>
        </w:rPr>
        <w:t>Under the Plan, as amended and restated, we may issue up to 1,350,000 of our ordinary shares,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 Any options granted under the Plan to participants in the United States will be either “incentive stock options,” which may be eligible for special tax treatment under the Internal Revenue Code of 1986, or options other than incentive stock options (referred to as “nonqualified stock options”), as determined by our compensation committee or our board of directors and stated in the option agreement.</w:t>
      </w:r>
    </w:p>
    <w:p>
      <w:pPr>
        <w:spacing w:after="0" w:line="237"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36" w:name="page137"/>
    <w:bookmarkEnd w:id="136"/>
    <w:p>
      <w:pPr>
        <w:jc w:val="both"/>
        <w:ind w:firstLine="360"/>
        <w:spacing w:after="0" w:line="255" w:lineRule="auto"/>
        <w:rPr>
          <w:sz w:val="20"/>
          <w:szCs w:val="20"/>
          <w:color w:val="auto"/>
        </w:rPr>
      </w:pPr>
      <w:r>
        <w:rPr>
          <w:rFonts w:ascii="Arial" w:cs="Arial" w:eastAsia="Arial" w:hAnsi="Arial"/>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247"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23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Any equity award to an office holder, director or controlling shareholder, whether under the Plan or otherwise, may be subject to further approvals in addition to the approval of the compensation committee as described above. As of December 31, 2018, options to purchase 1,182,666 ordinary shares, at a weighted average exercise price of $5.0 per share, were outstanding under our Plan.</w:t>
      </w:r>
    </w:p>
    <w:p>
      <w:pPr>
        <w:spacing w:after="0" w:line="23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7"/>
          <w:szCs w:val="17"/>
          <w:b w:val="1"/>
          <w:bCs w:val="1"/>
          <w:color w:val="auto"/>
        </w:rPr>
        <w:t>MAJOR SHAREHOLDERS AND RELATED PARTY TRANSACTIONS</w:t>
      </w:r>
    </w:p>
    <w:p>
      <w:pPr>
        <w:spacing w:after="0" w:line="279" w:lineRule="exact"/>
        <w:rPr>
          <w:sz w:val="20"/>
          <w:szCs w:val="20"/>
          <w:color w:val="auto"/>
        </w:rPr>
      </w:pPr>
    </w:p>
    <w:p>
      <w:pPr>
        <w:ind w:left="640" w:hanging="632"/>
        <w:spacing w:after="0"/>
        <w:tabs>
          <w:tab w:leader="none" w:pos="640" w:val="left"/>
        </w:tabs>
        <w:numPr>
          <w:ilvl w:val="0"/>
          <w:numId w:val="92"/>
        </w:numPr>
        <w:rPr>
          <w:rFonts w:ascii="Arial" w:cs="Arial" w:eastAsia="Arial" w:hAnsi="Arial"/>
          <w:sz w:val="18"/>
          <w:szCs w:val="18"/>
          <w:b w:val="1"/>
          <w:bCs w:val="1"/>
          <w:color w:val="auto"/>
        </w:rPr>
      </w:pPr>
      <w:r>
        <w:rPr>
          <w:rFonts w:ascii="Arial" w:cs="Arial" w:eastAsia="Arial" w:hAnsi="Arial"/>
          <w:sz w:val="18"/>
          <w:szCs w:val="18"/>
          <w:b w:val="1"/>
          <w:bCs w:val="1"/>
          <w:color w:val="auto"/>
        </w:rPr>
        <w:t>Major Shareholders</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information with respect to the beneficial ownership of our ordinary shares as of December 31, 2018 by:</w:t>
      </w:r>
    </w:p>
    <w:p>
      <w:pPr>
        <w:spacing w:after="0" w:line="279" w:lineRule="exact"/>
        <w:rPr>
          <w:sz w:val="20"/>
          <w:szCs w:val="20"/>
          <w:color w:val="auto"/>
        </w:rPr>
      </w:pPr>
    </w:p>
    <w:p>
      <w:pPr>
        <w:ind w:left="720" w:hanging="361"/>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each person or entity known by us to own beneficially 5% or more of our outstanding ordinary shares;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each of our directors, executive officers and director nominees;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all of our executive officers, directors and director nominees as a group.</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March 20, 2018,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is based on 18,949,968 ordinary shares outstanding as of March 20, 2019.</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37" w:name="page138"/>
    <w:bookmarkEnd w:id="137"/>
    <w:p>
      <w:pPr>
        <w:ind w:firstLine="360"/>
        <w:spacing w:after="0" w:line="277" w:lineRule="auto"/>
        <w:rPr>
          <w:sz w:val="20"/>
          <w:szCs w:val="20"/>
          <w:color w:val="auto"/>
        </w:rPr>
      </w:pPr>
      <w:r>
        <w:rPr>
          <w:rFonts w:ascii="Arial" w:cs="Arial" w:eastAsia="Arial" w:hAnsi="Arial"/>
          <w:sz w:val="18"/>
          <w:szCs w:val="18"/>
          <w:color w:val="auto"/>
        </w:rPr>
        <w:t>Except where otherwise indicated, we believe, based on information furnished to us by such owners, that the beneficial owners of the ordinary shares listed below have sole investment and voting power with respect to such shares.</w:t>
      </w:r>
    </w:p>
    <w:p>
      <w:pPr>
        <w:spacing w:after="0" w:line="22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None of our shareholders has different voting rights from other shareholders. We are not aware of any arrangement that may, at a subsequent date, result in a change of control of our company.</w:t>
      </w:r>
    </w:p>
    <w:p>
      <w:pPr>
        <w:spacing w:after="0" w:line="224"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Unless otherwise noted below, the address for each beneficial owner is c/o Sol-Gel Technologies Ltd., 7 Golda Meir St., Weizmann Science Park, Ness Ziona, 7403650 Israel.</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38" w:name="page139"/>
    <w:bookmarkEnd w:id="138"/>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7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60" w:type="dxa"/>
            <w:vAlign w:val="bottom"/>
            <w:gridSpan w:val="5"/>
          </w:tcPr>
          <w:p>
            <w:pPr>
              <w:spacing w:after="0"/>
              <w:rPr>
                <w:sz w:val="20"/>
                <w:szCs w:val="20"/>
                <w:color w:val="auto"/>
              </w:rPr>
            </w:pPr>
            <w:r>
              <w:rPr>
                <w:rFonts w:ascii="Arial" w:cs="Arial" w:eastAsia="Arial" w:hAnsi="Arial"/>
                <w:sz w:val="18"/>
                <w:szCs w:val="18"/>
                <w:b w:val="1"/>
                <w:bCs w:val="1"/>
                <w:color w:val="auto"/>
              </w:rPr>
              <w:t>Shares Beneficially</w:t>
            </w:r>
          </w:p>
        </w:tc>
      </w:tr>
      <w:tr>
        <w:trPr>
          <w:trHeight w:val="241"/>
        </w:trPr>
        <w:tc>
          <w:tcPr>
            <w:tcW w:w="20" w:type="dxa"/>
            <w:vAlign w:val="bottom"/>
          </w:tcPr>
          <w:p>
            <w:pPr>
              <w:spacing w:after="0"/>
              <w:rPr>
                <w:sz w:val="20"/>
                <w:szCs w:val="20"/>
                <w:color w:val="auto"/>
              </w:rPr>
            </w:pPr>
          </w:p>
        </w:tc>
        <w:tc>
          <w:tcPr>
            <w:tcW w:w="7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Owned</w:t>
            </w:r>
          </w:p>
        </w:tc>
        <w:tc>
          <w:tcPr>
            <w:tcW w:w="1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7420" w:type="dxa"/>
            <w:vAlign w:val="bottom"/>
            <w:gridSpan w:val="2"/>
          </w:tcPr>
          <w:p>
            <w:pPr>
              <w:ind w:left="40"/>
              <w:spacing w:after="0"/>
              <w:rPr>
                <w:sz w:val="20"/>
                <w:szCs w:val="20"/>
                <w:color w:val="auto"/>
              </w:rPr>
            </w:pPr>
            <w:r>
              <w:rPr>
                <w:rFonts w:ascii="Arial" w:cs="Arial" w:eastAsia="Arial" w:hAnsi="Arial"/>
                <w:sz w:val="18"/>
                <w:szCs w:val="18"/>
                <w:b w:val="1"/>
                <w:bCs w:val="1"/>
                <w:color w:val="auto"/>
              </w:rPr>
              <w:t>Name of Beneficial Owner</w:t>
            </w:r>
          </w:p>
        </w:tc>
        <w:tc>
          <w:tcPr>
            <w:tcW w:w="1040" w:type="dxa"/>
            <w:vAlign w:val="bottom"/>
            <w:gridSpan w:val="2"/>
          </w:tcPr>
          <w:p>
            <w:pPr>
              <w:spacing w:after="0"/>
              <w:rPr>
                <w:sz w:val="20"/>
                <w:szCs w:val="20"/>
                <w:color w:val="auto"/>
              </w:rPr>
            </w:pPr>
            <w:r>
              <w:rPr>
                <w:rFonts w:ascii="Arial" w:cs="Arial" w:eastAsia="Arial" w:hAnsi="Arial"/>
                <w:sz w:val="18"/>
                <w:szCs w:val="18"/>
                <w:b w:val="1"/>
                <w:bCs w:val="1"/>
                <w:color w:val="auto"/>
              </w:rPr>
              <w:t>Number</w:t>
            </w:r>
          </w:p>
        </w:tc>
        <w:tc>
          <w:tcPr>
            <w:tcW w:w="1060" w:type="dxa"/>
            <w:vAlign w:val="bottom"/>
            <w:gridSpan w:val="2"/>
          </w:tcPr>
          <w:p>
            <w:pPr>
              <w:ind w:left="100"/>
              <w:spacing w:after="0"/>
              <w:rPr>
                <w:sz w:val="20"/>
                <w:szCs w:val="20"/>
                <w:color w:val="auto"/>
              </w:rPr>
            </w:pPr>
            <w:r>
              <w:rPr>
                <w:rFonts w:ascii="Arial" w:cs="Arial" w:eastAsia="Arial" w:hAnsi="Arial"/>
                <w:sz w:val="18"/>
                <w:szCs w:val="18"/>
                <w:b w:val="1"/>
                <w:bCs w:val="1"/>
                <w:color w:val="auto"/>
                <w:w w:val="96"/>
              </w:rPr>
              <w:t>Percentage</w:t>
            </w:r>
          </w:p>
        </w:tc>
        <w:tc>
          <w:tcPr>
            <w:tcW w:w="1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320" w:type="dxa"/>
            <w:vAlign w:val="bottom"/>
            <w:tcBorders>
              <w:top w:val="single" w:sz="8" w:color="auto"/>
            </w:tcBorders>
          </w:tcPr>
          <w:p>
            <w:pPr>
              <w:spacing w:after="0"/>
              <w:rPr>
                <w:sz w:val="20"/>
                <w:szCs w:val="20"/>
                <w:color w:val="auto"/>
              </w:rPr>
            </w:pPr>
            <w:r>
              <w:rPr>
                <w:rFonts w:ascii="Arial" w:cs="Arial" w:eastAsia="Arial" w:hAnsi="Arial"/>
                <w:sz w:val="18"/>
                <w:szCs w:val="18"/>
                <w:b w:val="1"/>
                <w:bCs w:val="1"/>
                <w:i w:val="1"/>
                <w:iCs w:val="1"/>
                <w:color w:val="auto"/>
              </w:rPr>
              <w:t>5% or greater shareholders</w:t>
            </w:r>
          </w:p>
        </w:tc>
        <w:tc>
          <w:tcPr>
            <w:tcW w:w="100" w:type="dxa"/>
            <w:vAlign w:val="bottom"/>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 Arkin Dermatology Ltd. (1)</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13,699,936</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72.3%</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The Phoenix Holding Ltd. (2)</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1,429,761</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7.54%</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Directors, director nominees and executive officers</w:t>
            </w: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Moshe Arkin (1)</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13,699,936</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71.95%</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Alon Seri-Levy</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Gilad Mamlok</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Ofer Toledano</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Ofra Levy-Hacham</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Karine Neimann</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Itzik Yosef</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Dubi Zamir</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Itai Arkin</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Ran Gottfried</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Jerrold S. Gattegno</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Hani Lerman</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Yaffa Krindel Sieradzki</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Jonathan Siegel</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2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37"/>
        </w:trPr>
        <w:tc>
          <w:tcPr>
            <w:tcW w:w="20" w:type="dxa"/>
            <w:vAlign w:val="bottom"/>
          </w:tcPr>
          <w:p>
            <w:pPr>
              <w:spacing w:after="0"/>
              <w:rPr>
                <w:sz w:val="20"/>
                <w:szCs w:val="20"/>
                <w:color w:val="auto"/>
              </w:rPr>
            </w:pPr>
          </w:p>
        </w:tc>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All directors, director nominees and executive officers as a group (16 persons) (1)</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14,164,303</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73.07%</w:t>
            </w:r>
          </w:p>
        </w:tc>
      </w:tr>
      <w:tr>
        <w:trPr>
          <w:trHeight w:val="20"/>
        </w:trPr>
        <w:tc>
          <w:tcPr>
            <w:tcW w:w="20" w:type="dxa"/>
            <w:vAlign w:val="bottom"/>
          </w:tcPr>
          <w:p>
            <w:pPr>
              <w:spacing w:after="0" w:line="20" w:lineRule="exact"/>
              <w:rPr>
                <w:sz w:val="1"/>
                <w:szCs w:val="1"/>
                <w:color w:val="auto"/>
              </w:rPr>
            </w:pPr>
          </w:p>
        </w:tc>
        <w:tc>
          <w:tcPr>
            <w:tcW w:w="73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60007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00075"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360" w:hanging="352"/>
        <w:spacing w:after="0"/>
        <w:tabs>
          <w:tab w:leader="none" w:pos="3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79" w:lineRule="exact"/>
        <w:rPr>
          <w:rFonts w:ascii="Arial" w:cs="Arial" w:eastAsia="Arial" w:hAnsi="Arial"/>
          <w:sz w:val="18"/>
          <w:szCs w:val="18"/>
          <w:color w:val="auto"/>
        </w:rPr>
      </w:pPr>
    </w:p>
    <w:p>
      <w:pPr>
        <w:jc w:val="both"/>
        <w:ind w:left="700" w:hanging="368"/>
        <w:spacing w:after="0" w:line="279" w:lineRule="auto"/>
        <w:tabs>
          <w:tab w:leader="none" w:pos="700" w:val="left"/>
        </w:tabs>
        <w:numPr>
          <w:ilvl w:val="1"/>
          <w:numId w:val="94"/>
        </w:numPr>
        <w:rPr>
          <w:rFonts w:ascii="Arial" w:cs="Arial" w:eastAsia="Arial" w:hAnsi="Arial"/>
          <w:sz w:val="17"/>
          <w:szCs w:val="17"/>
          <w:color w:val="auto"/>
        </w:rPr>
      </w:pPr>
      <w:r>
        <w:rPr>
          <w:rFonts w:ascii="Arial" w:cs="Arial" w:eastAsia="Arial" w:hAnsi="Arial"/>
          <w:sz w:val="17"/>
          <w:szCs w:val="17"/>
          <w:color w:val="auto"/>
        </w:rPr>
        <w:t>Based on the Schedule 13D filed with the SEC on February 1, 2018. All ordinary shares are directly owned by Arkin Dermatology. Mr. Moshe Arkin, the chairman of our board of directors, owns 100% of the outstanding share capital of Arkin Dermatology. As a result, Mr. Moshe Arkin has sole power to vote or to direct the vote and sole power to dispose or to direct the disposition of, all shares owned by Arkin Dermatology. Mr. Moshe Arkin disclaims beneficial ownership in the ordinary shares except to the extent of his pecuniary interest therein.</w:t>
      </w:r>
    </w:p>
    <w:p>
      <w:pPr>
        <w:spacing w:after="0" w:line="225" w:lineRule="exact"/>
        <w:rPr>
          <w:rFonts w:ascii="Arial" w:cs="Arial" w:eastAsia="Arial" w:hAnsi="Arial"/>
          <w:sz w:val="17"/>
          <w:szCs w:val="17"/>
          <w:color w:val="auto"/>
        </w:rPr>
      </w:pPr>
    </w:p>
    <w:p>
      <w:pPr>
        <w:jc w:val="both"/>
        <w:ind w:left="700" w:hanging="368"/>
        <w:spacing w:after="0" w:line="272" w:lineRule="auto"/>
        <w:tabs>
          <w:tab w:leader="none" w:pos="700" w:val="left"/>
        </w:tabs>
        <w:numPr>
          <w:ilvl w:val="1"/>
          <w:numId w:val="94"/>
        </w:numPr>
        <w:rPr>
          <w:rFonts w:ascii="Arial" w:cs="Arial" w:eastAsia="Arial" w:hAnsi="Arial"/>
          <w:sz w:val="17"/>
          <w:szCs w:val="17"/>
          <w:color w:val="auto"/>
        </w:rPr>
      </w:pPr>
      <w:r>
        <w:rPr>
          <w:rFonts w:ascii="Arial" w:cs="Arial" w:eastAsia="Arial" w:hAnsi="Arial"/>
          <w:sz w:val="17"/>
          <w:szCs w:val="17"/>
          <w:color w:val="auto"/>
        </w:rPr>
        <w:t>Based on the Schedule 13G filed with the SEC on February 14, 2019. The securities reported herein are beneficially owned by various direct or indirect, majority or wholly-owned subsidiaries of the Phoenix Holding Ltd.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 The Phoenix Holding Ltd. is a majority-owned subsidiary of Delek Group Ltd. The majority of Delek Group Ltd.'s outstanding share capital and voting rights are owned, directly and indirectly, by Itshak Sharon (Tshuva) through private companies wholly-owned by him, and the remainder is held by the public.</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39" w:name="page140"/>
    <w:bookmarkEnd w:id="139"/>
    <w:p>
      <w:pPr>
        <w:spacing w:after="0"/>
        <w:rPr>
          <w:sz w:val="20"/>
          <w:szCs w:val="20"/>
          <w:color w:val="auto"/>
        </w:rPr>
      </w:pPr>
      <w:r>
        <w:rPr>
          <w:rFonts w:ascii="Arial" w:cs="Arial" w:eastAsia="Arial" w:hAnsi="Arial"/>
          <w:sz w:val="18"/>
          <w:szCs w:val="18"/>
          <w:i w:val="1"/>
          <w:iCs w:val="1"/>
          <w:color w:val="auto"/>
        </w:rPr>
        <w:t>Record Holders</w:t>
      </w:r>
    </w:p>
    <w:p>
      <w:pPr>
        <w:spacing w:after="0" w:line="279" w:lineRule="exact"/>
        <w:rPr>
          <w:sz w:val="20"/>
          <w:szCs w:val="20"/>
          <w:color w:val="auto"/>
        </w:rPr>
      </w:pPr>
    </w:p>
    <w:p>
      <w:pPr>
        <w:jc w:val="both"/>
        <w:ind w:firstLine="638"/>
        <w:spacing w:after="0" w:line="279" w:lineRule="auto"/>
        <w:rPr>
          <w:sz w:val="20"/>
          <w:szCs w:val="20"/>
          <w:color w:val="auto"/>
        </w:rPr>
      </w:pPr>
      <w:r>
        <w:rPr>
          <w:rFonts w:ascii="Arial" w:cs="Arial" w:eastAsia="Arial" w:hAnsi="Arial"/>
          <w:sz w:val="17"/>
          <w:szCs w:val="17"/>
          <w:color w:val="auto"/>
        </w:rPr>
        <w:t>As of March 12, 2019, we had one holder of record of our ordinary shares in the United States, consisting of Cede &amp; Co., the nominee of The Depository Trust Company. That shareholder held, in the aggregate, 7,214,899 ordinary shares, representing 38%% of the outstanding ordinary shares as of March 12, 2019. The number of record holders in the United States is not representative of the number of beneficial holders nor is it representative of where such beneficial holders are resident since many of these ordinary shares were held by brokers or other nominees.</w:t>
      </w:r>
    </w:p>
    <w:p>
      <w:pPr>
        <w:spacing w:after="0" w:line="221" w:lineRule="exact"/>
        <w:rPr>
          <w:sz w:val="20"/>
          <w:szCs w:val="20"/>
          <w:color w:val="auto"/>
        </w:rPr>
      </w:pPr>
    </w:p>
    <w:p>
      <w:pPr>
        <w:ind w:left="720" w:hanging="712"/>
        <w:spacing w:after="0"/>
        <w:tabs>
          <w:tab w:leader="none" w:pos="720" w:val="left"/>
        </w:tabs>
        <w:numPr>
          <w:ilvl w:val="0"/>
          <w:numId w:val="95"/>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Project Transfer From Our Controlling Shareholder</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On August 22, 2017, our controlling shareholder, Arkin Dermatology, transferred an in-process research and development generic product candidate to us, in consideration of one ordinary share (two ordinary shares after giving effect to the stock split).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Loan Agreements with Our Controlling Shareholder</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From January 1, 2014 until June 28, 2017, we received several loans in an aggregate principal amount of approximately $65.34 million from Mr. Moshe Arkin, our controlling shareholder. These loans were denominated in U.S. dollars, bore no interest and were backed by a promissory note, or the Promissory Note. The Promissory Note was an unsecured note, had no repayment date and was subject to acceleration in certain events of default.</w:t>
      </w:r>
    </w:p>
    <w:p>
      <w:pPr>
        <w:spacing w:after="0" w:line="220"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The Promissory Note was automatically converted into an aggregate of 5,444,825 ordinary shares immediately prior to the closing of our initial public offering. The number of shares issued upon conversion of the promissory note was determined by dividing the principal amount of the promissory note at the time of conversion by the initial public offering price per ordinary share in our initial public offering. The Promissory Note was assigned to Arkin Dermatology immediately prior to the automatic conversion thereof, and the ordinary shares issued pursuant to the automatic conversion of the Promissory Note are held by Arkin Dermatology. Mr. Moshe Arkin, the chairman of our board of directors, owns 100% of the share capital of Arkin Dermatology.</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Participation in Our Initial Public Offering</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According to Form 13D filed by it on February 12, 2018, our controlling shareholder, Arkin Dermatology, which is wholly-owned by the chairman of our board of directors, purchased 1,833,333 of our ordinary shares in our initial public offering in consideration for $22.0 million, on the same terms as the other purchasers in the offering.</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40" w:name="page141"/>
    <w:bookmarkEnd w:id="140"/>
    <w:p>
      <w:pPr>
        <w:spacing w:after="0"/>
        <w:rPr>
          <w:sz w:val="20"/>
          <w:szCs w:val="20"/>
          <w:color w:val="auto"/>
        </w:rPr>
      </w:pPr>
      <w:r>
        <w:rPr>
          <w:rFonts w:ascii="Arial" w:cs="Arial" w:eastAsia="Arial" w:hAnsi="Arial"/>
          <w:sz w:val="18"/>
          <w:szCs w:val="18"/>
          <w:i w:val="1"/>
          <w:iCs w:val="1"/>
          <w:color w:val="auto"/>
        </w:rPr>
        <w:t>Directors and Officers Insurance Policy and Indemnification Agreements</w:t>
      </w:r>
    </w:p>
    <w:p>
      <w:pPr>
        <w:spacing w:after="0" w:line="279" w:lineRule="exact"/>
        <w:rPr>
          <w:sz w:val="20"/>
          <w:szCs w:val="20"/>
          <w:color w:val="auto"/>
        </w:rPr>
      </w:pPr>
    </w:p>
    <w:p>
      <w:pPr>
        <w:jc w:val="both"/>
        <w:ind w:firstLine="360"/>
        <w:spacing w:after="0" w:line="256" w:lineRule="auto"/>
        <w:rPr>
          <w:sz w:val="20"/>
          <w:szCs w:val="20"/>
          <w:color w:val="auto"/>
        </w:rPr>
      </w:pPr>
      <w:r>
        <w:rPr>
          <w:rFonts w:ascii="Arial" w:cs="Arial" w:eastAsia="Arial" w:hAnsi="Arial"/>
          <w:sz w:val="18"/>
          <w:szCs w:val="18"/>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w:t>
      </w:r>
    </w:p>
    <w:p>
      <w:pPr>
        <w:spacing w:after="0"/>
        <w:rPr>
          <w:sz w:val="20"/>
          <w:szCs w:val="20"/>
          <w:color w:val="auto"/>
        </w:rPr>
      </w:pPr>
      <w:r>
        <w:rPr>
          <w:rFonts w:ascii="Arial" w:cs="Arial" w:eastAsia="Arial" w:hAnsi="Arial"/>
          <w:sz w:val="18"/>
          <w:szCs w:val="18"/>
          <w:color w:val="auto"/>
        </w:rPr>
        <w:t>“Item 6 C. – Board Practices – Exculpation, Insurance and Indemnification of Directors and Officers”.</w:t>
      </w:r>
    </w:p>
    <w:p>
      <w:pPr>
        <w:spacing w:after="0" w:line="265"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We entered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our initial public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Registration Rights Agreement</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We entered into a registration rights agreement, pursuant to which we granted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with the underwriters in connection with our initial public offering.</w:t>
      </w:r>
    </w:p>
    <w:p>
      <w:pPr>
        <w:spacing w:after="0" w:line="221" w:lineRule="exact"/>
        <w:rPr>
          <w:sz w:val="20"/>
          <w:szCs w:val="20"/>
          <w:color w:val="auto"/>
        </w:rPr>
      </w:pPr>
    </w:p>
    <w:p>
      <w:pPr>
        <w:ind w:left="640" w:hanging="632"/>
        <w:spacing w:after="0"/>
        <w:tabs>
          <w:tab w:leader="none" w:pos="640" w:val="left"/>
        </w:tabs>
        <w:numPr>
          <w:ilvl w:val="0"/>
          <w:numId w:val="96"/>
        </w:numPr>
        <w:rPr>
          <w:rFonts w:ascii="Arial" w:cs="Arial" w:eastAsia="Arial" w:hAnsi="Arial"/>
          <w:sz w:val="18"/>
          <w:szCs w:val="18"/>
          <w:b w:val="1"/>
          <w:bCs w:val="1"/>
          <w:color w:val="auto"/>
        </w:rPr>
      </w:pPr>
      <w:r>
        <w:rPr>
          <w:rFonts w:ascii="Arial" w:cs="Arial" w:eastAsia="Arial" w:hAnsi="Arial"/>
          <w:sz w:val="18"/>
          <w:szCs w:val="18"/>
          <w:b w:val="1"/>
          <w:bCs w:val="1"/>
          <w:color w:val="auto"/>
        </w:rPr>
        <w:t>Interests of Experts and Counsel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8"/>
          <w:szCs w:val="18"/>
          <w:b w:val="1"/>
          <w:bCs w:val="1"/>
          <w:color w:val="auto"/>
        </w:rPr>
        <w:t>FINANCIAL INFORMATION</w:t>
      </w:r>
    </w:p>
    <w:p>
      <w:pPr>
        <w:spacing w:after="0" w:line="279" w:lineRule="exact"/>
        <w:rPr>
          <w:sz w:val="20"/>
          <w:szCs w:val="20"/>
          <w:color w:val="auto"/>
        </w:rPr>
      </w:pPr>
    </w:p>
    <w:p>
      <w:pPr>
        <w:ind w:left="720" w:hanging="712"/>
        <w:spacing w:after="0"/>
        <w:tabs>
          <w:tab w:leader="none" w:pos="720" w:val="left"/>
        </w:tabs>
        <w:numPr>
          <w:ilvl w:val="0"/>
          <w:numId w:val="97"/>
        </w:numPr>
        <w:rPr>
          <w:rFonts w:ascii="Arial" w:cs="Arial" w:eastAsia="Arial" w:hAnsi="Arial"/>
          <w:sz w:val="18"/>
          <w:szCs w:val="18"/>
          <w:b w:val="1"/>
          <w:bCs w:val="1"/>
          <w:color w:val="auto"/>
        </w:rPr>
      </w:pPr>
      <w:r>
        <w:rPr>
          <w:rFonts w:ascii="Arial" w:cs="Arial" w:eastAsia="Arial" w:hAnsi="Arial"/>
          <w:sz w:val="18"/>
          <w:szCs w:val="18"/>
          <w:b w:val="1"/>
          <w:bCs w:val="1"/>
          <w:color w:val="auto"/>
        </w:rPr>
        <w:t>Financial Statements and Other Financial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required by this item are found at the end of this annual report, beginning on page F-2.</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We are not currently a party to any material legal proceedings.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41" w:name="page142"/>
    <w:bookmarkEnd w:id="141"/>
    <w:p>
      <w:pPr>
        <w:spacing w:after="0"/>
        <w:rPr>
          <w:sz w:val="20"/>
          <w:szCs w:val="20"/>
          <w:color w:val="auto"/>
        </w:rPr>
      </w:pPr>
      <w:r>
        <w:rPr>
          <w:rFonts w:ascii="Arial" w:cs="Arial" w:eastAsia="Arial" w:hAnsi="Arial"/>
          <w:sz w:val="18"/>
          <w:szCs w:val="18"/>
          <w:b w:val="1"/>
          <w:bCs w:val="1"/>
          <w:color w:val="auto"/>
        </w:rPr>
        <w:t>Dividend Policy</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235"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221" w:lineRule="exact"/>
        <w:rPr>
          <w:sz w:val="20"/>
          <w:szCs w:val="20"/>
          <w:color w:val="auto"/>
        </w:rPr>
      </w:pPr>
    </w:p>
    <w:p>
      <w:pPr>
        <w:ind w:left="620" w:hanging="612"/>
        <w:spacing w:after="0"/>
        <w:tabs>
          <w:tab w:leader="none" w:pos="620" w:val="left"/>
        </w:tabs>
        <w:numPr>
          <w:ilvl w:val="0"/>
          <w:numId w:val="98"/>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Changes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Except as otherwise disclosed in this annual report, no significant change has occurred since December 31, 2018.</w:t>
      </w:r>
    </w:p>
    <w:p>
      <w:pPr>
        <w:spacing w:after="0" w:line="27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THE OFFER AND LISTING</w:t>
      </w:r>
    </w:p>
    <w:p>
      <w:pPr>
        <w:spacing w:after="0" w:line="279" w:lineRule="exact"/>
        <w:rPr>
          <w:sz w:val="20"/>
          <w:szCs w:val="20"/>
          <w:color w:val="auto"/>
        </w:rPr>
      </w:pPr>
    </w:p>
    <w:p>
      <w:pPr>
        <w:ind w:left="640" w:hanging="632"/>
        <w:spacing w:after="0"/>
        <w:tabs>
          <w:tab w:leader="none" w:pos="640" w:val="left"/>
        </w:tabs>
        <w:numPr>
          <w:ilvl w:val="0"/>
          <w:numId w:val="99"/>
        </w:numPr>
        <w:rPr>
          <w:rFonts w:ascii="Arial" w:cs="Arial" w:eastAsia="Arial" w:hAnsi="Arial"/>
          <w:sz w:val="18"/>
          <w:szCs w:val="18"/>
          <w:b w:val="1"/>
          <w:bCs w:val="1"/>
          <w:color w:val="auto"/>
        </w:rPr>
      </w:pPr>
      <w:r>
        <w:rPr>
          <w:rFonts w:ascii="Arial" w:cs="Arial" w:eastAsia="Arial" w:hAnsi="Arial"/>
          <w:sz w:val="18"/>
          <w:szCs w:val="18"/>
          <w:b w:val="1"/>
          <w:bCs w:val="1"/>
          <w:color w:val="auto"/>
        </w:rPr>
        <w:t>Offer and Listing Details</w:t>
      </w:r>
    </w:p>
    <w:p>
      <w:pPr>
        <w:spacing w:after="0" w:line="283" w:lineRule="exact"/>
        <w:rPr>
          <w:sz w:val="20"/>
          <w:szCs w:val="20"/>
          <w:color w:val="auto"/>
        </w:rPr>
      </w:pPr>
    </w:p>
    <w:p>
      <w:pPr>
        <w:ind w:firstLine="383"/>
        <w:spacing w:after="0" w:line="277" w:lineRule="auto"/>
        <w:rPr>
          <w:sz w:val="20"/>
          <w:szCs w:val="20"/>
          <w:color w:val="auto"/>
        </w:rPr>
      </w:pPr>
      <w:r>
        <w:rPr>
          <w:rFonts w:ascii="Arial" w:cs="Arial" w:eastAsia="Arial" w:hAnsi="Arial"/>
          <w:sz w:val="18"/>
          <w:szCs w:val="18"/>
          <w:color w:val="auto"/>
        </w:rPr>
        <w:t>Our Ordinary Shares have been trading on The Nasdaq Global Market under the symbol “SLGL” since February 1, 2018. Prior to that date, there was no public trading market for our Ordinary Shares. Our initial public offering was priced at $12.00 per share on January 31, 2018.</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8"/>
          <w:szCs w:val="18"/>
          <w:color w:val="auto"/>
        </w:rPr>
        <w:t>On March 20, 2019, the last reported closing price of our Ordinary Shares on The Nasdaq Global Market was $6.82 per share.</w:t>
      </w:r>
    </w:p>
    <w:p>
      <w:pPr>
        <w:spacing w:after="0" w:line="248" w:lineRule="exact"/>
        <w:rPr>
          <w:sz w:val="20"/>
          <w:szCs w:val="20"/>
          <w:color w:val="auto"/>
        </w:rPr>
      </w:pPr>
    </w:p>
    <w:p>
      <w:pPr>
        <w:ind w:left="620" w:hanging="612"/>
        <w:spacing w:after="0"/>
        <w:tabs>
          <w:tab w:leader="none" w:pos="620" w:val="left"/>
        </w:tabs>
        <w:numPr>
          <w:ilvl w:val="0"/>
          <w:numId w:val="100"/>
        </w:numPr>
        <w:rPr>
          <w:rFonts w:ascii="Arial" w:cs="Arial" w:eastAsia="Arial" w:hAnsi="Arial"/>
          <w:sz w:val="18"/>
          <w:szCs w:val="18"/>
          <w:b w:val="1"/>
          <w:bCs w:val="1"/>
          <w:color w:val="auto"/>
        </w:rPr>
      </w:pPr>
      <w:r>
        <w:rPr>
          <w:rFonts w:ascii="Arial" w:cs="Arial" w:eastAsia="Arial" w:hAnsi="Arial"/>
          <w:sz w:val="18"/>
          <w:szCs w:val="18"/>
          <w:b w:val="1"/>
          <w:bCs w:val="1"/>
          <w:color w:val="auto"/>
        </w:rPr>
        <w:t>Plan of Distribution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01"/>
        </w:numPr>
        <w:rPr>
          <w:rFonts w:ascii="Arial" w:cs="Arial" w:eastAsia="Arial" w:hAnsi="Arial"/>
          <w:sz w:val="18"/>
          <w:szCs w:val="18"/>
          <w:b w:val="1"/>
          <w:bCs w:val="1"/>
          <w:color w:val="auto"/>
        </w:rPr>
      </w:pPr>
      <w:r>
        <w:rPr>
          <w:rFonts w:ascii="Arial" w:cs="Arial" w:eastAsia="Arial" w:hAnsi="Arial"/>
          <w:sz w:val="18"/>
          <w:szCs w:val="18"/>
          <w:b w:val="1"/>
          <w:bCs w:val="1"/>
          <w:color w:val="auto"/>
        </w:rPr>
        <w:t>Markets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Our Ordinary Shares are listed and traded on The Nasdaq Global Market under the symbol “SLGL”.</w:t>
      </w:r>
    </w:p>
    <w:p>
      <w:pPr>
        <w:spacing w:after="0" w:line="275" w:lineRule="exact"/>
        <w:rPr>
          <w:sz w:val="20"/>
          <w:szCs w:val="20"/>
          <w:color w:val="auto"/>
        </w:rPr>
      </w:pPr>
    </w:p>
    <w:p>
      <w:pPr>
        <w:ind w:left="640" w:hanging="632"/>
        <w:spacing w:after="0"/>
        <w:tabs>
          <w:tab w:leader="none" w:pos="640" w:val="left"/>
        </w:tabs>
        <w:numPr>
          <w:ilvl w:val="0"/>
          <w:numId w:val="102"/>
        </w:numPr>
        <w:rPr>
          <w:rFonts w:ascii="Arial" w:cs="Arial" w:eastAsia="Arial" w:hAnsi="Arial"/>
          <w:sz w:val="18"/>
          <w:szCs w:val="18"/>
          <w:b w:val="1"/>
          <w:bCs w:val="1"/>
          <w:color w:val="auto"/>
        </w:rPr>
      </w:pPr>
      <w:r>
        <w:rPr>
          <w:rFonts w:ascii="Arial" w:cs="Arial" w:eastAsia="Arial" w:hAnsi="Arial"/>
          <w:sz w:val="18"/>
          <w:szCs w:val="18"/>
          <w:b w:val="1"/>
          <w:bCs w:val="1"/>
          <w:color w:val="auto"/>
        </w:rPr>
        <w:t>Selling Shareholders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03"/>
        </w:numPr>
        <w:rPr>
          <w:rFonts w:ascii="Arial" w:cs="Arial" w:eastAsia="Arial" w:hAnsi="Arial"/>
          <w:sz w:val="18"/>
          <w:szCs w:val="18"/>
          <w:b w:val="1"/>
          <w:bCs w:val="1"/>
          <w:color w:val="auto"/>
        </w:rPr>
      </w:pPr>
      <w:r>
        <w:rPr>
          <w:rFonts w:ascii="Arial" w:cs="Arial" w:eastAsia="Arial" w:hAnsi="Arial"/>
          <w:sz w:val="18"/>
          <w:szCs w:val="18"/>
          <w:b w:val="1"/>
          <w:bCs w:val="1"/>
          <w:color w:val="auto"/>
        </w:rPr>
        <w:t>Dilution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42" w:name="page143"/>
    <w:bookmarkEnd w:id="142"/>
    <w:p>
      <w:pPr>
        <w:ind w:left="600" w:hanging="592"/>
        <w:spacing w:after="0"/>
        <w:tabs>
          <w:tab w:leader="none" w:pos="600" w:val="left"/>
        </w:tabs>
        <w:numPr>
          <w:ilvl w:val="0"/>
          <w:numId w:val="104"/>
        </w:numPr>
        <w:rPr>
          <w:rFonts w:ascii="Arial" w:cs="Arial" w:eastAsia="Arial" w:hAnsi="Arial"/>
          <w:sz w:val="18"/>
          <w:szCs w:val="18"/>
          <w:b w:val="1"/>
          <w:bCs w:val="1"/>
          <w:color w:val="auto"/>
        </w:rPr>
      </w:pPr>
      <w:r>
        <w:rPr>
          <w:rFonts w:ascii="Arial" w:cs="Arial" w:eastAsia="Arial" w:hAnsi="Arial"/>
          <w:sz w:val="18"/>
          <w:szCs w:val="18"/>
          <w:b w:val="1"/>
          <w:bCs w:val="1"/>
          <w:color w:val="auto"/>
        </w:rPr>
        <w:t>Expenses of the Issue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8"/>
          <w:szCs w:val="18"/>
          <w:b w:val="1"/>
          <w:bCs w:val="1"/>
          <w:color w:val="auto"/>
        </w:rPr>
        <w:t>ADDITIONAL INFORMATION</w:t>
      </w:r>
    </w:p>
    <w:p>
      <w:pPr>
        <w:spacing w:after="0" w:line="279" w:lineRule="exact"/>
        <w:rPr>
          <w:sz w:val="20"/>
          <w:szCs w:val="20"/>
          <w:color w:val="auto"/>
        </w:rPr>
      </w:pPr>
    </w:p>
    <w:p>
      <w:pPr>
        <w:ind w:left="640" w:hanging="632"/>
        <w:spacing w:after="0"/>
        <w:tabs>
          <w:tab w:leader="none" w:pos="640" w:val="left"/>
        </w:tabs>
        <w:numPr>
          <w:ilvl w:val="0"/>
          <w:numId w:val="105"/>
        </w:numPr>
        <w:rPr>
          <w:rFonts w:ascii="Arial" w:cs="Arial" w:eastAsia="Arial" w:hAnsi="Arial"/>
          <w:sz w:val="18"/>
          <w:szCs w:val="18"/>
          <w:b w:val="1"/>
          <w:bCs w:val="1"/>
          <w:color w:val="auto"/>
        </w:rPr>
      </w:pPr>
      <w:r>
        <w:rPr>
          <w:rFonts w:ascii="Arial" w:cs="Arial" w:eastAsia="Arial" w:hAnsi="Arial"/>
          <w:sz w:val="18"/>
          <w:szCs w:val="18"/>
          <w:b w:val="1"/>
          <w:bCs w:val="1"/>
          <w:color w:val="auto"/>
        </w:rPr>
        <w:t>Share Capital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right="7420" w:firstLine="8"/>
        <w:spacing w:after="0" w:line="601" w:lineRule="auto"/>
        <w:tabs>
          <w:tab w:leader="none" w:pos="615" w:val="left"/>
        </w:tabs>
        <w:numPr>
          <w:ilvl w:val="0"/>
          <w:numId w:val="106"/>
        </w:numPr>
        <w:rPr>
          <w:rFonts w:ascii="Arial" w:cs="Arial" w:eastAsia="Arial" w:hAnsi="Arial"/>
          <w:sz w:val="16"/>
          <w:szCs w:val="16"/>
          <w:b w:val="1"/>
          <w:bCs w:val="1"/>
          <w:color w:val="auto"/>
        </w:rPr>
      </w:pPr>
      <w:r>
        <w:rPr>
          <w:rFonts w:ascii="Arial" w:cs="Arial" w:eastAsia="Arial" w:hAnsi="Arial"/>
          <w:sz w:val="16"/>
          <w:szCs w:val="16"/>
          <w:b w:val="1"/>
          <w:bCs w:val="1"/>
          <w:color w:val="auto"/>
        </w:rPr>
        <w:t>Memorandum and Articles of Association Registration Number and Purposes of the Company</w:t>
      </w:r>
    </w:p>
    <w:p>
      <w:pPr>
        <w:spacing w:after="0" w:line="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registration number with the Israeli Registrar of Companies is 51-254469-3. Our purpose as set forth in our amended and restated articles of association is to engage in any lawful activity.</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 and Conversion</w:t>
      </w:r>
    </w:p>
    <w:p>
      <w:pPr>
        <w:spacing w:after="0" w:line="28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All ordinary shares will have identical voting and other rights in all respects.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Liability to Further Capital Calls</w:t>
      </w:r>
    </w:p>
    <w:p>
      <w:pPr>
        <w:spacing w:after="0" w:line="28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Election of Directors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43" w:name="page144"/>
    <w:bookmarkEnd w:id="143"/>
    <w:p>
      <w:pPr>
        <w:jc w:val="both"/>
        <w:ind w:firstLine="360"/>
        <w:spacing w:after="0" w:line="287" w:lineRule="auto"/>
        <w:rPr>
          <w:sz w:val="20"/>
          <w:szCs w:val="20"/>
          <w:color w:val="auto"/>
        </w:rPr>
      </w:pPr>
      <w:r>
        <w:rPr>
          <w:rFonts w:ascii="Arial" w:cs="Arial" w:eastAsia="Arial" w:hAnsi="Arial"/>
          <w:sz w:val="16"/>
          <w:szCs w:val="16"/>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“Item 6. Directors, Senior Management and Employees — C. Board Practices — Appointment of Directors and Terms of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“Item 6. Directors, Senior Management and Employees — C. Board Practices — External Directors — Election and Dismissal of External Directors.”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and Liquidation Rights</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24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Shareholder Meetings</w:t>
      </w:r>
    </w:p>
    <w:p>
      <w:pPr>
        <w:spacing w:after="0" w:line="28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44" w:name="page145"/>
    <w:bookmarkEnd w:id="144"/>
    <w:p>
      <w:pPr>
        <w:jc w:val="both"/>
        <w:ind w:right="20" w:firstLine="360"/>
        <w:spacing w:after="0" w:line="342" w:lineRule="auto"/>
        <w:rPr>
          <w:sz w:val="20"/>
          <w:szCs w:val="20"/>
          <w:color w:val="auto"/>
        </w:rPr>
      </w:pPr>
      <w:r>
        <w:rPr>
          <w:rFonts w:ascii="Arial" w:cs="Arial" w:eastAsia="Arial" w:hAnsi="Arial"/>
          <w:sz w:val="16"/>
          <w:szCs w:val="16"/>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178"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201" w:lineRule="exact"/>
        <w:rPr>
          <w:sz w:val="20"/>
          <w:szCs w:val="20"/>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5" w:name="page146"/>
    <w:bookmarkEnd w:id="145"/>
    <w:p>
      <w:pPr>
        <w:spacing w:after="0"/>
        <w:rPr>
          <w:sz w:val="20"/>
          <w:szCs w:val="20"/>
          <w:color w:val="auto"/>
        </w:rPr>
      </w:pPr>
      <w:r>
        <w:rPr>
          <w:rFonts w:ascii="Arial" w:cs="Arial" w:eastAsia="Arial" w:hAnsi="Arial"/>
          <w:sz w:val="18"/>
          <w:szCs w:val="18"/>
          <w:b w:val="1"/>
          <w:bCs w:val="1"/>
          <w:color w:val="auto"/>
        </w:rPr>
        <w:t>Voting Rights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Quorum Requirements</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331⁄3% of the issued share capital as required under the Nasdaq Marketplace Rules.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Vote Requirements</w:t>
      </w:r>
    </w:p>
    <w:p>
      <w:pPr>
        <w:spacing w:after="0" w:line="27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Access to Corporate Records</w:t>
      </w:r>
    </w:p>
    <w:p>
      <w:pPr>
        <w:spacing w:after="0" w:line="283"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46" w:name="page147"/>
    <w:bookmarkEnd w:id="146"/>
    <w:p>
      <w:pPr>
        <w:spacing w:after="0"/>
        <w:rPr>
          <w:sz w:val="20"/>
          <w:szCs w:val="20"/>
          <w:color w:val="auto"/>
        </w:rPr>
      </w:pPr>
      <w:r>
        <w:rPr>
          <w:rFonts w:ascii="Arial" w:cs="Arial" w:eastAsia="Arial" w:hAnsi="Arial"/>
          <w:sz w:val="18"/>
          <w:szCs w:val="18"/>
          <w:b w:val="1"/>
          <w:bCs w:val="1"/>
          <w:color w:val="auto"/>
        </w:rPr>
        <w:t>Modification of Class Rights</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283"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For a discussion of registration rights we granted to our controlling shareholder in connection with the closing of our initial public offering, please see “Item 7. Major Shareholders and Related Party Transactions – Related Party Transactions — Registration Rights Agreement.”</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 under Israeli Law</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Tender Offer</w:t>
      </w:r>
    </w:p>
    <w:p>
      <w:pPr>
        <w:spacing w:after="0" w:line="279"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251"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208"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47" w:name="page148"/>
    <w:bookmarkEnd w:id="147"/>
    <w:p>
      <w:pPr>
        <w:spacing w:after="0"/>
        <w:rPr>
          <w:sz w:val="20"/>
          <w:szCs w:val="20"/>
          <w:color w:val="auto"/>
        </w:rPr>
      </w:pPr>
      <w:r>
        <w:rPr>
          <w:rFonts w:ascii="Arial" w:cs="Arial" w:eastAsia="Arial" w:hAnsi="Arial"/>
          <w:sz w:val="18"/>
          <w:szCs w:val="18"/>
          <w:b w:val="1"/>
          <w:bCs w:val="1"/>
          <w:i w:val="1"/>
          <w:iCs w:val="1"/>
          <w:color w:val="auto"/>
        </w:rPr>
        <w:t>Special Tender Offer</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212"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22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Under the DGCL there are no provisions relating to mandatory tender offers.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Companies Law permits merger transactions if approved by each party’s board of directors and, unless certain requirements described under the Companies Law are met, by a majority vote of each party’s shares, and, in the case of the target company, a majority vote of each class of its shares voted on the proposed merger at a shareholders meeting.</w:t>
      </w:r>
    </w:p>
    <w:p>
      <w:pPr>
        <w:spacing w:after="0" w:line="235"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48" w:name="page149"/>
    <w:bookmarkEnd w:id="148"/>
    <w:p>
      <w:pPr>
        <w:jc w:val="both"/>
        <w:ind w:firstLine="360"/>
        <w:spacing w:after="0" w:line="259" w:lineRule="auto"/>
        <w:rPr>
          <w:sz w:val="20"/>
          <w:szCs w:val="20"/>
          <w:color w:val="auto"/>
        </w:rPr>
      </w:pPr>
      <w:r>
        <w:rPr>
          <w:rFonts w:ascii="Arial" w:cs="Arial" w:eastAsia="Arial" w:hAnsi="Arial"/>
          <w:sz w:val="18"/>
          <w:szCs w:val="18"/>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241"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Anti-Takeover Measures under Israeli Law</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236"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49" w:name="page150"/>
    <w:bookmarkEnd w:id="149"/>
    <w:p>
      <w:pPr>
        <w:spacing w:after="0"/>
        <w:rPr>
          <w:sz w:val="20"/>
          <w:szCs w:val="20"/>
          <w:color w:val="auto"/>
        </w:rPr>
      </w:pPr>
      <w:r>
        <w:rPr>
          <w:rFonts w:ascii="Arial" w:cs="Arial" w:eastAsia="Arial" w:hAnsi="Arial"/>
          <w:sz w:val="18"/>
          <w:szCs w:val="18"/>
          <w:b w:val="1"/>
          <w:bCs w:val="1"/>
          <w:color w:val="auto"/>
        </w:rPr>
        <w:t>Borrowing Powers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Capital</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ordinary shares is American Stock Transfer &amp; Trust Company, LLC.</w:t>
      </w:r>
    </w:p>
    <w:p>
      <w:pPr>
        <w:spacing w:after="0" w:line="275" w:lineRule="exact"/>
        <w:rPr>
          <w:sz w:val="20"/>
          <w:szCs w:val="20"/>
          <w:color w:val="auto"/>
        </w:rPr>
      </w:pPr>
    </w:p>
    <w:p>
      <w:pPr>
        <w:ind w:left="640" w:hanging="632"/>
        <w:spacing w:after="0"/>
        <w:tabs>
          <w:tab w:leader="none" w:pos="640" w:val="left"/>
        </w:tabs>
        <w:numPr>
          <w:ilvl w:val="0"/>
          <w:numId w:val="108"/>
        </w:numPr>
        <w:rPr>
          <w:rFonts w:ascii="Arial" w:cs="Arial" w:eastAsia="Arial" w:hAnsi="Arial"/>
          <w:sz w:val="18"/>
          <w:szCs w:val="18"/>
          <w:b w:val="1"/>
          <w:bCs w:val="1"/>
          <w:color w:val="auto"/>
        </w:rPr>
      </w:pPr>
      <w:r>
        <w:rPr>
          <w:rFonts w:ascii="Arial" w:cs="Arial" w:eastAsia="Arial" w:hAnsi="Arial"/>
          <w:sz w:val="18"/>
          <w:szCs w:val="18"/>
          <w:b w:val="1"/>
          <w:bCs w:val="1"/>
          <w:color w:val="auto"/>
        </w:rPr>
        <w:t>Material Contracts</w:t>
      </w:r>
    </w:p>
    <w:p>
      <w:pPr>
        <w:spacing w:after="0" w:line="283" w:lineRule="exact"/>
        <w:rPr>
          <w:sz w:val="20"/>
          <w:szCs w:val="20"/>
          <w:color w:val="auto"/>
        </w:rPr>
      </w:pPr>
    </w:p>
    <w:p>
      <w:pPr>
        <w:ind w:left="400"/>
        <w:spacing w:after="0"/>
        <w:rPr>
          <w:sz w:val="20"/>
          <w:szCs w:val="20"/>
          <w:color w:val="auto"/>
        </w:rPr>
      </w:pPr>
      <w:r>
        <w:rPr>
          <w:rFonts w:ascii="Arial" w:cs="Arial" w:eastAsia="Arial" w:hAnsi="Arial"/>
          <w:sz w:val="18"/>
          <w:szCs w:val="18"/>
          <w:color w:val="auto"/>
        </w:rPr>
        <w:t>For a description of other material agreements, please see "Item 4. Information on the Company – B. Business Overview."</w:t>
      </w:r>
    </w:p>
    <w:p>
      <w:pPr>
        <w:spacing w:after="0" w:line="275" w:lineRule="exact"/>
        <w:rPr>
          <w:sz w:val="20"/>
          <w:szCs w:val="20"/>
          <w:color w:val="auto"/>
        </w:rPr>
      </w:pPr>
    </w:p>
    <w:p>
      <w:pPr>
        <w:ind w:left="640" w:hanging="632"/>
        <w:spacing w:after="0"/>
        <w:tabs>
          <w:tab w:leader="none" w:pos="640" w:val="left"/>
        </w:tabs>
        <w:numPr>
          <w:ilvl w:val="0"/>
          <w:numId w:val="109"/>
        </w:numPr>
        <w:rPr>
          <w:rFonts w:ascii="Arial" w:cs="Arial" w:eastAsia="Arial" w:hAnsi="Arial"/>
          <w:sz w:val="18"/>
          <w:szCs w:val="18"/>
          <w:b w:val="1"/>
          <w:bCs w:val="1"/>
          <w:color w:val="auto"/>
        </w:rPr>
      </w:pPr>
      <w:r>
        <w:rPr>
          <w:rFonts w:ascii="Arial" w:cs="Arial" w:eastAsia="Arial" w:hAnsi="Arial"/>
          <w:sz w:val="18"/>
          <w:szCs w:val="18"/>
          <w:b w:val="1"/>
          <w:bCs w:val="1"/>
          <w:color w:val="auto"/>
        </w:rPr>
        <w:t>Exchange Controls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231" w:lineRule="exact"/>
        <w:rPr>
          <w:sz w:val="20"/>
          <w:szCs w:val="20"/>
          <w:color w:val="auto"/>
        </w:rPr>
      </w:pPr>
    </w:p>
    <w:p>
      <w:pPr>
        <w:ind w:left="620" w:hanging="612"/>
        <w:spacing w:after="0"/>
        <w:tabs>
          <w:tab w:leader="none" w:pos="620" w:val="left"/>
        </w:tabs>
        <w:numPr>
          <w:ilvl w:val="0"/>
          <w:numId w:val="110"/>
        </w:numPr>
        <w:rPr>
          <w:rFonts w:ascii="Arial" w:cs="Arial" w:eastAsia="Arial" w:hAnsi="Arial"/>
          <w:sz w:val="18"/>
          <w:szCs w:val="18"/>
          <w:b w:val="1"/>
          <w:bCs w:val="1"/>
          <w:color w:val="auto"/>
        </w:rPr>
      </w:pPr>
      <w:r>
        <w:rPr>
          <w:rFonts w:ascii="Arial" w:cs="Arial" w:eastAsia="Arial" w:hAnsi="Arial"/>
          <w:sz w:val="18"/>
          <w:szCs w:val="18"/>
          <w:b w:val="1"/>
          <w:bCs w:val="1"/>
          <w:color w:val="auto"/>
        </w:rPr>
        <w:t>Taxation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Israeli Tax Considerations and Government Programs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50" w:name="page151"/>
    <w:bookmarkEnd w:id="150"/>
    <w:p>
      <w:pPr>
        <w:jc w:val="both"/>
        <w:ind w:firstLine="360"/>
        <w:spacing w:after="0" w:line="264" w:lineRule="auto"/>
        <w:rPr>
          <w:sz w:val="20"/>
          <w:szCs w:val="20"/>
          <w:color w:val="auto"/>
        </w:rPr>
      </w:pPr>
      <w:r>
        <w:rPr>
          <w:rFonts w:ascii="Arial" w:cs="Arial" w:eastAsia="Arial" w:hAnsi="Arial"/>
          <w:sz w:val="18"/>
          <w:szCs w:val="18"/>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Corporate Tax Structure in Israel</w:t>
      </w:r>
    </w:p>
    <w:p>
      <w:pPr>
        <w:spacing w:after="0" w:line="279"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Israeli resident companies are generally subject to corporate tax at the rate of 24% of a company’s taxable income in 2017, which was reduced to 23% in 2018 and thereafter.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201"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Industry (Taxes), 5729-1969</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Law for the Encouragement of Industry (Taxes), 5729-1969, generally referred to as the Industry Encouragement Law, provides several tax benefits for “Industrial Companies.”</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corporate tax benefits, among others, are available to Industrial Companies:</w:t>
      </w:r>
    </w:p>
    <w:p>
      <w:pPr>
        <w:spacing w:after="0" w:line="279" w:lineRule="exact"/>
        <w:rPr>
          <w:sz w:val="20"/>
          <w:szCs w:val="20"/>
          <w:color w:val="auto"/>
        </w:rPr>
      </w:pPr>
    </w:p>
    <w:p>
      <w:pPr>
        <w:ind w:left="720" w:hanging="361"/>
        <w:spacing w:after="0" w:line="277"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Although as of the date of this annual report, we do not have industrial production activities, we may qualify as an Industrial Company in the future and may be eligible for the benefits described above.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1" w:name="page152"/>
    <w:bookmarkEnd w:id="151"/>
    <w:p>
      <w:pPr>
        <w:spacing w:after="0"/>
        <w:rPr>
          <w:sz w:val="20"/>
          <w:szCs w:val="20"/>
          <w:color w:val="auto"/>
        </w:rPr>
      </w:pPr>
      <w:r>
        <w:rPr>
          <w:rFonts w:ascii="Arial" w:cs="Arial" w:eastAsia="Arial" w:hAnsi="Arial"/>
          <w:sz w:val="18"/>
          <w:szCs w:val="18"/>
          <w:i w:val="1"/>
          <w:iCs w:val="1"/>
          <w:color w:val="auto"/>
        </w:rPr>
        <w:t>Tax Benefits and Grants for Research and Development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Israeli tax law allows, under certain conditions, a tax deduction for expenditures, including capital expenditures, for the year in which they are incurred.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Expenditures are deemed related to scientific research and development projects, if:</w:t>
      </w:r>
    </w:p>
    <w:p>
      <w:pPr>
        <w:spacing w:after="0" w:line="265" w:lineRule="exact"/>
        <w:rPr>
          <w:sz w:val="20"/>
          <w:szCs w:val="20"/>
          <w:color w:val="auto"/>
        </w:rPr>
      </w:pPr>
    </w:p>
    <w:p>
      <w:pPr>
        <w:ind w:left="720" w:hanging="361"/>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expenditures are approved by the relevant Israeli government ministry, determined by the field of research;</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research and development is carried out by or on behalf of the company seeking such tax deduction.</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From time to time we may apply to the IIA for approval to allow a tax deduction for all research and development expenses during the year incurred.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There can be no assurance that such application will be accepted.</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Capital Investments, 5719-1959</w:t>
      </w:r>
    </w:p>
    <w:p>
      <w:pPr>
        <w:spacing w:after="0" w:line="279"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Prior to the 2005 Amendment</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235" w:lineRule="exact"/>
        <w:rPr>
          <w:sz w:val="20"/>
          <w:szCs w:val="20"/>
          <w:color w:val="auto"/>
        </w:rPr>
      </w:pPr>
    </w:p>
    <w:p>
      <w:pPr>
        <w:jc w:val="both"/>
        <w:ind w:firstLine="363"/>
        <w:spacing w:after="0" w:line="276" w:lineRule="auto"/>
        <w:rPr>
          <w:sz w:val="20"/>
          <w:szCs w:val="20"/>
          <w:color w:val="auto"/>
        </w:rPr>
      </w:pPr>
      <w:r>
        <w:rPr>
          <w:rFonts w:ascii="Arial" w:cs="Arial" w:eastAsia="Arial" w:hAnsi="Arial"/>
          <w:sz w:val="17"/>
          <w:szCs w:val="17"/>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2" w:name="page153"/>
    <w:bookmarkEnd w:id="152"/>
    <w:p>
      <w:pPr>
        <w:spacing w:after="0"/>
        <w:rPr>
          <w:sz w:val="20"/>
          <w:szCs w:val="20"/>
          <w:color w:val="auto"/>
        </w:rPr>
      </w:pPr>
      <w:r>
        <w:rPr>
          <w:rFonts w:ascii="Arial" w:cs="Arial" w:eastAsia="Arial" w:hAnsi="Arial"/>
          <w:sz w:val="18"/>
          <w:szCs w:val="18"/>
          <w:i w:val="1"/>
          <w:iCs w:val="1"/>
          <w:color w:val="auto"/>
        </w:rPr>
        <w:t>Tax Benefits Subsequent to the 2005 Amendment</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21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243"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15% or such lower rate as may be provided in an applicable tax treaty.</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3" w:name="page154"/>
    <w:bookmarkEnd w:id="153"/>
    <w:p>
      <w:pPr>
        <w:jc w:val="both"/>
        <w:ind w:firstLine="360"/>
        <w:spacing w:after="0" w:line="264" w:lineRule="auto"/>
        <w:rPr>
          <w:sz w:val="20"/>
          <w:szCs w:val="20"/>
          <w:color w:val="auto"/>
        </w:rPr>
      </w:pPr>
      <w:r>
        <w:rPr>
          <w:rFonts w:ascii="Arial" w:cs="Arial" w:eastAsia="Arial" w:hAnsi="Arial"/>
          <w:sz w:val="18"/>
          <w:szCs w:val="18"/>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Under the 2011 Amendment</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235"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 rates:</w:t>
      </w:r>
    </w:p>
    <w:p>
      <w:pPr>
        <w:spacing w:after="0" w:line="28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6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800" w:type="dxa"/>
            <w:vAlign w:val="bottom"/>
            <w:gridSpan w:val="2"/>
          </w:tcPr>
          <w:p>
            <w:pPr>
              <w:ind w:left="220"/>
              <w:spacing w:after="0"/>
              <w:rPr>
                <w:sz w:val="20"/>
                <w:szCs w:val="20"/>
                <w:color w:val="auto"/>
              </w:rPr>
            </w:pPr>
            <w:r>
              <w:rPr>
                <w:rFonts w:ascii="Arial" w:cs="Arial" w:eastAsia="Arial" w:hAnsi="Arial"/>
                <w:sz w:val="18"/>
                <w:szCs w:val="18"/>
                <w:b w:val="1"/>
                <w:bCs w:val="1"/>
                <w:color w:val="auto"/>
              </w:rPr>
              <w:t>Other</w:t>
            </w:r>
          </w:p>
        </w:tc>
        <w:tc>
          <w:tcPr>
            <w:tcW w:w="14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Areas   within</w:t>
            </w:r>
          </w:p>
        </w:tc>
      </w:tr>
      <w:tr>
        <w:trPr>
          <w:trHeight w:val="234"/>
        </w:trPr>
        <w:tc>
          <w:tcPr>
            <w:tcW w:w="5600" w:type="dxa"/>
            <w:vAlign w:val="bottom"/>
          </w:tcPr>
          <w:p>
            <w:pPr>
              <w:spacing w:after="0"/>
              <w:rPr>
                <w:sz w:val="20"/>
                <w:szCs w:val="20"/>
                <w:color w:val="auto"/>
              </w:rPr>
            </w:pPr>
            <w:r>
              <w:rPr>
                <w:rFonts w:ascii="Arial" w:cs="Arial" w:eastAsia="Arial" w:hAnsi="Arial"/>
                <w:sz w:val="18"/>
                <w:szCs w:val="18"/>
                <w:b w:val="1"/>
                <w:bCs w:val="1"/>
                <w:color w:val="auto"/>
              </w:rPr>
              <w:t>Tax Year</w:t>
            </w:r>
          </w:p>
        </w:tc>
        <w:tc>
          <w:tcPr>
            <w:tcW w:w="3200" w:type="dxa"/>
            <w:vAlign w:val="bottom"/>
            <w:gridSpan w:val="4"/>
          </w:tcPr>
          <w:p>
            <w:pPr>
              <w:ind w:left="420"/>
              <w:spacing w:after="0"/>
              <w:rPr>
                <w:sz w:val="20"/>
                <w:szCs w:val="20"/>
                <w:color w:val="auto"/>
              </w:rPr>
            </w:pPr>
            <w:r>
              <w:rPr>
                <w:rFonts w:ascii="Arial" w:cs="Arial" w:eastAsia="Arial" w:hAnsi="Arial"/>
                <w:sz w:val="18"/>
                <w:szCs w:val="18"/>
                <w:b w:val="1"/>
                <w:bCs w:val="1"/>
                <w:color w:val="auto"/>
                <w:w w:val="99"/>
              </w:rPr>
              <w:t>Development Region “A”   Israel</w:t>
            </w:r>
          </w:p>
        </w:tc>
        <w:tc>
          <w:tcPr>
            <w:tcW w:w="132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27"/>
        </w:trPr>
        <w:tc>
          <w:tcPr>
            <w:tcW w:w="56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9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3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2011 – 2012</w:t>
            </w:r>
          </w:p>
        </w:tc>
        <w:tc>
          <w:tcPr>
            <w:tcW w:w="440" w:type="dxa"/>
            <w:vAlign w:val="bottom"/>
            <w:shd w:val="clear" w:color="auto" w:fill="CCEEFF"/>
          </w:tcPr>
          <w:p>
            <w:pPr>
              <w:spacing w:after="0"/>
              <w:rPr>
                <w:sz w:val="18"/>
                <w:szCs w:val="18"/>
                <w:color w:val="auto"/>
              </w:rPr>
            </w:pP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5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r>
      <w:tr>
        <w:trPr>
          <w:trHeight w:val="216"/>
        </w:trPr>
        <w:tc>
          <w:tcPr>
            <w:tcW w:w="5600" w:type="dxa"/>
            <w:vAlign w:val="bottom"/>
          </w:tcPr>
          <w:p>
            <w:pPr>
              <w:spacing w:after="0"/>
              <w:rPr>
                <w:sz w:val="20"/>
                <w:szCs w:val="20"/>
                <w:color w:val="auto"/>
              </w:rPr>
            </w:pPr>
            <w:r>
              <w:rPr>
                <w:rFonts w:ascii="Arial" w:cs="Arial" w:eastAsia="Arial" w:hAnsi="Arial"/>
                <w:sz w:val="18"/>
                <w:szCs w:val="18"/>
                <w:color w:val="auto"/>
              </w:rPr>
              <w:t>2013</w:t>
            </w:r>
          </w:p>
        </w:tc>
        <w:tc>
          <w:tcPr>
            <w:tcW w:w="2620" w:type="dxa"/>
            <w:vAlign w:val="bottom"/>
            <w:gridSpan w:val="3"/>
          </w:tcPr>
          <w:p>
            <w:pPr>
              <w:jc w:val="right"/>
              <w:spacing w:after="0"/>
              <w:rPr>
                <w:sz w:val="20"/>
                <w:szCs w:val="20"/>
                <w:color w:val="auto"/>
              </w:rPr>
            </w:pPr>
            <w:r>
              <w:rPr>
                <w:rFonts w:ascii="Arial" w:cs="Arial" w:eastAsia="Arial" w:hAnsi="Arial"/>
                <w:sz w:val="18"/>
                <w:szCs w:val="18"/>
                <w:color w:val="auto"/>
              </w:rPr>
              <w:t>7%</w:t>
            </w:r>
          </w:p>
        </w:tc>
        <w:tc>
          <w:tcPr>
            <w:tcW w:w="580" w:type="dxa"/>
            <w:vAlign w:val="bottom"/>
          </w:tcPr>
          <w:p>
            <w:pPr>
              <w:spacing w:after="0"/>
              <w:rPr>
                <w:sz w:val="18"/>
                <w:szCs w:val="18"/>
                <w:color w:val="auto"/>
              </w:rPr>
            </w:pPr>
          </w:p>
        </w:tc>
        <w:tc>
          <w:tcPr>
            <w:tcW w:w="1480" w:type="dxa"/>
            <w:vAlign w:val="bottom"/>
            <w:gridSpan w:val="2"/>
          </w:tcPr>
          <w:p>
            <w:pPr>
              <w:jc w:val="right"/>
              <w:ind w:right="20"/>
              <w:spacing w:after="0"/>
              <w:rPr>
                <w:sz w:val="20"/>
                <w:szCs w:val="20"/>
                <w:color w:val="auto"/>
              </w:rPr>
            </w:pPr>
            <w:r>
              <w:rPr>
                <w:rFonts w:ascii="Arial" w:cs="Arial" w:eastAsia="Arial" w:hAnsi="Arial"/>
                <w:sz w:val="18"/>
                <w:szCs w:val="18"/>
                <w:color w:val="auto"/>
              </w:rPr>
              <w:t>12.5%</w:t>
            </w: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2014 – 2016</w:t>
            </w:r>
          </w:p>
        </w:tc>
        <w:tc>
          <w:tcPr>
            <w:tcW w:w="2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5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w:t>
            </w:r>
          </w:p>
        </w:tc>
      </w:tr>
      <w:tr>
        <w:trPr>
          <w:trHeight w:val="230"/>
        </w:trPr>
        <w:tc>
          <w:tcPr>
            <w:tcW w:w="5600" w:type="dxa"/>
            <w:vAlign w:val="bottom"/>
          </w:tcPr>
          <w:p>
            <w:pPr>
              <w:spacing w:after="0"/>
              <w:rPr>
                <w:sz w:val="20"/>
                <w:szCs w:val="20"/>
                <w:color w:val="auto"/>
              </w:rPr>
            </w:pPr>
            <w:r>
              <w:rPr>
                <w:rFonts w:ascii="Arial" w:cs="Arial" w:eastAsia="Arial" w:hAnsi="Arial"/>
                <w:sz w:val="18"/>
                <w:szCs w:val="18"/>
                <w:color w:val="auto"/>
              </w:rPr>
              <w:t>2017 and thereafter</w:t>
            </w:r>
          </w:p>
        </w:tc>
        <w:tc>
          <w:tcPr>
            <w:tcW w:w="2620" w:type="dxa"/>
            <w:vAlign w:val="bottom"/>
            <w:gridSpan w:val="3"/>
          </w:tcPr>
          <w:p>
            <w:pPr>
              <w:jc w:val="right"/>
              <w:spacing w:after="0"/>
              <w:rPr>
                <w:sz w:val="20"/>
                <w:szCs w:val="20"/>
                <w:color w:val="auto"/>
              </w:rPr>
            </w:pPr>
            <w:r>
              <w:rPr>
                <w:rFonts w:ascii="Arial" w:cs="Arial" w:eastAsia="Arial" w:hAnsi="Arial"/>
                <w:sz w:val="18"/>
                <w:szCs w:val="18"/>
                <w:color w:val="auto"/>
              </w:rPr>
              <w:t>7.5%</w:t>
            </w:r>
          </w:p>
        </w:tc>
        <w:tc>
          <w:tcPr>
            <w:tcW w:w="580" w:type="dxa"/>
            <w:vAlign w:val="bottom"/>
          </w:tcPr>
          <w:p>
            <w:pPr>
              <w:spacing w:after="0"/>
              <w:rPr>
                <w:sz w:val="20"/>
                <w:szCs w:val="20"/>
                <w:color w:val="auto"/>
              </w:rPr>
            </w:pPr>
          </w:p>
        </w:tc>
        <w:tc>
          <w:tcPr>
            <w:tcW w:w="148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r>
    </w:tbl>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Dividends distributed from income which is attributed to a “Preferred Enterprise” will be subject to withholding tax at source at the following rates: (i) Israeli resident corporations — 0%, (ii) Israeli resident individuals — __% in 2018 (iii) non-Israeli residents — __% in 2018, subject to a reduced tax rate under the provisions of an applicable double tax treaty.</w:t>
      </w:r>
    </w:p>
    <w:p>
      <w:pPr>
        <w:spacing w:after="0" w:line="23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 termination or substantial reduction of any of the benefits available under the Investment Law could materially increase our tax liabilities.</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6" w:right="239" w:bottom="1440" w:gutter="0" w:footer="0" w:header="0"/>
        </w:sectPr>
      </w:pPr>
    </w:p>
    <w:bookmarkStart w:id="154" w:name="page155"/>
    <w:bookmarkEnd w:id="154"/>
    <w:p>
      <w:pPr>
        <w:ind w:left="380"/>
        <w:spacing w:after="0"/>
        <w:rPr>
          <w:sz w:val="20"/>
          <w:szCs w:val="20"/>
          <w:color w:val="auto"/>
        </w:rPr>
      </w:pPr>
      <w:r>
        <w:rPr>
          <w:rFonts w:ascii="Arial" w:cs="Arial" w:eastAsia="Arial" w:hAnsi="Arial"/>
          <w:sz w:val="18"/>
          <w:szCs w:val="18"/>
          <w:color w:val="auto"/>
        </w:rPr>
        <w:t>We are currently not entitled to tax benefits for a Preferred Enterprise.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Our Shareholders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Capital Gains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242"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Real Gain derived by corporations will be generally subject to the corporate tax rate of 24% in 2017, which was reduced to 23% in 2018 and thereafter.</w:t>
      </w:r>
    </w:p>
    <w:p>
      <w:pPr>
        <w:spacing w:after="0" w:line="302"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Individual and corporate shareholder dealing in securities in Israel are taxed at the tax rates applicable to business income — 24% for corporations in 2017, which was reduced to 23% in 2018 and thereafter, and a marginal tax rate of up to 50% in 2018 for individuals, including an excess tax.</w:t>
      </w:r>
    </w:p>
    <w:p>
      <w:pPr>
        <w:spacing w:after="0" w:line="20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1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reduced to 23% in 2018 and thereafter) if the seller is a corporation. Shareholders may be required to demonstrate that they are exempt from tax on their capital gains in order to avoid withholding at source at the time of sale.</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6" w:right="239" w:bottom="1440" w:gutter="0" w:footer="0" w:header="0"/>
        </w:sectPr>
      </w:pPr>
    </w:p>
    <w:bookmarkStart w:id="155" w:name="page156"/>
    <w:bookmarkEnd w:id="155"/>
    <w:p>
      <w:pPr>
        <w:jc w:val="both"/>
        <w:ind w:firstLine="360"/>
        <w:spacing w:after="0" w:line="279"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Dividends</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w:t>
      </w:r>
    </w:p>
    <w:p>
      <w:pPr>
        <w:spacing w:after="0" w:line="2"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45"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w:t>
      </w:r>
    </w:p>
    <w:p>
      <w:pPr>
        <w:spacing w:after="0" w:line="2" w:lineRule="exact"/>
        <w:rPr>
          <w:sz w:val="20"/>
          <w:szCs w:val="20"/>
          <w:color w:val="auto"/>
        </w:rPr>
      </w:pPr>
    </w:p>
    <w:p>
      <w:pPr>
        <w:jc w:val="both"/>
        <w:ind w:firstLine="8"/>
        <w:spacing w:after="0" w:line="252" w:lineRule="auto"/>
        <w:tabs>
          <w:tab w:leader="none" w:pos="2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24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6" w:name="page157"/>
    <w:bookmarkEnd w:id="156"/>
    <w:p>
      <w:pPr>
        <w:jc w:val="both"/>
        <w:ind w:firstLine="360"/>
        <w:spacing w:after="0" w:line="286" w:lineRule="auto"/>
        <w:rPr>
          <w:sz w:val="20"/>
          <w:szCs w:val="20"/>
          <w:color w:val="auto"/>
        </w:rPr>
      </w:pPr>
      <w:r>
        <w:rPr>
          <w:rFonts w:ascii="Arial" w:cs="Arial" w:eastAsia="Arial" w:hAnsi="Arial"/>
          <w:sz w:val="17"/>
          <w:szCs w:val="17"/>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color w:val="auto"/>
        </w:rPr>
        <w:t>Excess Tax</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Individuals who are subject to tax in Israel are also subject to an additional tax at a rate of 3% in 2017 and thereafter on annual income exceeding NIS 640,000 for 2017 and thereafter, linked to the annual change in the Israeli consumer price index (NIS 641,880 for 2018 and NIS 649,560 for 2019), including, but not limited to income derived from, dividends, interest and capital gains.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Foreign Exchange Regulations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Estate and Gift Tax</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Israeli law presently does not impose estate or gift taxes.</w:t>
      </w:r>
    </w:p>
    <w:p>
      <w:pPr>
        <w:spacing w:after="0" w:line="27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U.S. Federal Income Tax Considerations with respect to the Company</w:t>
      </w:r>
    </w:p>
    <w:p>
      <w:pPr>
        <w:spacing w:after="0" w:line="283"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and that have the U.S. dollar as their functional currency.</w:t>
      </w:r>
    </w:p>
    <w:p>
      <w:pPr>
        <w:spacing w:after="0" w:line="220"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following discussion neither deals with the tax consequences to any particular investor nor describes all of the tax consequences applicable to persons in special tax situations such as:</w:t>
      </w:r>
    </w:p>
    <w:p>
      <w:pPr>
        <w:spacing w:after="0" w:line="224" w:lineRule="exact"/>
        <w:rPr>
          <w:sz w:val="20"/>
          <w:szCs w:val="20"/>
          <w:color w:val="auto"/>
        </w:rPr>
      </w:pPr>
    </w:p>
    <w:p>
      <w:pPr>
        <w:ind w:left="720" w:hanging="361"/>
        <w:spacing w:after="0"/>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banks;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7" w:name="page158"/>
    <w:bookmarkEnd w:id="157"/>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certain financial institutions;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persons holding our ordinary shares as part of a straddle, hedging, constructive sale, conversion or integrated transaction;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persons that actually or constructively own 10% or more of our share capital (by vote or value);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persons who acquired our ordinary shares pursuant to the exercise of any employee share option or otherwise as compensation;</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being taken into account in an applicable financial statement; or</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through pass-through entities.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discussion below of the U.S. federal income tax consequences to “U.S. Holders” will apply to you if you are the beneficial owner of our ordinary shares and you are, for U.S. federal income tax purposes,</w:t>
      </w:r>
    </w:p>
    <w:p>
      <w:pPr>
        <w:spacing w:after="0" w:line="224" w:lineRule="exact"/>
        <w:rPr>
          <w:sz w:val="20"/>
          <w:szCs w:val="20"/>
          <w:color w:val="auto"/>
        </w:rPr>
      </w:pPr>
    </w:p>
    <w:p>
      <w:pPr>
        <w:ind w:left="720" w:hanging="361"/>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58" w:name="page159"/>
    <w:bookmarkEnd w:id="158"/>
    <w:p>
      <w:pPr>
        <w:jc w:val="both"/>
        <w:ind w:firstLine="360"/>
        <w:spacing w:after="0" w:line="264" w:lineRule="auto"/>
        <w:rPr>
          <w:sz w:val="20"/>
          <w:szCs w:val="20"/>
          <w:color w:val="auto"/>
        </w:rPr>
      </w:pPr>
      <w:r>
        <w:rPr>
          <w:rFonts w:ascii="Arial" w:cs="Arial" w:eastAsia="Arial" w:hAnsi="Arial"/>
          <w:sz w:val="18"/>
          <w:szCs w:val="18"/>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Passive Foreign Investment Company</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(“PFIC”) for U.S. federal income tax purposes at least until we start generating a substantial amount of active revenue. A non-U.S. entity treated as a corporation for U.S. federal income tax purposes will generally be a PFIC for U.S. federal income tax purposes for any taxable year if either:</w:t>
      </w:r>
    </w:p>
    <w:p>
      <w:pPr>
        <w:spacing w:after="0" w:line="220" w:lineRule="exact"/>
        <w:rPr>
          <w:sz w:val="20"/>
          <w:szCs w:val="20"/>
          <w:color w:val="auto"/>
        </w:rPr>
      </w:pPr>
    </w:p>
    <w:p>
      <w:pPr>
        <w:ind w:left="720" w:hanging="361"/>
        <w:spacing w:after="0"/>
        <w:tabs>
          <w:tab w:leader="none" w:pos="72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24"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201"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ambiguities in applying the PFIC test to us. No rulings from the U.S. Internal Revenue Service (the “IRS”), however, have been or will be sought with respect to our status as a PFIC.</w:t>
      </w:r>
    </w:p>
    <w:p>
      <w:pPr>
        <w:spacing w:after="0" w:line="225"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247"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242" w:lineRule="exact"/>
        <w:rPr>
          <w:sz w:val="20"/>
          <w:szCs w:val="20"/>
          <w:color w:val="auto"/>
        </w:rPr>
      </w:pPr>
    </w:p>
    <w:p>
      <w:pPr>
        <w:ind w:left="5580" w:right="3140" w:hanging="5194"/>
        <w:spacing w:after="0" w:line="794" w:lineRule="auto"/>
        <w:tabs>
          <w:tab w:leader="none" w:pos="765"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 for our ordinary shares; 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24662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6" w:right="239" w:bottom="1440" w:gutter="0" w:footer="0" w:header="0"/>
        </w:sectPr>
      </w:pPr>
    </w:p>
    <w:bookmarkStart w:id="159" w:name="page160"/>
    <w:bookmarkEnd w:id="159"/>
    <w:p>
      <w:pPr>
        <w:ind w:left="720" w:hanging="361"/>
        <w:spacing w:after="0" w:line="277" w:lineRule="auto"/>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224" w:lineRule="exact"/>
        <w:rPr>
          <w:rFonts w:ascii="Arial" w:cs="Arial" w:eastAsia="Arial" w:hAnsi="Arial"/>
          <w:sz w:val="18"/>
          <w:szCs w:val="18"/>
          <w:color w:val="auto"/>
        </w:rPr>
      </w:pPr>
    </w:p>
    <w:p>
      <w:pPr>
        <w:ind w:left="720" w:right="20" w:hanging="361"/>
        <w:spacing w:after="0" w:line="342" w:lineRule="auto"/>
        <w:tabs>
          <w:tab w:leader="none" w:pos="720" w:val="left"/>
        </w:tabs>
        <w:numPr>
          <w:ilvl w:val="0"/>
          <w:numId w:val="120"/>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178" w:lineRule="exact"/>
        <w:rPr>
          <w:sz w:val="20"/>
          <w:szCs w:val="20"/>
          <w:color w:val="auto"/>
        </w:rPr>
      </w:pPr>
    </w:p>
    <w:p>
      <w:pPr>
        <w:jc w:val="both"/>
        <w:ind w:right="20" w:firstLine="360"/>
        <w:spacing w:after="0" w:line="342" w:lineRule="auto"/>
        <w:rPr>
          <w:sz w:val="20"/>
          <w:szCs w:val="20"/>
          <w:color w:val="auto"/>
        </w:rPr>
      </w:pPr>
      <w:r>
        <w:rPr>
          <w:rFonts w:ascii="Arial" w:cs="Arial" w:eastAsia="Arial" w:hAnsi="Arial"/>
          <w:sz w:val="16"/>
          <w:szCs w:val="16"/>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178"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247"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23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The mark-to-market election is available only for “marketable stock,” which is stock that is regularly traded on a qualified exchange or other market, as defined in applicable U.S. Treasury regulations. We have been approved to list our ordinary shares on Nasdaq.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Nasdaq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60" w:name="page161"/>
    <w:bookmarkEnd w:id="160"/>
    <w:p>
      <w:pPr>
        <w:jc w:val="both"/>
        <w:ind w:firstLine="360"/>
        <w:spacing w:after="0" w:line="259"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YOU ARE STRONGLY URGED TO CONSULT YOUR TAX ADVISOR REGARDING THE IMPACT OF OUR BEING A PFIC ON YOUR INVESTMENT IN OUR ORDINARY SHARES AS WELL AS THE APPLICATION OF THE PFIC RULES AND THE POSSIBILITY OF MAKING A MARK-TO-MARKET ELECTION.</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Dividends and Other Distributions on our Ordinary Shares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236"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With respect to certain non-corporate U.S. Holders, including individual U.S. Holders, dividends may be taxed at the lower capital gain rates applicable to “qualified dividend income,” provided (1) our ordinary shares are readily tradable on an established securities market in the United States (such as Nasdaq), (2) we are neither a PFIC nor treated as such with respect to you (as discussed above) for either the taxable year in which the dividend was paid or the preceding taxable year, (3) certain holding period requirements are met and (4) you are not under an obligation to make related payments with respect to positions in substantially similar or related property. As discussed above under “Passive foreign investment company,” there is a significant risk that we will be a PFIC for U.S. federal income tax purposes, and, as a result, the qualified dividend rate may be unavailable with respect to dividends we pay.</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6" w:right="239" w:bottom="1440" w:gutter="0" w:footer="0" w:header="0"/>
        </w:sectPr>
      </w:pPr>
    </w:p>
    <w:bookmarkStart w:id="161" w:name="page162"/>
    <w:bookmarkEnd w:id="161"/>
    <w:p>
      <w:pPr>
        <w:jc w:val="both"/>
        <w:ind w:right="20" w:firstLine="360"/>
        <w:spacing w:after="0" w:line="264"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23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2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Disposition of Ordinary Shares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23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62" w:name="page163"/>
    <w:bookmarkEnd w:id="162"/>
    <w:p>
      <w:pPr>
        <w:spacing w:after="0"/>
        <w:rPr>
          <w:sz w:val="20"/>
          <w:szCs w:val="20"/>
          <w:color w:val="auto"/>
        </w:rPr>
      </w:pPr>
      <w:r>
        <w:rPr>
          <w:rFonts w:ascii="Arial" w:cs="Arial" w:eastAsia="Arial" w:hAnsi="Arial"/>
          <w:sz w:val="18"/>
          <w:szCs w:val="18"/>
          <w:i w:val="1"/>
          <w:iCs w:val="1"/>
          <w:color w:val="auto"/>
        </w:rPr>
        <w:t>Information Reporting and Backup Withholding</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with respect to Foreign Financial Assets</w:t>
      </w:r>
    </w:p>
    <w:p>
      <w:pPr>
        <w:spacing w:after="0" w:line="279"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0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37" w:lineRule="exact"/>
        <w:rPr>
          <w:sz w:val="20"/>
          <w:szCs w:val="20"/>
          <w:color w:val="auto"/>
        </w:rPr>
      </w:pPr>
    </w:p>
    <w:p>
      <w:pPr>
        <w:ind w:left="600" w:hanging="592"/>
        <w:spacing w:after="0"/>
        <w:tabs>
          <w:tab w:leader="none" w:pos="600" w:val="left"/>
        </w:tabs>
        <w:numPr>
          <w:ilvl w:val="0"/>
          <w:numId w:val="121"/>
        </w:numPr>
        <w:rPr>
          <w:rFonts w:ascii="Arial" w:cs="Arial" w:eastAsia="Arial" w:hAnsi="Arial"/>
          <w:sz w:val="18"/>
          <w:szCs w:val="18"/>
          <w:b w:val="1"/>
          <w:bCs w:val="1"/>
          <w:color w:val="auto"/>
        </w:rPr>
      </w:pPr>
      <w:r>
        <w:rPr>
          <w:rFonts w:ascii="Arial" w:cs="Arial" w:eastAsia="Arial" w:hAnsi="Arial"/>
          <w:sz w:val="18"/>
          <w:szCs w:val="18"/>
          <w:b w:val="1"/>
          <w:bCs w:val="1"/>
          <w:color w:val="auto"/>
        </w:rPr>
        <w:t>Dividends and Paying Agents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22"/>
        </w:numPr>
        <w:rPr>
          <w:rFonts w:ascii="Arial" w:cs="Arial" w:eastAsia="Arial" w:hAnsi="Arial"/>
          <w:sz w:val="18"/>
          <w:szCs w:val="18"/>
          <w:b w:val="1"/>
          <w:bCs w:val="1"/>
          <w:color w:val="auto"/>
        </w:rPr>
      </w:pPr>
      <w:r>
        <w:rPr>
          <w:rFonts w:ascii="Arial" w:cs="Arial" w:eastAsia="Arial" w:hAnsi="Arial"/>
          <w:sz w:val="18"/>
          <w:szCs w:val="18"/>
          <w:b w:val="1"/>
          <w:bCs w:val="1"/>
          <w:color w:val="auto"/>
        </w:rPr>
        <w:t>Statement by Experts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6" w:right="239" w:bottom="1440" w:gutter="0" w:footer="0" w:header="0"/>
        </w:sectPr>
      </w:pPr>
    </w:p>
    <w:bookmarkStart w:id="163" w:name="page164"/>
    <w:bookmarkEnd w:id="163"/>
    <w:p>
      <w:pPr>
        <w:ind w:left="640" w:hanging="632"/>
        <w:spacing w:after="0"/>
        <w:tabs>
          <w:tab w:leader="none" w:pos="640" w:val="left"/>
        </w:tabs>
        <w:numPr>
          <w:ilvl w:val="0"/>
          <w:numId w:val="123"/>
        </w:numPr>
        <w:rPr>
          <w:rFonts w:ascii="Arial" w:cs="Arial" w:eastAsia="Arial" w:hAnsi="Arial"/>
          <w:sz w:val="18"/>
          <w:szCs w:val="18"/>
          <w:b w:val="1"/>
          <w:bCs w:val="1"/>
          <w:color w:val="auto"/>
        </w:rPr>
      </w:pPr>
      <w:r>
        <w:rPr>
          <w:rFonts w:ascii="Arial" w:cs="Arial" w:eastAsia="Arial" w:hAnsi="Arial"/>
          <w:sz w:val="18"/>
          <w:szCs w:val="18"/>
          <w:b w:val="1"/>
          <w:bCs w:val="1"/>
          <w:color w:val="auto"/>
        </w:rPr>
        <w:t>Documents on Display</w:t>
      </w:r>
    </w:p>
    <w:p>
      <w:pPr>
        <w:spacing w:after="0" w:line="283" w:lineRule="exact"/>
        <w:rPr>
          <w:sz w:val="20"/>
          <w:szCs w:val="20"/>
          <w:color w:val="auto"/>
        </w:rPr>
      </w:pPr>
    </w:p>
    <w:p>
      <w:pPr>
        <w:jc w:val="both"/>
        <w:ind w:firstLine="383"/>
        <w:spacing w:after="0" w:line="308" w:lineRule="auto"/>
        <w:rPr>
          <w:sz w:val="20"/>
          <w:szCs w:val="20"/>
          <w:color w:val="auto"/>
        </w:rPr>
      </w:pPr>
      <w:r>
        <w:rPr>
          <w:rFonts w:ascii="Arial" w:cs="Arial" w:eastAsia="Arial" w:hAnsi="Arial"/>
          <w:sz w:val="17"/>
          <w:szCs w:val="17"/>
          <w:color w:val="auto"/>
        </w:rPr>
        <w:t xml:space="preserve">We are subject to the information reporting requirements of the Exchange Act, applicable to foreign private issuers, and under those requirements, we file reports with the SEC. Our filings with the SEC are available to the public through the SEC’s website at </w:t>
      </w:r>
      <w:r>
        <w:rPr>
          <w:rFonts w:ascii="Arial" w:cs="Arial" w:eastAsia="Arial" w:hAnsi="Arial"/>
          <w:sz w:val="17"/>
          <w:szCs w:val="17"/>
          <w:i w:val="1"/>
          <w:iCs w:val="1"/>
          <w:u w:val="single" w:color="auto"/>
          <w:color w:val="auto"/>
        </w:rPr>
        <w:t>http://www.sec.gov</w:t>
      </w:r>
      <w:r>
        <w:rPr>
          <w:rFonts w:ascii="Arial" w:cs="Arial" w:eastAsia="Arial" w:hAnsi="Arial"/>
          <w:sz w:val="17"/>
          <w:szCs w:val="17"/>
          <w:color w:val="auto"/>
        </w:rPr>
        <w:t>.</w:t>
      </w:r>
    </w:p>
    <w:p>
      <w:pPr>
        <w:spacing w:after="0" w:line="201"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As a foreign private issuer, we are exempt from the rules under the Exchange Act, related to the furnishing and content of proxy statements, and our officers, directors and principal shareholders are exempt from the reporting and short-swing profit recovery provisions contained in Section 16 of the Exchange Act. In addition, we are not required under the Exchange Act, to file annual, quarterly and current reports and financial statements with the SEC as frequently or as promptly as U.S. companies whose securities are registered under the Exchange Act. However, we are required to comply with the informational requirements of the Exchange Act, and, accordingly, file current reports on Form 6-K, annual reports on Form 20-F and other information with the SEC.</w:t>
      </w:r>
    </w:p>
    <w:p>
      <w:pPr>
        <w:spacing w:after="0" w:line="243" w:lineRule="exact"/>
        <w:rPr>
          <w:sz w:val="20"/>
          <w:szCs w:val="20"/>
          <w:color w:val="auto"/>
        </w:rPr>
      </w:pPr>
    </w:p>
    <w:p>
      <w:pPr>
        <w:ind w:left="580" w:hanging="572"/>
        <w:spacing w:after="0"/>
        <w:tabs>
          <w:tab w:leader="none" w:pos="580" w:val="left"/>
        </w:tabs>
        <w:numPr>
          <w:ilvl w:val="0"/>
          <w:numId w:val="124"/>
        </w:numPr>
        <w:rPr>
          <w:rFonts w:ascii="Arial" w:cs="Arial" w:eastAsia="Arial" w:hAnsi="Arial"/>
          <w:sz w:val="18"/>
          <w:szCs w:val="18"/>
          <w:b w:val="1"/>
          <w:bCs w:val="1"/>
          <w:color w:val="auto"/>
        </w:rPr>
      </w:pPr>
      <w:r>
        <w:rPr>
          <w:rFonts w:ascii="Arial" w:cs="Arial" w:eastAsia="Arial" w:hAnsi="Arial"/>
          <w:sz w:val="18"/>
          <w:szCs w:val="18"/>
          <w:b w:val="1"/>
          <w:bCs w:val="1"/>
          <w:color w:val="auto"/>
        </w:rPr>
        <w:t>Subsidiary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8"/>
          <w:szCs w:val="18"/>
          <w:b w:val="1"/>
          <w:bCs w:val="1"/>
          <w:color w:val="auto"/>
        </w:rPr>
        <w:t>QUANTITATIVE AND QUALITATIVE DISCLOSURES ABOUT MARKET RISK</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do not anticipate undertaking any significant long-term borrowings.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At present, our investments consist primarily of marketable securities. We may be exposed to market price risk because of investments in tradable securities, mainly corporate bonds, held by us and classified in our financial statements as financial assets at fair value through profit or loss. To manage the price risk arising from investments in tradable securities, we invest in marketable securities with high ratings and diversify our investment portfolio. Our investments may also be exposed to market risk due to fluctuation in interest rates, which may affect our interest income and the fair market value of our investments, if any.</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U.S. dollar is our functional and reporting currency. Although a substantial portion of our expenses (mainly salaries and related costs) are denominated in NIS, accounting for almost half of our expenses in the year ended December 31, 2018,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1.8% during the fiscal year ended on December 31, 2018. We also have expenses, although to a much lesser extent, in other non-U.S. dollar currencies, in particular the Euro.</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2" w:right="239" w:bottom="1440" w:gutter="0" w:footer="0" w:header="0"/>
        </w:sectPr>
      </w:pPr>
    </w:p>
    <w:bookmarkStart w:id="164" w:name="page165"/>
    <w:bookmarkEnd w:id="164"/>
    <w:p>
      <w:pPr>
        <w:jc w:val="both"/>
        <w:ind w:firstLine="360"/>
        <w:spacing w:after="0" w:line="273" w:lineRule="auto"/>
        <w:rPr>
          <w:sz w:val="20"/>
          <w:szCs w:val="20"/>
          <w:color w:val="auto"/>
        </w:rPr>
      </w:pPr>
      <w:r>
        <w:rPr>
          <w:rFonts w:ascii="Arial" w:cs="Arial" w:eastAsia="Arial" w:hAnsi="Arial"/>
          <w:sz w:val="17"/>
          <w:szCs w:val="17"/>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“Item 3 – D.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annual report and for the periods under review, fluctuations in the currencies exchange rates have not materially affected our results of operations or financial condition.</w:t>
      </w:r>
    </w:p>
    <w:p>
      <w:pPr>
        <w:spacing w:after="0" w:line="23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and therefore the changes in the fair value are included in financial expense (income), net.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Inflation-related risks</w:t>
      </w:r>
    </w:p>
    <w:p>
      <w:pPr>
        <w:spacing w:after="0" w:line="279"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1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8"/>
          <w:szCs w:val="18"/>
          <w:b w:val="1"/>
          <w:bCs w:val="1"/>
          <w:color w:val="auto"/>
        </w:rPr>
        <w:t>DESCRIPTION OF SECURITIES OTHER THAN EQUITY SECURITIES</w:t>
      </w:r>
    </w:p>
    <w:p>
      <w:pPr>
        <w:spacing w:after="0" w:line="279" w:lineRule="exact"/>
        <w:rPr>
          <w:sz w:val="20"/>
          <w:szCs w:val="20"/>
          <w:color w:val="auto"/>
        </w:rPr>
      </w:pPr>
    </w:p>
    <w:p>
      <w:pPr>
        <w:ind w:left="680" w:hanging="672"/>
        <w:spacing w:after="0"/>
        <w:tabs>
          <w:tab w:leader="none" w:pos="680" w:val="left"/>
        </w:tabs>
        <w:numPr>
          <w:ilvl w:val="0"/>
          <w:numId w:val="125"/>
        </w:numPr>
        <w:rPr>
          <w:rFonts w:ascii="Arial" w:cs="Arial" w:eastAsia="Arial" w:hAnsi="Arial"/>
          <w:sz w:val="18"/>
          <w:szCs w:val="18"/>
          <w:b w:val="1"/>
          <w:bCs w:val="1"/>
          <w:color w:val="auto"/>
        </w:rPr>
      </w:pPr>
      <w:r>
        <w:rPr>
          <w:rFonts w:ascii="Arial" w:cs="Arial" w:eastAsia="Arial" w:hAnsi="Arial"/>
          <w:sz w:val="18"/>
          <w:szCs w:val="18"/>
          <w:b w:val="1"/>
          <w:bCs w:val="1"/>
          <w:color w:val="auto"/>
        </w:rPr>
        <w:t>Debt Securities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Warrants and Rights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27"/>
        </w:numPr>
        <w:rPr>
          <w:rFonts w:ascii="Arial" w:cs="Arial" w:eastAsia="Arial" w:hAnsi="Arial"/>
          <w:sz w:val="18"/>
          <w:szCs w:val="18"/>
          <w:b w:val="1"/>
          <w:bCs w:val="1"/>
          <w:color w:val="auto"/>
        </w:rPr>
      </w:pPr>
      <w:r>
        <w:rPr>
          <w:rFonts w:ascii="Arial" w:cs="Arial" w:eastAsia="Arial" w:hAnsi="Arial"/>
          <w:sz w:val="18"/>
          <w:szCs w:val="18"/>
          <w:b w:val="1"/>
          <w:bCs w:val="1"/>
          <w:color w:val="auto"/>
        </w:rPr>
        <w:t>Other Securities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28"/>
        </w:numPr>
        <w:rPr>
          <w:rFonts w:ascii="Arial" w:cs="Arial" w:eastAsia="Arial" w:hAnsi="Arial"/>
          <w:sz w:val="18"/>
          <w:szCs w:val="18"/>
          <w:b w:val="1"/>
          <w:bCs w:val="1"/>
          <w:color w:val="auto"/>
        </w:rPr>
      </w:pPr>
      <w:r>
        <w:rPr>
          <w:rFonts w:ascii="Arial" w:cs="Arial" w:eastAsia="Arial" w:hAnsi="Arial"/>
          <w:sz w:val="18"/>
          <w:szCs w:val="18"/>
          <w:b w:val="1"/>
          <w:bCs w:val="1"/>
          <w:color w:val="auto"/>
        </w:rPr>
        <w:t>American Depositary Shares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8"/>
          <w:szCs w:val="18"/>
          <w:b w:val="1"/>
          <w:bCs w:val="1"/>
          <w:color w:val="auto"/>
        </w:rPr>
        <w:t>DEFAULTS, DIVIDEND ARREARAGES AND DELINQUENCIES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65" w:name="page166"/>
    <w:bookmarkEnd w:id="165"/>
    <w:p>
      <w:pPr>
        <w:spacing w:after="0"/>
        <w:tabs>
          <w:tab w:leader="none" w:pos="11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8"/>
          <w:szCs w:val="18"/>
          <w:b w:val="1"/>
          <w:bCs w:val="1"/>
          <w:color w:val="auto"/>
        </w:rPr>
        <w:t>MATERIAL MODIFICATIONS TO THE RIGHTS OF SECURITY HOLDERS AND USE OF PROCEEDS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Initial Public Offering</w:t>
      </w:r>
    </w:p>
    <w:p>
      <w:pPr>
        <w:spacing w:after="0" w:line="279" w:lineRule="exact"/>
        <w:rPr>
          <w:sz w:val="20"/>
          <w:szCs w:val="20"/>
          <w:color w:val="auto"/>
        </w:rPr>
      </w:pPr>
    </w:p>
    <w:p>
      <w:pPr>
        <w:jc w:val="both"/>
        <w:ind w:firstLine="383"/>
        <w:spacing w:after="0" w:line="255" w:lineRule="auto"/>
        <w:rPr>
          <w:sz w:val="20"/>
          <w:szCs w:val="20"/>
          <w:color w:val="auto"/>
        </w:rPr>
      </w:pPr>
      <w:r>
        <w:rPr>
          <w:rFonts w:ascii="Arial" w:cs="Arial" w:eastAsia="Arial" w:hAnsi="Arial"/>
          <w:sz w:val="18"/>
          <w:szCs w:val="18"/>
          <w:color w:val="auto"/>
        </w:rPr>
        <w:t>On February 5, 2018, we completed an initial public offering in the United States on Nasdaq of our ordinary shares, par value NIS 0.1 per share, pursuant to a Registration Statement on Form F-1, as amended (File No. 333-220234), which became effective on January 31, 2018. Jefferies LLC and BMO Capital Markets Corp. acted as joint book-running managers for the offering. JMP Securities LLC and Raymond James &amp; Associates, Inc. acted as co-managers, with Jefferies LLC and BMO Capital Markets acting as representatives of the underwriters. We issued and sold 7,187,500 ordinary shares in the offering at a price of $12.00 per ordinary share, including 937,500 ordinary shares purchased by the underwriters pursuant to their over-allotment option. The option to purchase additional ordinary shares was exercised in full on February 2, 2018. Following the sale of our ordinary shares in connection with the initial public offering, the offering terminated.</w:t>
      </w:r>
    </w:p>
    <w:p>
      <w:pPr>
        <w:spacing w:after="0" w:line="243" w:lineRule="exact"/>
        <w:rPr>
          <w:sz w:val="20"/>
          <w:szCs w:val="20"/>
          <w:color w:val="auto"/>
        </w:rPr>
      </w:pPr>
    </w:p>
    <w:p>
      <w:pPr>
        <w:jc w:val="both"/>
        <w:ind w:firstLine="383"/>
        <w:spacing w:after="0" w:line="279" w:lineRule="auto"/>
        <w:rPr>
          <w:sz w:val="20"/>
          <w:szCs w:val="20"/>
          <w:color w:val="auto"/>
        </w:rPr>
      </w:pPr>
      <w:r>
        <w:rPr>
          <w:rFonts w:ascii="Arial" w:cs="Arial" w:eastAsia="Arial" w:hAnsi="Arial"/>
          <w:sz w:val="17"/>
          <w:szCs w:val="17"/>
          <w:color w:val="auto"/>
        </w:rPr>
        <w:t>The gross proceeds of the shares sold (including the over-allotment option) was approximately $86.2 million. The total expenses of the offering, including underwriting discounts and commissions, were approximately $7.9 million. The net proceeds we received from the offering (including the over-allotment option) were approximately $78.3 million. No payments for such expenses were made directly or indirectly to (i) any of our directors, officers or their associates, (ii) any persons owning 10% or more of any class of our equity securities or (iii) any of our affiliates.</w:t>
      </w:r>
    </w:p>
    <w:p>
      <w:pPr>
        <w:spacing w:after="0" w:line="225" w:lineRule="exact"/>
        <w:rPr>
          <w:sz w:val="20"/>
          <w:szCs w:val="20"/>
          <w:color w:val="auto"/>
        </w:rPr>
      </w:pPr>
    </w:p>
    <w:p>
      <w:pPr>
        <w:ind w:right="260" w:firstLine="383"/>
        <w:spacing w:after="0" w:line="277" w:lineRule="auto"/>
        <w:rPr>
          <w:sz w:val="20"/>
          <w:szCs w:val="20"/>
          <w:color w:val="auto"/>
        </w:rPr>
      </w:pPr>
      <w:r>
        <w:rPr>
          <w:rFonts w:ascii="Arial" w:cs="Arial" w:eastAsia="Arial" w:hAnsi="Arial"/>
          <w:sz w:val="18"/>
          <w:szCs w:val="18"/>
          <w:color w:val="auto"/>
        </w:rPr>
        <w:t>There has been no material change in our planned use of the net proceeds from the offering as described in our final prospectus filed pursuant to Rule 424(b)(4) under the Securities Act with the SEC on February 2, 2018.</w:t>
      </w:r>
    </w:p>
    <w:p>
      <w:pPr>
        <w:spacing w:after="0" w:line="220"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7"/>
          <w:szCs w:val="17"/>
          <w:b w:val="1"/>
          <w:bCs w:val="1"/>
          <w:color w:val="auto"/>
        </w:rPr>
        <w:t>CONTROLS AND PROCEDURES</w:t>
      </w:r>
    </w:p>
    <w:p>
      <w:pPr>
        <w:spacing w:after="0" w:line="279" w:lineRule="exact"/>
        <w:rPr>
          <w:sz w:val="20"/>
          <w:szCs w:val="20"/>
          <w:color w:val="auto"/>
        </w:rPr>
      </w:pPr>
    </w:p>
    <w:p>
      <w:pPr>
        <w:ind w:left="1040" w:hanging="708"/>
        <w:spacing w:after="0"/>
        <w:tabs>
          <w:tab w:leader="none" w:pos="104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Disclosure Controls and Procedures</w:t>
      </w:r>
    </w:p>
    <w:p>
      <w:pPr>
        <w:spacing w:after="0" w:line="283" w:lineRule="exact"/>
        <w:rPr>
          <w:sz w:val="20"/>
          <w:szCs w:val="20"/>
          <w:color w:val="auto"/>
        </w:rPr>
      </w:pPr>
    </w:p>
    <w:p>
      <w:pPr>
        <w:jc w:val="both"/>
        <w:ind w:firstLine="383"/>
        <w:spacing w:after="0" w:line="270" w:lineRule="auto"/>
        <w:rPr>
          <w:sz w:val="20"/>
          <w:szCs w:val="20"/>
          <w:color w:val="auto"/>
        </w:rPr>
      </w:pPr>
      <w:r>
        <w:rPr>
          <w:rFonts w:ascii="Arial" w:cs="Arial" w:eastAsia="Arial" w:hAnsi="Arial"/>
          <w:sz w:val="17"/>
          <w:szCs w:val="17"/>
          <w:color w:val="auto"/>
        </w:rPr>
        <w:t>We performed an evaluation of the effectiveness of our disclosure controls and procedures that are designed to ensure that information required to be disclosed and filed with the SEC is recorded, processed, summarized and reported timely within the time period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and principal financial officers, or persons performing similar functions, as appropriate to allow timely decisions regarding required disclosure. There can be no assurance that our disclosure controls and procedures will detect or uncover all failures of persons within the company to disclose information otherwise required to be set forth in our reports. Nevertheless, our disclosure controls and procedures are designed to provide reasonable assurance of achieving the desired control objectives. Based on our evaluation, our management, including our Chief Executive Officer and Chief Financial Officer, have concluded that our disclosure controls and procedures (as defined in Rules 13a-15(e) and 15d-15(e) of the Exchange Act) as of the end of the period covered by this report are effective at such reasonable assurance level.</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2" w:right="239" w:bottom="1440" w:gutter="0" w:footer="0" w:header="0"/>
        </w:sectPr>
      </w:pPr>
    </w:p>
    <w:bookmarkStart w:id="166" w:name="page167"/>
    <w:bookmarkEnd w:id="166"/>
    <w:p>
      <w:pPr>
        <w:ind w:firstLine="8"/>
        <w:spacing w:after="0" w:line="282" w:lineRule="auto"/>
        <w:tabs>
          <w:tab w:leader="none" w:pos="265" w:val="left"/>
        </w:tabs>
        <w:numPr>
          <w:ilvl w:val="0"/>
          <w:numId w:val="13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 (c) </w:t>
      </w:r>
      <w:r>
        <w:rPr>
          <w:rFonts w:ascii="Arial" w:cs="Arial" w:eastAsia="Arial" w:hAnsi="Arial"/>
          <w:sz w:val="18"/>
          <w:szCs w:val="18"/>
          <w:b w:val="1"/>
          <w:bCs w:val="1"/>
          <w:u w:val="single" w:color="auto"/>
          <w:color w:val="auto"/>
        </w:rPr>
        <w:t>Management’s Annual Report on Internal Control over Financial Reporting</w:t>
      </w:r>
      <w:r>
        <w:rPr>
          <w:rFonts w:ascii="Arial" w:cs="Arial" w:eastAsia="Arial" w:hAnsi="Arial"/>
          <w:sz w:val="18"/>
          <w:szCs w:val="18"/>
          <w:b w:val="1"/>
          <w:bCs w:val="1"/>
          <w:color w:val="auto"/>
        </w:rPr>
        <w:t xml:space="preserve"> and </w:t>
      </w:r>
      <w:r>
        <w:rPr>
          <w:rFonts w:ascii="Arial" w:cs="Arial" w:eastAsia="Arial" w:hAnsi="Arial"/>
          <w:sz w:val="18"/>
          <w:szCs w:val="18"/>
          <w:b w:val="1"/>
          <w:bCs w:val="1"/>
          <w:u w:val="single" w:color="auto"/>
          <w:color w:val="auto"/>
        </w:rPr>
        <w:t>Attestation Report of Registered Public Accounting</w:t>
      </w:r>
      <w:r>
        <w:rPr>
          <w:rFonts w:ascii="Arial" w:cs="Arial" w:eastAsia="Arial" w:hAnsi="Arial"/>
          <w:sz w:val="18"/>
          <w:szCs w:val="18"/>
          <w:b w:val="1"/>
          <w:bCs w:val="1"/>
          <w:color w:val="auto"/>
        </w:rPr>
        <w:t xml:space="preserve"> </w:t>
      </w:r>
      <w:r>
        <w:rPr>
          <w:rFonts w:ascii="Arial" w:cs="Arial" w:eastAsia="Arial" w:hAnsi="Arial"/>
          <w:sz w:val="18"/>
          <w:szCs w:val="18"/>
          <w:b w:val="1"/>
          <w:bCs w:val="1"/>
          <w:u w:val="single" w:color="auto"/>
          <w:color w:val="auto"/>
        </w:rPr>
        <w:t>Firm</w:t>
      </w:r>
    </w:p>
    <w:p>
      <w:pPr>
        <w:spacing w:after="0" w:line="220" w:lineRule="exact"/>
        <w:rPr>
          <w:sz w:val="20"/>
          <w:szCs w:val="20"/>
          <w:color w:val="auto"/>
        </w:rPr>
      </w:pPr>
    </w:p>
    <w:p>
      <w:pPr>
        <w:jc w:val="both"/>
        <w:ind w:firstLine="383"/>
        <w:spacing w:after="0" w:line="257" w:lineRule="auto"/>
        <w:rPr>
          <w:sz w:val="20"/>
          <w:szCs w:val="20"/>
          <w:color w:val="auto"/>
        </w:rPr>
      </w:pPr>
      <w:r>
        <w:rPr>
          <w:rFonts w:ascii="Arial" w:cs="Arial" w:eastAsia="Arial" w:hAnsi="Arial"/>
          <w:sz w:val="18"/>
          <w:szCs w:val="18"/>
          <w:color w:val="auto"/>
        </w:rPr>
        <w:t>Our management, under the supervision of our Chief Executive Officer and Chief Financial Officer, is responsible for establishing and maintaining adequate internal control over our financial reporting, as defined in Rules 13a-15(f) and 15d-15(f) of the Exchange Act of 1934, as amended. The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Internal control over financial reporting includes policies and procedures that:</w:t>
      </w:r>
    </w:p>
    <w:p>
      <w:pPr>
        <w:spacing w:after="0" w:line="188" w:lineRule="exact"/>
        <w:rPr>
          <w:sz w:val="20"/>
          <w:szCs w:val="20"/>
          <w:color w:val="auto"/>
        </w:rPr>
      </w:pPr>
    </w:p>
    <w:p>
      <w:pPr>
        <w:ind w:left="860" w:hanging="447"/>
        <w:spacing w:after="0"/>
        <w:tabs>
          <w:tab w:leader="none" w:pos="8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our transactions and asset dispositions;</w:t>
      </w:r>
    </w:p>
    <w:p>
      <w:pPr>
        <w:spacing w:after="0" w:line="23" w:lineRule="exact"/>
        <w:rPr>
          <w:rFonts w:ascii="Arial" w:cs="Arial" w:eastAsia="Arial" w:hAnsi="Arial"/>
          <w:sz w:val="18"/>
          <w:szCs w:val="18"/>
          <w:color w:val="auto"/>
        </w:rPr>
      </w:pPr>
    </w:p>
    <w:p>
      <w:pPr>
        <w:ind w:left="860" w:right="20" w:hanging="447"/>
        <w:spacing w:after="0" w:line="250" w:lineRule="auto"/>
        <w:tabs>
          <w:tab w:leader="none" w:pos="8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the preparation of our financial statements in accordance with generally accepted accounting principles;</w:t>
      </w:r>
    </w:p>
    <w:p>
      <w:pPr>
        <w:ind w:left="860" w:hanging="447"/>
        <w:spacing w:after="0" w:line="250" w:lineRule="auto"/>
        <w:tabs>
          <w:tab w:leader="none" w:pos="8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provide reasonable assurance that receipts and expenditures are made only in accordance with authorizations of our management and board of directors (as appropriate); and</w:t>
      </w:r>
    </w:p>
    <w:p>
      <w:pPr>
        <w:ind w:left="860" w:hanging="447"/>
        <w:spacing w:after="0" w:line="261" w:lineRule="auto"/>
        <w:tabs>
          <w:tab w:leader="none" w:pos="86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provide reasonable assurance regarding the prevention or timely detection of unauthorized acquisition, use or disposition of assets that could have a material effect on our financial statements.</w:t>
      </w:r>
    </w:p>
    <w:p>
      <w:pPr>
        <w:spacing w:after="0" w:line="184" w:lineRule="exact"/>
        <w:rPr>
          <w:sz w:val="20"/>
          <w:szCs w:val="20"/>
          <w:color w:val="auto"/>
        </w:rPr>
      </w:pPr>
    </w:p>
    <w:p>
      <w:pPr>
        <w:jc w:val="both"/>
        <w:ind w:firstLine="383"/>
        <w:spacing w:after="0" w:line="264" w:lineRule="auto"/>
        <w:rPr>
          <w:sz w:val="20"/>
          <w:szCs w:val="20"/>
          <w:color w:val="auto"/>
        </w:rPr>
      </w:pPr>
      <w:r>
        <w:rPr>
          <w:rFonts w:ascii="Arial" w:cs="Arial" w:eastAsia="Arial" w:hAnsi="Arial"/>
          <w:sz w:val="18"/>
          <w:szCs w:val="18"/>
          <w:color w:val="auto"/>
        </w:rPr>
        <w:t>Due to its inherent limitations, internal control over financial reporting may not prevent or detect misstatements. In addition,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jc w:val="both"/>
        <w:ind w:firstLine="383"/>
        <w:spacing w:after="0" w:line="264" w:lineRule="auto"/>
        <w:rPr>
          <w:sz w:val="20"/>
          <w:szCs w:val="20"/>
          <w:color w:val="auto"/>
        </w:rPr>
      </w:pPr>
      <w:r>
        <w:rPr>
          <w:rFonts w:ascii="Arial" w:cs="Arial" w:eastAsia="Arial" w:hAnsi="Arial"/>
          <w:sz w:val="18"/>
          <w:szCs w:val="18"/>
          <w:color w:val="auto"/>
        </w:rPr>
        <w:t>Under the supervision and with the participation of our management, including our Chief Executive Officer and Chief Financial Officer, we assessed the effectiveness of our internal control over financial reporting as of December 31, 2018 based on the framework for Internal Control-Integrated Framework set forth by The Committee of Sponsoring Organizations of the Treadway Commission (COSO) (2013).</w:t>
      </w:r>
    </w:p>
    <w:p>
      <w:pPr>
        <w:spacing w:after="0" w:line="181"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Based on our assessment and this framework, our management concluded that the Company’s internal control over financial reporting was effective as of December 31, 2018.</w:t>
      </w:r>
    </w:p>
    <w:p>
      <w:pPr>
        <w:spacing w:after="0" w:line="166" w:lineRule="exact"/>
        <w:rPr>
          <w:sz w:val="20"/>
          <w:szCs w:val="20"/>
          <w:color w:val="auto"/>
        </w:rPr>
      </w:pPr>
    </w:p>
    <w:p>
      <w:pPr>
        <w:ind w:left="720" w:hanging="712"/>
        <w:spacing w:after="0"/>
        <w:tabs>
          <w:tab w:leader="none" w:pos="720" w:val="left"/>
        </w:tabs>
        <w:numPr>
          <w:ilvl w:val="0"/>
          <w:numId w:val="13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Changes in Internal Controls Over Financial Reporting</w:t>
      </w:r>
    </w:p>
    <w:p>
      <w:pPr>
        <w:spacing w:after="0" w:line="283" w:lineRule="exact"/>
        <w:rPr>
          <w:sz w:val="20"/>
          <w:szCs w:val="20"/>
          <w:color w:val="auto"/>
        </w:rPr>
      </w:pPr>
    </w:p>
    <w:p>
      <w:pPr>
        <w:ind w:firstLine="383"/>
        <w:spacing w:after="0" w:line="277" w:lineRule="auto"/>
        <w:rPr>
          <w:sz w:val="20"/>
          <w:szCs w:val="20"/>
          <w:color w:val="auto"/>
        </w:rPr>
      </w:pPr>
      <w:r>
        <w:rPr>
          <w:rFonts w:ascii="Arial" w:cs="Arial" w:eastAsia="Arial" w:hAnsi="Arial"/>
          <w:sz w:val="18"/>
          <w:szCs w:val="18"/>
          <w:color w:val="auto"/>
        </w:rPr>
        <w:t>There were no changes in our internal control over financial reporting that occurred during the year ended December 31, 2018 that have materially affected or are reasonably likely to materially affect our internal control over financial reporting.</w:t>
      </w:r>
    </w:p>
    <w:p>
      <w:pPr>
        <w:spacing w:after="0" w:line="220"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ITEM16.</w:t>
      </w:r>
      <w:r>
        <w:rPr>
          <w:sz w:val="20"/>
          <w:szCs w:val="20"/>
          <w:color w:val="auto"/>
        </w:rPr>
        <w:tab/>
      </w:r>
      <w:r>
        <w:rPr>
          <w:rFonts w:ascii="Arial" w:cs="Arial" w:eastAsia="Arial" w:hAnsi="Arial"/>
          <w:sz w:val="18"/>
          <w:szCs w:val="18"/>
          <w:b w:val="1"/>
          <w:bCs w:val="1"/>
          <w:color w:val="auto"/>
        </w:rPr>
        <w:t>[RESERVED]</w:t>
      </w:r>
    </w:p>
    <w:p>
      <w:pPr>
        <w:spacing w:after="0" w:line="279"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16A.</w:t>
        <w:tab/>
        <w:t>AUDIT COMMITTEE FINANCIAL EXPERT</w:t>
      </w:r>
    </w:p>
    <w:p>
      <w:pPr>
        <w:spacing w:after="0" w:line="283" w:lineRule="exact"/>
        <w:rPr>
          <w:sz w:val="20"/>
          <w:szCs w:val="20"/>
          <w:color w:val="auto"/>
        </w:rPr>
      </w:pPr>
    </w:p>
    <w:p>
      <w:pPr>
        <w:ind w:firstLine="383"/>
        <w:spacing w:after="0" w:line="277" w:lineRule="auto"/>
        <w:rPr>
          <w:sz w:val="20"/>
          <w:szCs w:val="20"/>
          <w:color w:val="auto"/>
        </w:rPr>
      </w:pPr>
      <w:r>
        <w:rPr>
          <w:rFonts w:ascii="Arial" w:cs="Arial" w:eastAsia="Arial" w:hAnsi="Arial"/>
          <w:sz w:val="18"/>
          <w:szCs w:val="18"/>
          <w:color w:val="auto"/>
        </w:rPr>
        <w:t>Our board of directors has determined that Mr. Jerrold S. Gattegno is an audit committee financial expert. Mr. Gattegno is an independent director for the purposes of the Nasdaq Listing Rules.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67" w:name="page168"/>
    <w:bookmarkEnd w:id="167"/>
    <w:p>
      <w:pPr>
        <w:spacing w:after="0"/>
        <w:tabs>
          <w:tab w:leader="none" w:pos="1120" w:val="left"/>
        </w:tabs>
        <w:rPr>
          <w:sz w:val="20"/>
          <w:szCs w:val="20"/>
          <w:color w:val="auto"/>
        </w:rPr>
      </w:pPr>
      <w:r>
        <w:rPr>
          <w:rFonts w:ascii="Arial" w:cs="Arial" w:eastAsia="Arial" w:hAnsi="Arial"/>
          <w:sz w:val="18"/>
          <w:szCs w:val="18"/>
          <w:b w:val="1"/>
          <w:bCs w:val="1"/>
          <w:color w:val="auto"/>
        </w:rPr>
        <w:t>ITEM 16B.</w:t>
        <w:tab/>
        <w:t>CODE OF ETHICS</w:t>
      </w:r>
    </w:p>
    <w:p>
      <w:pPr>
        <w:spacing w:after="0" w:line="283" w:lineRule="exact"/>
        <w:rPr>
          <w:sz w:val="20"/>
          <w:szCs w:val="20"/>
          <w:color w:val="auto"/>
        </w:rPr>
      </w:pPr>
    </w:p>
    <w:p>
      <w:pPr>
        <w:ind w:right="20" w:firstLine="383"/>
        <w:spacing w:after="0" w:line="308" w:lineRule="auto"/>
        <w:rPr>
          <w:sz w:val="20"/>
          <w:szCs w:val="20"/>
          <w:color w:val="auto"/>
        </w:rPr>
      </w:pPr>
      <w:r>
        <w:rPr>
          <w:rFonts w:ascii="Arial" w:cs="Arial" w:eastAsia="Arial" w:hAnsi="Arial"/>
          <w:sz w:val="17"/>
          <w:szCs w:val="17"/>
          <w:color w:val="auto"/>
        </w:rPr>
        <w:t>We have adopted a code of ethics that applies to our principal executive officer, principal financial officer, principal accounting officer or controller, or persons performing similar functions. This code of ethics is posted on our website, http://ir.sol-gel.com/corporate-governance/governance-overview.</w:t>
      </w:r>
    </w:p>
    <w:p>
      <w:pPr>
        <w:spacing w:after="0" w:line="1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16C.</w:t>
      </w:r>
      <w:r>
        <w:rPr>
          <w:sz w:val="20"/>
          <w:szCs w:val="20"/>
          <w:color w:val="auto"/>
        </w:rPr>
        <w:tab/>
      </w:r>
      <w:r>
        <w:rPr>
          <w:rFonts w:ascii="Arial" w:cs="Arial" w:eastAsia="Arial" w:hAnsi="Arial"/>
          <w:sz w:val="17"/>
          <w:szCs w:val="17"/>
          <w:b w:val="1"/>
          <w:bCs w:val="1"/>
          <w:color w:val="auto"/>
        </w:rPr>
        <w:t>PRINCIPAL ACCOUNTANT FEES AND SERVICES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Paid to Independent Registered Public Accounting Firm</w:t>
      </w:r>
    </w:p>
    <w:p>
      <w:pPr>
        <w:spacing w:after="0" w:line="283" w:lineRule="exact"/>
        <w:rPr>
          <w:sz w:val="20"/>
          <w:szCs w:val="20"/>
          <w:color w:val="auto"/>
        </w:rPr>
      </w:pPr>
    </w:p>
    <w:p>
      <w:pPr>
        <w:ind w:firstLine="383"/>
        <w:spacing w:after="0" w:line="277" w:lineRule="auto"/>
        <w:rPr>
          <w:sz w:val="20"/>
          <w:szCs w:val="20"/>
          <w:color w:val="auto"/>
        </w:rPr>
      </w:pPr>
      <w:r>
        <w:rPr>
          <w:rFonts w:ascii="Arial" w:cs="Arial" w:eastAsia="Arial" w:hAnsi="Arial"/>
          <w:sz w:val="18"/>
          <w:szCs w:val="18"/>
          <w:color w:val="auto"/>
        </w:rPr>
        <w:t>The following table sets forth, for each of the years indicated, the aggregate fees billed by our independent registered public accounting firm for professional services.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0" w:type="dxa"/>
            <w:vAlign w:val="bottom"/>
            <w:gridSpan w:val="7"/>
          </w:tcPr>
          <w:p>
            <w:pPr>
              <w:spacing w:after="0"/>
              <w:rPr>
                <w:sz w:val="20"/>
                <w:szCs w:val="20"/>
                <w:color w:val="auto"/>
              </w:rPr>
            </w:pPr>
            <w:r>
              <w:rPr>
                <w:rFonts w:ascii="Arial" w:cs="Arial" w:eastAsia="Arial" w:hAnsi="Arial"/>
                <w:sz w:val="18"/>
                <w:szCs w:val="18"/>
                <w:b w:val="1"/>
                <w:bCs w:val="1"/>
                <w:color w:val="auto"/>
              </w:rPr>
              <w:t>Year Ended December 31,</w:t>
            </w:r>
          </w:p>
        </w:tc>
      </w:tr>
      <w:tr>
        <w:trPr>
          <w:trHeight w:val="223"/>
        </w:trPr>
        <w:tc>
          <w:tcPr>
            <w:tcW w:w="8820" w:type="dxa"/>
            <w:vAlign w:val="bottom"/>
            <w:gridSpan w:val="2"/>
          </w:tcPr>
          <w:p>
            <w:pPr>
              <w:spacing w:after="0"/>
              <w:rPr>
                <w:sz w:val="20"/>
                <w:szCs w:val="20"/>
                <w:color w:val="auto"/>
              </w:rPr>
            </w:pPr>
            <w:r>
              <w:rPr>
                <w:rFonts w:ascii="Arial" w:cs="Arial" w:eastAsia="Arial" w:hAnsi="Arial"/>
                <w:sz w:val="18"/>
                <w:szCs w:val="18"/>
                <w:b w:val="1"/>
                <w:bCs w:val="1"/>
                <w:color w:val="auto"/>
              </w:rPr>
              <w:t>Services Rendered</w:t>
            </w: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2018</w:t>
            </w:r>
          </w:p>
        </w:tc>
        <w:tc>
          <w:tcPr>
            <w:tcW w:w="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260" w:type="dxa"/>
            <w:vAlign w:val="bottom"/>
            <w:tcBorders>
              <w:top w:val="single" w:sz="8" w:color="auto"/>
            </w:tcBorders>
            <w:gridSpan w:val="2"/>
          </w:tcPr>
          <w:p>
            <w:pPr>
              <w:ind w:left="12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r>
      <w:tr>
        <w:trPr>
          <w:trHeight w:val="216"/>
        </w:trPr>
        <w:tc>
          <w:tcPr>
            <w:tcW w:w="8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2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w w:val="87"/>
              </w:rPr>
              <w:t>(U.S. dollars in</w:t>
            </w:r>
          </w:p>
        </w:tc>
        <w:tc>
          <w:tcPr>
            <w:tcW w:w="20" w:type="dxa"/>
            <w:vAlign w:val="bottom"/>
          </w:tcPr>
          <w:p>
            <w:pPr>
              <w:spacing w:after="0"/>
              <w:rPr>
                <w:sz w:val="18"/>
                <w:szCs w:val="18"/>
                <w:color w:val="auto"/>
              </w:rPr>
            </w:pPr>
          </w:p>
        </w:tc>
        <w:tc>
          <w:tcPr>
            <w:tcW w:w="200" w:type="dxa"/>
            <w:vAlign w:val="bottom"/>
            <w:gridSpan w:val="2"/>
          </w:tcPr>
          <w:p>
            <w:pPr>
              <w:spacing w:after="0"/>
              <w:rPr>
                <w:sz w:val="18"/>
                <w:szCs w:val="18"/>
                <w:color w:val="auto"/>
              </w:rPr>
            </w:pPr>
          </w:p>
        </w:tc>
        <w:tc>
          <w:tcPr>
            <w:tcW w:w="114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thousands)</w:t>
            </w:r>
          </w:p>
        </w:tc>
        <w:tc>
          <w:tcPr>
            <w:tcW w:w="100" w:type="dxa"/>
            <w:vAlign w:val="bottom"/>
          </w:tcPr>
          <w:p>
            <w:pPr>
              <w:spacing w:after="0"/>
              <w:rPr>
                <w:sz w:val="18"/>
                <w:szCs w:val="18"/>
                <w:color w:val="auto"/>
              </w:rPr>
            </w:pPr>
          </w:p>
        </w:tc>
      </w:tr>
      <w:tr>
        <w:trPr>
          <w:trHeight w:val="216"/>
        </w:trPr>
        <w:tc>
          <w:tcPr>
            <w:tcW w:w="8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Audit Fees (1)</w:t>
            </w:r>
          </w:p>
        </w:tc>
        <w:tc>
          <w:tcPr>
            <w:tcW w:w="12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125</w:t>
            </w:r>
          </w:p>
        </w:tc>
        <w:tc>
          <w:tcPr>
            <w:tcW w:w="13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210</w:t>
            </w:r>
          </w:p>
        </w:tc>
      </w:tr>
      <w:tr>
        <w:trPr>
          <w:trHeight w:val="223"/>
        </w:trPr>
        <w:tc>
          <w:tcPr>
            <w:tcW w:w="8820" w:type="dxa"/>
            <w:vAlign w:val="bottom"/>
            <w:gridSpan w:val="2"/>
          </w:tcPr>
          <w:p>
            <w:pPr>
              <w:spacing w:after="0"/>
              <w:rPr>
                <w:sz w:val="20"/>
                <w:szCs w:val="20"/>
                <w:color w:val="auto"/>
              </w:rPr>
            </w:pPr>
            <w:r>
              <w:rPr>
                <w:rFonts w:ascii="Arial" w:cs="Arial" w:eastAsia="Arial" w:hAnsi="Arial"/>
                <w:sz w:val="18"/>
                <w:szCs w:val="18"/>
                <w:color w:val="auto"/>
              </w:rPr>
              <w:t>Tax (2)</w:t>
            </w:r>
          </w:p>
        </w:tc>
        <w:tc>
          <w:tcPr>
            <w:tcW w:w="1160" w:type="dxa"/>
            <w:vAlign w:val="bottom"/>
            <w:gridSpan w:val="3"/>
          </w:tcPr>
          <w:p>
            <w:pPr>
              <w:jc w:val="right"/>
              <w:ind w:right="20"/>
              <w:spacing w:after="0"/>
              <w:rPr>
                <w:sz w:val="20"/>
                <w:szCs w:val="20"/>
                <w:color w:val="auto"/>
              </w:rPr>
            </w:pPr>
            <w:r>
              <w:rPr>
                <w:rFonts w:ascii="Arial" w:cs="Arial" w:eastAsia="Arial" w:hAnsi="Arial"/>
                <w:sz w:val="18"/>
                <w:szCs w:val="18"/>
                <w:color w:val="auto"/>
              </w:rPr>
              <w:t>30</w:t>
            </w:r>
          </w:p>
        </w:tc>
        <w:tc>
          <w:tcPr>
            <w:tcW w:w="80" w:type="dxa"/>
            <w:vAlign w:val="bottom"/>
          </w:tcPr>
          <w:p>
            <w:pPr>
              <w:spacing w:after="0"/>
              <w:rPr>
                <w:sz w:val="19"/>
                <w:szCs w:val="19"/>
                <w:color w:val="auto"/>
              </w:rPr>
            </w:pP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12</w:t>
            </w:r>
          </w:p>
        </w:tc>
      </w:tr>
      <w:tr>
        <w:trPr>
          <w:trHeight w:val="223"/>
        </w:trPr>
        <w:tc>
          <w:tcPr>
            <w:tcW w:w="8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20" w:type="dxa"/>
            <w:vAlign w:val="bottom"/>
            <w:tcBorders>
              <w:top w:val="single" w:sz="8" w:color="auto"/>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Borders>
              <w:bottom w:val="single" w:sz="8" w:color="CCEEFF"/>
            </w:tcBorders>
            <w:shd w:val="clear" w:color="auto" w:fill="CCEEFF"/>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1715135"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340" w:right="20" w:hanging="332"/>
        <w:spacing w:after="0" w:line="258" w:lineRule="auto"/>
        <w:tabs>
          <w:tab w:leader="none" w:pos="34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Audit Fees consist of professional services rendered in connection with the audit of our financial statements, review of our quarterly financial statements and fees associated with our IPO completed in January 2018.</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Tax fees relate to tax compliance, planning and advice.</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 Pre-Approval Policies and Procedures</w:t>
      </w:r>
    </w:p>
    <w:p>
      <w:pPr>
        <w:spacing w:after="0" w:line="283" w:lineRule="exact"/>
        <w:rPr>
          <w:sz w:val="20"/>
          <w:szCs w:val="20"/>
          <w:color w:val="auto"/>
        </w:rPr>
      </w:pPr>
    </w:p>
    <w:p>
      <w:pPr>
        <w:jc w:val="both"/>
        <w:ind w:firstLine="383"/>
        <w:spacing w:after="0" w:line="279" w:lineRule="auto"/>
        <w:rPr>
          <w:sz w:val="20"/>
          <w:szCs w:val="20"/>
          <w:color w:val="auto"/>
        </w:rPr>
      </w:pPr>
      <w:r>
        <w:rPr>
          <w:rFonts w:ascii="Arial" w:cs="Arial" w:eastAsia="Arial" w:hAnsi="Arial"/>
          <w:sz w:val="17"/>
          <w:szCs w:val="17"/>
          <w:color w:val="auto"/>
        </w:rPr>
        <w:t>Our audit committee’s specific responsibilities in carrying out its oversight of the quality and integrity of the accounting, auditing and reporting practices of the Company include the approval of audit and non-audit services to be provided by the external auditor. The audit committee approves in advance the particular services or categories of services to be provided to the Company during the following yearly period and also sets forth a specific budget for such audit and non-audit services. Additional non-audit services may be pre-approved by the audit committee.</w:t>
      </w:r>
    </w:p>
    <w:p>
      <w:pPr>
        <w:spacing w:after="0" w:line="2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16D.</w:t>
      </w:r>
      <w:r>
        <w:rPr>
          <w:sz w:val="20"/>
          <w:szCs w:val="20"/>
          <w:color w:val="auto"/>
        </w:rPr>
        <w:tab/>
      </w:r>
      <w:r>
        <w:rPr>
          <w:rFonts w:ascii="Arial" w:cs="Arial" w:eastAsia="Arial" w:hAnsi="Arial"/>
          <w:sz w:val="18"/>
          <w:szCs w:val="18"/>
          <w:b w:val="1"/>
          <w:bCs w:val="1"/>
          <w:color w:val="auto"/>
        </w:rPr>
        <w:t>EXEMPTIONS FROM THE LISTING STANDARDS FOR AUDIT COMMITTEES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16E.</w:t>
      </w:r>
      <w:r>
        <w:rPr>
          <w:sz w:val="20"/>
          <w:szCs w:val="20"/>
          <w:color w:val="auto"/>
        </w:rPr>
        <w:tab/>
      </w:r>
      <w:r>
        <w:rPr>
          <w:rFonts w:ascii="Arial" w:cs="Arial" w:eastAsia="Arial" w:hAnsi="Arial"/>
          <w:sz w:val="17"/>
          <w:szCs w:val="17"/>
          <w:b w:val="1"/>
          <w:bCs w:val="1"/>
          <w:color w:val="auto"/>
        </w:rPr>
        <w:t>PURCHASES OF EQUITY SECURITIES BY THE ISSUER AND AFFILIATED PURCHASERS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16F.</w:t>
      </w:r>
      <w:r>
        <w:rPr>
          <w:sz w:val="20"/>
          <w:szCs w:val="20"/>
          <w:color w:val="auto"/>
        </w:rPr>
        <w:tab/>
      </w:r>
      <w:r>
        <w:rPr>
          <w:rFonts w:ascii="Arial" w:cs="Arial" w:eastAsia="Arial" w:hAnsi="Arial"/>
          <w:sz w:val="18"/>
          <w:szCs w:val="18"/>
          <w:b w:val="1"/>
          <w:bCs w:val="1"/>
          <w:color w:val="auto"/>
        </w:rPr>
        <w:t>CHANGE IN REGISTRANT’S CERTIFYING ACCOUNTANT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2" w:right="239" w:bottom="1440" w:gutter="0" w:footer="0" w:header="0"/>
        </w:sectPr>
      </w:pPr>
    </w:p>
    <w:bookmarkStart w:id="168" w:name="page169"/>
    <w:bookmarkEnd w:id="168"/>
    <w:p>
      <w:pPr>
        <w:spacing w:after="0"/>
        <w:tabs>
          <w:tab w:leader="none" w:pos="1200" w:val="left"/>
        </w:tabs>
        <w:rPr>
          <w:sz w:val="20"/>
          <w:szCs w:val="20"/>
          <w:color w:val="auto"/>
        </w:rPr>
      </w:pPr>
      <w:r>
        <w:rPr>
          <w:rFonts w:ascii="Arial" w:cs="Arial" w:eastAsia="Arial" w:hAnsi="Arial"/>
          <w:sz w:val="18"/>
          <w:szCs w:val="18"/>
          <w:b w:val="1"/>
          <w:bCs w:val="1"/>
          <w:color w:val="auto"/>
        </w:rPr>
        <w:t>ITEM 16G.</w:t>
      </w:r>
      <w:r>
        <w:rPr>
          <w:sz w:val="20"/>
          <w:szCs w:val="20"/>
          <w:color w:val="auto"/>
        </w:rPr>
        <w:tab/>
      </w:r>
      <w:r>
        <w:rPr>
          <w:rFonts w:ascii="Arial" w:cs="Arial" w:eastAsia="Arial" w:hAnsi="Arial"/>
          <w:sz w:val="17"/>
          <w:szCs w:val="17"/>
          <w:b w:val="1"/>
          <w:bCs w:val="1"/>
          <w:color w:val="auto"/>
        </w:rPr>
        <w:t>CORPORATE GOVERNANCE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Nasdaq Stock Listing Rules and Home Country Practices</w:t>
      </w:r>
    </w:p>
    <w:p>
      <w:pPr>
        <w:spacing w:after="0" w:line="28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As a foreign private issuer, we will be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 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232" w:lineRule="exact"/>
        <w:rPr>
          <w:sz w:val="20"/>
          <w:szCs w:val="20"/>
          <w:color w:val="auto"/>
        </w:rPr>
      </w:pPr>
    </w:p>
    <w:p>
      <w:pPr>
        <w:jc w:val="both"/>
        <w:ind w:firstLine="360"/>
        <w:spacing w:after="0" w:line="342" w:lineRule="auto"/>
        <w:rPr>
          <w:sz w:val="20"/>
          <w:szCs w:val="20"/>
          <w:color w:val="auto"/>
        </w:rPr>
      </w:pPr>
      <w:r>
        <w:rPr>
          <w:rFonts w:ascii="Arial" w:cs="Arial" w:eastAsia="Arial" w:hAnsi="Arial"/>
          <w:sz w:val="16"/>
          <w:szCs w:val="16"/>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178" w:lineRule="exact"/>
        <w:rPr>
          <w:sz w:val="20"/>
          <w:szCs w:val="20"/>
          <w:color w:val="auto"/>
        </w:rPr>
      </w:pPr>
    </w:p>
    <w:p>
      <w:pPr>
        <w:jc w:val="both"/>
        <w:ind w:left="720" w:hanging="361"/>
        <w:spacing w:after="0" w:line="264" w:lineRule="auto"/>
        <w:tabs>
          <w:tab w:leader="none" w:pos="72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we intend to establish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35"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240"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We also intend to comply with Israeli corporate governance requirements under the Companies Law applicable to public companies.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69" w:name="page170"/>
    <w:bookmarkEnd w:id="169"/>
    <w:p>
      <w:pPr>
        <w:spacing w:after="0"/>
        <w:rPr>
          <w:sz w:val="20"/>
          <w:szCs w:val="20"/>
          <w:color w:val="auto"/>
        </w:rPr>
      </w:pPr>
      <w:r>
        <w:rPr>
          <w:rFonts w:ascii="Arial" w:cs="Arial" w:eastAsia="Arial" w:hAnsi="Arial"/>
          <w:sz w:val="18"/>
          <w:szCs w:val="18"/>
          <w:b w:val="1"/>
          <w:bCs w:val="1"/>
          <w:i w:val="1"/>
          <w:iCs w:val="1"/>
          <w:color w:val="auto"/>
        </w:rPr>
        <w:t>Controlled Company</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As a result of the number of shares owned by Arkin Dermatology, as of the date of this annual report, we are a “controlled company” under the Nasdaq corporate governance rules. A “controlled company” is a company of which more than 50% of the voting power is held by an individual, group or another company. Pursuant to the “controlled company” exemption, we are not required to, and will not, comply with the requirements that: (1) a majority of our board of directors consist of independent directors; and (2) we have a nominating committee composed entirely of independent directors with a written charter addressing such committee’s purpose and responsibilities. See “Item 6. Directors, Senior Management and Employees — C. Board Practices."</w:t>
      </w:r>
    </w:p>
    <w:p>
      <w:pPr>
        <w:spacing w:after="0" w:line="208"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ITEM 16H.</w:t>
      </w:r>
      <w:r>
        <w:rPr>
          <w:sz w:val="20"/>
          <w:szCs w:val="20"/>
          <w:color w:val="auto"/>
        </w:rPr>
        <w:tab/>
      </w:r>
      <w:r>
        <w:rPr>
          <w:rFonts w:ascii="Arial" w:cs="Arial" w:eastAsia="Arial" w:hAnsi="Arial"/>
          <w:sz w:val="18"/>
          <w:szCs w:val="18"/>
          <w:b w:val="1"/>
          <w:bCs w:val="1"/>
          <w:color w:val="auto"/>
        </w:rPr>
        <w:t>MINE SAFETY DISCLOSURE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8"/>
          <w:szCs w:val="18"/>
          <w:b w:val="1"/>
          <w:bCs w:val="1"/>
          <w:color w:val="auto"/>
        </w:rPr>
        <w:t>FINANCIAL STATEMENTS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18.</w:t>
      </w:r>
      <w:r>
        <w:rPr>
          <w:sz w:val="20"/>
          <w:szCs w:val="20"/>
          <w:color w:val="auto"/>
        </w:rPr>
        <w:tab/>
      </w:r>
      <w:r>
        <w:rPr>
          <w:rFonts w:ascii="Arial" w:cs="Arial" w:eastAsia="Arial" w:hAnsi="Arial"/>
          <w:sz w:val="18"/>
          <w:szCs w:val="18"/>
          <w:b w:val="1"/>
          <w:bCs w:val="1"/>
          <w:color w:val="auto"/>
        </w:rPr>
        <w:t>FINANCIAL STATEMENTS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required by this item are found at the end of this annual report, beginning on page F-1.</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19.</w:t>
      </w:r>
      <w:r>
        <w:rPr>
          <w:sz w:val="20"/>
          <w:szCs w:val="20"/>
          <w:color w:val="auto"/>
        </w:rPr>
        <w:tab/>
      </w:r>
      <w:r>
        <w:rPr>
          <w:rFonts w:ascii="Arial" w:cs="Arial" w:eastAsia="Arial" w:hAnsi="Arial"/>
          <w:sz w:val="18"/>
          <w:szCs w:val="18"/>
          <w:b w:val="1"/>
          <w:bCs w:val="1"/>
          <w:color w:val="auto"/>
        </w:rPr>
        <w:t>EXHIBITS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See Exhibit Index on page 168.</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70" w:name="page171"/>
    <w:bookmarkEnd w:id="170"/>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exhibits filed with or incorporated into this Registration Statement are listed in the index of exhibits below.</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60" w:type="dxa"/>
            <w:vAlign w:val="bottom"/>
            <w:gridSpan w:val="3"/>
          </w:tcPr>
          <w:p>
            <w:pPr>
              <w:spacing w:after="0"/>
              <w:rPr>
                <w:sz w:val="20"/>
                <w:szCs w:val="20"/>
                <w:color w:val="auto"/>
              </w:rPr>
            </w:pPr>
            <w:r>
              <w:rPr>
                <w:rFonts w:ascii="Arial" w:cs="Arial" w:eastAsia="Arial" w:hAnsi="Arial"/>
                <w:sz w:val="18"/>
                <w:szCs w:val="18"/>
                <w:b w:val="1"/>
                <w:bCs w:val="1"/>
                <w:color w:val="auto"/>
              </w:rPr>
              <w:t>Exhibit</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960" w:type="dxa"/>
            <w:vAlign w:val="bottom"/>
            <w:gridSpan w:val="3"/>
          </w:tcPr>
          <w:p>
            <w:pPr>
              <w:spacing w:after="0"/>
              <w:rPr>
                <w:sz w:val="20"/>
                <w:szCs w:val="20"/>
                <w:color w:val="auto"/>
              </w:rPr>
            </w:pPr>
            <w:r>
              <w:rPr>
                <w:rFonts w:ascii="Arial" w:cs="Arial" w:eastAsia="Arial" w:hAnsi="Arial"/>
                <w:sz w:val="18"/>
                <w:szCs w:val="18"/>
                <w:b w:val="1"/>
                <w:bCs w:val="1"/>
                <w:color w:val="auto"/>
              </w:rPr>
              <w:t>Number</w:t>
            </w:r>
          </w:p>
        </w:tc>
        <w:tc>
          <w:tcPr>
            <w:tcW w:w="180" w:type="dxa"/>
            <w:vAlign w:val="bottom"/>
          </w:tcPr>
          <w:p>
            <w:pPr>
              <w:spacing w:after="0"/>
              <w:rPr>
                <w:sz w:val="20"/>
                <w:szCs w:val="20"/>
                <w:color w:val="auto"/>
              </w:rPr>
            </w:pPr>
          </w:p>
        </w:tc>
        <w:tc>
          <w:tcPr>
            <w:tcW w:w="10280" w:type="dxa"/>
            <w:vAlign w:val="bottom"/>
            <w:gridSpan w:val="15"/>
          </w:tcPr>
          <w:p>
            <w:pPr>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24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tcBorders>
              <w:left w:val="single" w:sz="8" w:color="auto"/>
            </w:tcBorders>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320" w:type="dxa"/>
            <w:vAlign w:val="bottom"/>
            <w:shd w:val="clear" w:color="auto" w:fill="000000"/>
          </w:tcPr>
          <w:p>
            <w:pPr>
              <w:spacing w:after="0"/>
              <w:rPr>
                <w:sz w:val="2"/>
                <w:szCs w:val="2"/>
                <w:color w:val="auto"/>
              </w:rPr>
            </w:pPr>
          </w:p>
        </w:tc>
        <w:tc>
          <w:tcPr>
            <w:tcW w:w="1900" w:type="dxa"/>
            <w:vAlign w:val="bottom"/>
            <w:shd w:val="clear" w:color="auto" w:fill="000000"/>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0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Borders>
              <w:left w:val="single" w:sz="8" w:color="auto"/>
            </w:tcBorders>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 w:type="dxa"/>
            <w:vAlign w:val="bottom"/>
            <w:tcBorders>
              <w:left w:val="single" w:sz="8" w:color="auto"/>
            </w:tcBorders>
            <w:shd w:val="clear" w:color="auto" w:fill="000000"/>
          </w:tcPr>
          <w:p>
            <w:pPr>
              <w:spacing w:after="0"/>
              <w:rPr>
                <w:sz w:val="2"/>
                <w:szCs w:val="2"/>
                <w:color w:val="auto"/>
              </w:rPr>
            </w:pPr>
          </w:p>
        </w:tc>
      </w:tr>
      <w:tr>
        <w:trPr>
          <w:trHeight w:val="392"/>
        </w:trPr>
        <w:tc>
          <w:tcPr>
            <w:tcW w:w="240" w:type="dxa"/>
            <w:vAlign w:val="bottom"/>
          </w:tcPr>
          <w:p>
            <w:pPr>
              <w:spacing w:after="0"/>
              <w:rPr>
                <w:rFonts w:ascii="Arial" w:cs="Arial" w:eastAsia="Arial" w:hAnsi="Arial"/>
                <w:sz w:val="18"/>
                <w:szCs w:val="18"/>
                <w:color w:val="0000EE"/>
                <w:w w:val="87"/>
              </w:rPr>
            </w:pPr>
            <w:hyperlink r:id="rId195">
              <w:r>
                <w:rPr>
                  <w:rFonts w:ascii="Arial" w:cs="Arial" w:eastAsia="Arial" w:hAnsi="Arial"/>
                  <w:sz w:val="18"/>
                  <w:szCs w:val="18"/>
                  <w:color w:val="0000EE"/>
                  <w:w w:val="87"/>
                </w:rPr>
                <w:t>1.</w:t>
              </w:r>
              <w:r>
                <w:rPr>
                  <w:rFonts w:ascii="Arial" w:cs="Arial" w:eastAsia="Arial" w:hAnsi="Arial"/>
                  <w:sz w:val="18"/>
                  <w:szCs w:val="18"/>
                  <w:u w:val="single" w:color="auto"/>
                  <w:color w:val="0000EE"/>
                  <w:w w:val="87"/>
                </w:rPr>
                <w:t>1</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2"/>
              </w:rPr>
            </w:pPr>
            <w:hyperlink r:id="rId195">
              <w:r>
                <w:rPr>
                  <w:rFonts w:ascii="Arial" w:cs="Arial" w:eastAsia="Arial" w:hAnsi="Arial"/>
                  <w:sz w:val="18"/>
                  <w:szCs w:val="18"/>
                  <w:color w:val="0000EE"/>
                  <w:w w:val="92"/>
                </w:rPr>
                <w:t>Amended and Restated Memorandum of Association (incorporated by reference to Exhibit 3.1 of the Registration Statement on Form F-1/A</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30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195">
              <w:r>
                <w:rPr>
                  <w:rFonts w:ascii="Arial" w:cs="Arial" w:eastAsia="Arial" w:hAnsi="Arial"/>
                  <w:sz w:val="18"/>
                  <w:szCs w:val="18"/>
                  <w:color w:val="0000EE"/>
                </w:rPr>
                <w:t>filed with the Securities and Exchange Commission on January 23, 2018).</w:t>
              </w:r>
            </w:hyperlink>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196">
              <w:r>
                <w:rPr>
                  <w:rFonts w:ascii="Arial" w:cs="Arial" w:eastAsia="Arial" w:hAnsi="Arial"/>
                  <w:sz w:val="18"/>
                  <w:szCs w:val="18"/>
                  <w:color w:val="0000EE"/>
                  <w:w w:val="87"/>
                </w:rPr>
                <w:t>1.</w:t>
              </w:r>
              <w:r>
                <w:rPr>
                  <w:rFonts w:ascii="Arial" w:cs="Arial" w:eastAsia="Arial" w:hAnsi="Arial"/>
                  <w:sz w:val="18"/>
                  <w:szCs w:val="18"/>
                  <w:u w:val="single" w:color="auto"/>
                  <w:color w:val="0000EE"/>
                  <w:w w:val="87"/>
                </w:rPr>
                <w:t>2</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8"/>
              </w:rPr>
            </w:pPr>
            <w:hyperlink r:id="rId196">
              <w:r>
                <w:rPr>
                  <w:rFonts w:ascii="Arial" w:cs="Arial" w:eastAsia="Arial" w:hAnsi="Arial"/>
                  <w:sz w:val="18"/>
                  <w:szCs w:val="18"/>
                  <w:color w:val="0000EE"/>
                  <w:w w:val="98"/>
                </w:rPr>
                <w:t>Amended and Restated Articles of Association (incorporated by reference to Exhibit 99.1 of Form 6-K/A filed with the Securities and</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8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4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r:id="rId196">
              <w:r>
                <w:rPr>
                  <w:rFonts w:ascii="Arial" w:cs="Arial" w:eastAsia="Arial" w:hAnsi="Arial"/>
                  <w:sz w:val="18"/>
                  <w:szCs w:val="18"/>
                  <w:color w:val="0000EE"/>
                  <w:w w:val="90"/>
                </w:rPr>
                <w:t>Exchange Commission on August 20, 2018).</w:t>
              </w:r>
            </w:hyperlink>
          </w:p>
        </w:tc>
        <w:tc>
          <w:tcPr>
            <w:tcW w:w="7040" w:type="dxa"/>
            <w:vAlign w:val="bottom"/>
            <w:gridSpan w:val="12"/>
          </w:tcPr>
          <w:p>
            <w:pPr>
              <w:spacing w:after="0"/>
              <w:rPr>
                <w:sz w:val="17"/>
                <w:szCs w:val="17"/>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197">
              <w:r>
                <w:rPr>
                  <w:rFonts w:ascii="Arial" w:cs="Arial" w:eastAsia="Arial" w:hAnsi="Arial"/>
                  <w:sz w:val="18"/>
                  <w:szCs w:val="18"/>
                  <w:color w:val="0000EE"/>
                  <w:w w:val="87"/>
                </w:rPr>
                <w:t>2.</w:t>
              </w:r>
              <w:r>
                <w:rPr>
                  <w:rFonts w:ascii="Arial" w:cs="Arial" w:eastAsia="Arial" w:hAnsi="Arial"/>
                  <w:sz w:val="18"/>
                  <w:szCs w:val="18"/>
                  <w:u w:val="single" w:color="auto"/>
                  <w:color w:val="0000EE"/>
                  <w:w w:val="87"/>
                </w:rPr>
                <w:t>1</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5"/>
              </w:rPr>
            </w:pPr>
            <w:hyperlink r:id="rId197">
              <w:r>
                <w:rPr>
                  <w:rFonts w:ascii="Arial" w:cs="Arial" w:eastAsia="Arial" w:hAnsi="Arial"/>
                  <w:sz w:val="18"/>
                  <w:szCs w:val="18"/>
                  <w:color w:val="0000EE"/>
                  <w:w w:val="95"/>
                </w:rPr>
                <w:t>Form of Specimen Share Certificate (incorporated by reference to Exhibit 4.1 of the Registration Statement on Form F-1/A filed with the</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8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197">
              <w:r>
                <w:rPr>
                  <w:rFonts w:ascii="Arial" w:cs="Arial" w:eastAsia="Arial" w:hAnsi="Arial"/>
                  <w:sz w:val="18"/>
                  <w:szCs w:val="18"/>
                  <w:color w:val="0000EE"/>
                </w:rPr>
                <w:t>Securities and Exchange Commission on September 20, 2017).</w:t>
              </w:r>
            </w:hyperlink>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960" w:type="dxa"/>
            <w:vAlign w:val="bottom"/>
            <w:gridSpan w:val="3"/>
          </w:tcPr>
          <w:p>
            <w:pPr>
              <w:spacing w:after="0"/>
              <w:rPr>
                <w:rFonts w:ascii="Arial" w:cs="Arial" w:eastAsia="Arial" w:hAnsi="Arial"/>
                <w:sz w:val="18"/>
                <w:szCs w:val="18"/>
                <w:color w:val="0000EE"/>
              </w:rPr>
            </w:pPr>
            <w:hyperlink r:id="rId198">
              <w:r>
                <w:rPr>
                  <w:rFonts w:ascii="Arial" w:cs="Arial" w:eastAsia="Arial" w:hAnsi="Arial"/>
                  <w:sz w:val="18"/>
                  <w:szCs w:val="18"/>
                  <w:color w:val="0000EE"/>
                </w:rPr>
                <w:t>4.</w:t>
              </w:r>
              <w:r>
                <w:rPr>
                  <w:rFonts w:ascii="Arial" w:cs="Arial" w:eastAsia="Arial" w:hAnsi="Arial"/>
                  <w:sz w:val="18"/>
                  <w:szCs w:val="18"/>
                  <w:u w:val="single" w:color="auto"/>
                  <w:color w:val="0000EE"/>
                </w:rPr>
                <w:t>1†</w:t>
              </w:r>
            </w:hyperlink>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3"/>
              </w:rPr>
            </w:pPr>
            <w:hyperlink r:id="rId198">
              <w:r>
                <w:rPr>
                  <w:rFonts w:ascii="Arial" w:cs="Arial" w:eastAsia="Arial" w:hAnsi="Arial"/>
                  <w:sz w:val="18"/>
                  <w:szCs w:val="18"/>
                  <w:color w:val="0000EE"/>
                  <w:w w:val="93"/>
                </w:rPr>
                <w:t>Development, Manufacturing and Commercialization Agreement between Perrigo UK Finco Limited Partnership and Sol-Gel Technologies</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368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40" w:type="dxa"/>
            <w:vAlign w:val="bottom"/>
            <w:tcBorders>
              <w:bottom w:val="single" w:sz="8" w:color="0000EE"/>
            </w:tcBorders>
            <w:gridSpan w:val="11"/>
          </w:tcPr>
          <w:p>
            <w:pPr>
              <w:spacing w:after="0" w:line="196" w:lineRule="exact"/>
              <w:rPr>
                <w:rFonts w:ascii="Arial" w:cs="Arial" w:eastAsia="Arial" w:hAnsi="Arial"/>
                <w:sz w:val="18"/>
                <w:szCs w:val="18"/>
                <w:color w:val="0000EE"/>
                <w:w w:val="92"/>
              </w:rPr>
            </w:pPr>
            <w:hyperlink r:id="rId198">
              <w:r>
                <w:rPr>
                  <w:rFonts w:ascii="Arial" w:cs="Arial" w:eastAsia="Arial" w:hAnsi="Arial"/>
                  <w:sz w:val="18"/>
                  <w:szCs w:val="18"/>
                  <w:color w:val="0000EE"/>
                  <w:w w:val="92"/>
                </w:rPr>
                <w:t>Ltd., dated as of April 27, 2015 (incorporated by reference to Exhibit 10.3 of the Registration Statement on Form F-1/A filed with the</w:t>
              </w:r>
            </w:hyperlink>
          </w:p>
        </w:tc>
        <w:tc>
          <w:tcPr>
            <w:tcW w:w="640" w:type="dxa"/>
            <w:vAlign w:val="bottom"/>
            <w:gridSpan w:val="4"/>
          </w:tcPr>
          <w:p>
            <w:pPr>
              <w:spacing w:after="0"/>
              <w:rPr>
                <w:sz w:val="17"/>
                <w:szCs w:val="17"/>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198">
              <w:r>
                <w:rPr>
                  <w:rFonts w:ascii="Arial" w:cs="Arial" w:eastAsia="Arial" w:hAnsi="Arial"/>
                  <w:sz w:val="18"/>
                  <w:szCs w:val="18"/>
                  <w:color w:val="0000EE"/>
                </w:rPr>
                <w:t>Securities and Exchange Commission on September 20, 2017).</w:t>
              </w:r>
            </w:hyperlink>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960" w:type="dxa"/>
            <w:vAlign w:val="bottom"/>
            <w:gridSpan w:val="3"/>
          </w:tcPr>
          <w:p>
            <w:pPr>
              <w:spacing w:after="0"/>
              <w:rPr>
                <w:rFonts w:ascii="Arial" w:cs="Arial" w:eastAsia="Arial" w:hAnsi="Arial"/>
                <w:sz w:val="18"/>
                <w:szCs w:val="18"/>
                <w:color w:val="0000EE"/>
              </w:rPr>
            </w:pPr>
            <w:hyperlink r:id="rId199">
              <w:r>
                <w:rPr>
                  <w:rFonts w:ascii="Arial" w:cs="Arial" w:eastAsia="Arial" w:hAnsi="Arial"/>
                  <w:sz w:val="18"/>
                  <w:szCs w:val="18"/>
                  <w:color w:val="0000EE"/>
                </w:rPr>
                <w:t>4.</w:t>
              </w:r>
              <w:r>
                <w:rPr>
                  <w:rFonts w:ascii="Arial" w:cs="Arial" w:eastAsia="Arial" w:hAnsi="Arial"/>
                  <w:sz w:val="18"/>
                  <w:szCs w:val="18"/>
                  <w:u w:val="single" w:color="auto"/>
                  <w:color w:val="0000EE"/>
                </w:rPr>
                <w:t>2†</w:t>
              </w:r>
            </w:hyperlink>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3"/>
              </w:rPr>
            </w:pPr>
            <w:hyperlink r:id="rId199">
              <w:r>
                <w:rPr>
                  <w:rFonts w:ascii="Arial" w:cs="Arial" w:eastAsia="Arial" w:hAnsi="Arial"/>
                  <w:sz w:val="18"/>
                  <w:szCs w:val="18"/>
                  <w:color w:val="0000EE"/>
                  <w:w w:val="93"/>
                </w:rPr>
                <w:t>Amendment to the Development, Manufacturing and Commercialization Agreement between the Registrant and Perrigo UK Finco Limited</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368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46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w w:val="92"/>
              </w:rPr>
            </w:pPr>
            <w:hyperlink r:id="rId199">
              <w:r>
                <w:rPr>
                  <w:rFonts w:ascii="Arial" w:cs="Arial" w:eastAsia="Arial" w:hAnsi="Arial"/>
                  <w:sz w:val="18"/>
                  <w:szCs w:val="18"/>
                  <w:color w:val="0000EE"/>
                  <w:w w:val="92"/>
                </w:rPr>
                <w:t>Partnership, dated as of October 26, 2015 (incorporated by reference to Exhibit 10.4 of the Registration Statement on Form F-1/A filed with</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4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199">
              <w:r>
                <w:rPr>
                  <w:rFonts w:ascii="Arial" w:cs="Arial" w:eastAsia="Arial" w:hAnsi="Arial"/>
                  <w:sz w:val="18"/>
                  <w:szCs w:val="18"/>
                  <w:color w:val="0000EE"/>
                </w:rPr>
                <w:t>the Securities and Exchange Commission on September 6, 2017).</w:t>
              </w:r>
            </w:hyperlink>
          </w:p>
        </w:tc>
        <w:tc>
          <w:tcPr>
            <w:tcW w:w="240" w:type="dxa"/>
            <w:vAlign w:val="bottom"/>
            <w:gridSpan w:val="3"/>
          </w:tcPr>
          <w:p>
            <w:pPr>
              <w:spacing w:after="0"/>
              <w:rPr>
                <w:sz w:val="17"/>
                <w:szCs w:val="17"/>
                <w:color w:val="auto"/>
              </w:rPr>
            </w:pPr>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0">
              <w:r>
                <w:rPr>
                  <w:rFonts w:ascii="Arial" w:cs="Arial" w:eastAsia="Arial" w:hAnsi="Arial"/>
                  <w:sz w:val="18"/>
                  <w:szCs w:val="18"/>
                  <w:color w:val="0000EE"/>
                  <w:w w:val="87"/>
                </w:rPr>
                <w:t>4.</w:t>
              </w:r>
              <w:r>
                <w:rPr>
                  <w:rFonts w:ascii="Arial" w:cs="Arial" w:eastAsia="Arial" w:hAnsi="Arial"/>
                  <w:sz w:val="18"/>
                  <w:szCs w:val="18"/>
                  <w:u w:val="single" w:color="auto"/>
                  <w:color w:val="0000EE"/>
                  <w:w w:val="87"/>
                </w:rPr>
                <w:t>3</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4"/>
              </w:rPr>
            </w:pPr>
            <w:hyperlink r:id="rId200">
              <w:r>
                <w:rPr>
                  <w:rFonts w:ascii="Arial" w:cs="Arial" w:eastAsia="Arial" w:hAnsi="Arial"/>
                  <w:sz w:val="18"/>
                  <w:szCs w:val="18"/>
                  <w:color w:val="0000EE"/>
                  <w:w w:val="94"/>
                </w:rPr>
                <w:t>Form of Indemnification Agreement (incorporated by reference to Exhibit 10.5 of the Registration Statement on Form F-1/A filed with the</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4600" w:type="dxa"/>
            <w:vAlign w:val="bottom"/>
            <w:gridSpan w:val="4"/>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200">
              <w:r>
                <w:rPr>
                  <w:rFonts w:ascii="Arial" w:cs="Arial" w:eastAsia="Arial" w:hAnsi="Arial"/>
                  <w:sz w:val="18"/>
                  <w:szCs w:val="18"/>
                  <w:color w:val="0000EE"/>
                </w:rPr>
                <w:t>Securities and Exchange Commission on September 20, 2017).</w:t>
              </w:r>
            </w:hyperlink>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386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1">
              <w:r>
                <w:rPr>
                  <w:rFonts w:ascii="Arial" w:cs="Arial" w:eastAsia="Arial" w:hAnsi="Arial"/>
                  <w:sz w:val="18"/>
                  <w:szCs w:val="18"/>
                  <w:color w:val="0000EE"/>
                  <w:w w:val="87"/>
                </w:rPr>
                <w:t>4.</w:t>
              </w:r>
              <w:r>
                <w:rPr>
                  <w:rFonts w:ascii="Arial" w:cs="Arial" w:eastAsia="Arial" w:hAnsi="Arial"/>
                  <w:sz w:val="18"/>
                  <w:szCs w:val="18"/>
                  <w:u w:val="single" w:color="auto"/>
                  <w:color w:val="0000EE"/>
                  <w:w w:val="87"/>
                </w:rPr>
                <w:t>4</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3"/>
              </w:rPr>
            </w:pPr>
            <w:hyperlink r:id="rId201">
              <w:r>
                <w:rPr>
                  <w:rFonts w:ascii="Arial" w:cs="Arial" w:eastAsia="Arial" w:hAnsi="Arial"/>
                  <w:sz w:val="18"/>
                  <w:szCs w:val="18"/>
                  <w:color w:val="0000EE"/>
                  <w:w w:val="93"/>
                </w:rPr>
                <w:t>2014 Share Incentive Plan (incorporated by reference to Exhibit 10.1 of the Registration Statement on Form F-1/A filed with the Securities</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4600" w:type="dxa"/>
            <w:vAlign w:val="bottom"/>
            <w:gridSpan w:val="4"/>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800" w:type="dxa"/>
            <w:vAlign w:val="bottom"/>
            <w:tcBorders>
              <w:bottom w:val="single" w:sz="8" w:color="0000EE"/>
            </w:tcBorders>
            <w:gridSpan w:val="5"/>
          </w:tcPr>
          <w:p>
            <w:pPr>
              <w:spacing w:after="0" w:line="196" w:lineRule="exact"/>
              <w:rPr>
                <w:rFonts w:ascii="Arial" w:cs="Arial" w:eastAsia="Arial" w:hAnsi="Arial"/>
                <w:sz w:val="18"/>
                <w:szCs w:val="18"/>
                <w:color w:val="0000EE"/>
                <w:w w:val="89"/>
              </w:rPr>
            </w:pPr>
            <w:hyperlink r:id="rId201">
              <w:r>
                <w:rPr>
                  <w:rFonts w:ascii="Arial" w:cs="Arial" w:eastAsia="Arial" w:hAnsi="Arial"/>
                  <w:sz w:val="18"/>
                  <w:szCs w:val="18"/>
                  <w:color w:val="0000EE"/>
                  <w:w w:val="89"/>
                </w:rPr>
                <w:t>and Exchange Commission on September 20, 2017).</w:t>
              </w:r>
            </w:hyperlink>
          </w:p>
        </w:tc>
        <w:tc>
          <w:tcPr>
            <w:tcW w:w="6480" w:type="dxa"/>
            <w:vAlign w:val="bottom"/>
            <w:gridSpan w:val="10"/>
          </w:tcPr>
          <w:p>
            <w:pPr>
              <w:spacing w:after="0"/>
              <w:rPr>
                <w:sz w:val="17"/>
                <w:szCs w:val="17"/>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2">
              <w:r>
                <w:rPr>
                  <w:rFonts w:ascii="Arial" w:cs="Arial" w:eastAsia="Arial" w:hAnsi="Arial"/>
                  <w:sz w:val="18"/>
                  <w:szCs w:val="18"/>
                  <w:color w:val="0000EE"/>
                  <w:w w:val="87"/>
                </w:rPr>
                <w:t>4.</w:t>
              </w:r>
              <w:r>
                <w:rPr>
                  <w:rFonts w:ascii="Arial" w:cs="Arial" w:eastAsia="Arial" w:hAnsi="Arial"/>
                  <w:sz w:val="18"/>
                  <w:szCs w:val="18"/>
                  <w:u w:val="single" w:color="auto"/>
                  <w:color w:val="0000EE"/>
                  <w:w w:val="87"/>
                </w:rPr>
                <w:t>5</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4"/>
              </w:rPr>
            </w:pPr>
            <w:hyperlink r:id="rId202">
              <w:r>
                <w:rPr>
                  <w:rFonts w:ascii="Arial" w:cs="Arial" w:eastAsia="Arial" w:hAnsi="Arial"/>
                  <w:sz w:val="18"/>
                  <w:szCs w:val="18"/>
                  <w:color w:val="0000EE"/>
                  <w:w w:val="94"/>
                </w:rPr>
                <w:t>Compensation Policy (incorporated by reference to Exhibit 10.6 of the Registration Statement on Form F-1/A filed with the Securities and</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940" w:type="dxa"/>
            <w:vAlign w:val="bottom"/>
            <w:gridSpan w:val="2"/>
            <w:shd w:val="clear" w:color="auto" w:fill="0000EE"/>
          </w:tcPr>
          <w:p>
            <w:pPr>
              <w:spacing w:after="0" w:line="20" w:lineRule="exact"/>
              <w:rPr>
                <w:sz w:val="1"/>
                <w:szCs w:val="1"/>
                <w:color w:val="auto"/>
              </w:rPr>
            </w:pPr>
          </w:p>
        </w:tc>
        <w:tc>
          <w:tcPr>
            <w:tcW w:w="5120" w:type="dxa"/>
            <w:vAlign w:val="bottom"/>
            <w:gridSpan w:val="5"/>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80" w:type="dxa"/>
            <w:vAlign w:val="bottom"/>
            <w:tcBorders>
              <w:bottom w:val="single" w:sz="8" w:color="0000EE"/>
            </w:tcBorders>
            <w:gridSpan w:val="4"/>
          </w:tcPr>
          <w:p>
            <w:pPr>
              <w:spacing w:after="0" w:line="196" w:lineRule="exact"/>
              <w:rPr>
                <w:rFonts w:ascii="Arial" w:cs="Arial" w:eastAsia="Arial" w:hAnsi="Arial"/>
                <w:sz w:val="18"/>
                <w:szCs w:val="18"/>
                <w:color w:val="0000EE"/>
                <w:w w:val="89"/>
              </w:rPr>
            </w:pPr>
            <w:hyperlink r:id="rId202">
              <w:r>
                <w:rPr>
                  <w:rFonts w:ascii="Arial" w:cs="Arial" w:eastAsia="Arial" w:hAnsi="Arial"/>
                  <w:sz w:val="18"/>
                  <w:szCs w:val="18"/>
                  <w:color w:val="0000EE"/>
                  <w:w w:val="89"/>
                </w:rPr>
                <w:t>Exchange Commission on January 23, 2018).</w:t>
              </w:r>
            </w:hyperlink>
          </w:p>
        </w:tc>
        <w:tc>
          <w:tcPr>
            <w:tcW w:w="7000" w:type="dxa"/>
            <w:vAlign w:val="bottom"/>
            <w:gridSpan w:val="11"/>
          </w:tcPr>
          <w:p>
            <w:pPr>
              <w:spacing w:after="0"/>
              <w:rPr>
                <w:sz w:val="17"/>
                <w:szCs w:val="17"/>
                <w:color w:val="auto"/>
              </w:rPr>
            </w:pPr>
          </w:p>
        </w:tc>
      </w:tr>
      <w:tr>
        <w:trPr>
          <w:trHeight w:val="439"/>
        </w:trPr>
        <w:tc>
          <w:tcPr>
            <w:tcW w:w="240" w:type="dxa"/>
            <w:vAlign w:val="bottom"/>
          </w:tcPr>
          <w:p>
            <w:pPr>
              <w:spacing w:after="0"/>
              <w:rPr>
                <w:rFonts w:ascii="Arial" w:cs="Arial" w:eastAsia="Arial" w:hAnsi="Arial"/>
                <w:sz w:val="18"/>
                <w:szCs w:val="18"/>
                <w:color w:val="0000EE"/>
                <w:w w:val="87"/>
              </w:rPr>
            </w:pPr>
            <w:hyperlink r:id="rId203">
              <w:r>
                <w:rPr>
                  <w:rFonts w:ascii="Arial" w:cs="Arial" w:eastAsia="Arial" w:hAnsi="Arial"/>
                  <w:sz w:val="18"/>
                  <w:szCs w:val="18"/>
                  <w:color w:val="0000EE"/>
                  <w:w w:val="87"/>
                </w:rPr>
                <w:t>4.</w:t>
              </w:r>
              <w:r>
                <w:rPr>
                  <w:rFonts w:ascii="Arial" w:cs="Arial" w:eastAsia="Arial" w:hAnsi="Arial"/>
                  <w:sz w:val="18"/>
                  <w:szCs w:val="18"/>
                  <w:u w:val="single" w:color="auto"/>
                  <w:color w:val="0000EE"/>
                  <w:w w:val="87"/>
                </w:rPr>
                <w:t>6</w:t>
              </w:r>
            </w:hyperlink>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1"/>
              </w:rPr>
            </w:pPr>
            <w:hyperlink r:id="rId203">
              <w:r>
                <w:rPr>
                  <w:rFonts w:ascii="Arial" w:cs="Arial" w:eastAsia="Arial" w:hAnsi="Arial"/>
                  <w:sz w:val="18"/>
                  <w:szCs w:val="18"/>
                  <w:color w:val="0000EE"/>
                  <w:w w:val="91"/>
                </w:rPr>
                <w:t>Registration Rights Agreement (incorporated by reference to Exhibit 99.2 of Form 6-K filed with the Securities and Exchange Commission on</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7060" w:type="dxa"/>
            <w:vAlign w:val="bottom"/>
            <w:gridSpan w:val="7"/>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203">
              <w:r>
                <w:rPr>
                  <w:rFonts w:ascii="Arial" w:cs="Arial" w:eastAsia="Arial" w:hAnsi="Arial"/>
                  <w:sz w:val="18"/>
                  <w:szCs w:val="18"/>
                  <w:color w:val="0000EE"/>
                </w:rPr>
                <w:t>February 6, 2018).</w:t>
              </w:r>
            </w:hyperlink>
          </w:p>
        </w:tc>
      </w:tr>
      <w:tr>
        <w:trPr>
          <w:trHeight w:val="20"/>
        </w:trPr>
        <w:tc>
          <w:tcPr>
            <w:tcW w:w="3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7060" w:type="dxa"/>
            <w:vAlign w:val="bottom"/>
            <w:gridSpan w:val="7"/>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960" w:type="dxa"/>
            <w:vAlign w:val="bottom"/>
            <w:gridSpan w:val="3"/>
          </w:tcPr>
          <w:p>
            <w:pPr>
              <w:spacing w:after="0"/>
              <w:rPr>
                <w:rFonts w:ascii="Arial" w:cs="Arial" w:eastAsia="Arial" w:hAnsi="Arial"/>
                <w:sz w:val="18"/>
                <w:szCs w:val="18"/>
                <w:color w:val="0000EE"/>
              </w:rPr>
            </w:pPr>
            <w:hyperlink r:id="rId204">
              <w:r>
                <w:rPr>
                  <w:rFonts w:ascii="Arial" w:cs="Arial" w:eastAsia="Arial" w:hAnsi="Arial"/>
                  <w:sz w:val="18"/>
                  <w:szCs w:val="18"/>
                  <w:color w:val="0000EE"/>
                </w:rPr>
                <w:t>4.</w:t>
              </w:r>
              <w:r>
                <w:rPr>
                  <w:rFonts w:ascii="Arial" w:cs="Arial" w:eastAsia="Arial" w:hAnsi="Arial"/>
                  <w:sz w:val="18"/>
                  <w:szCs w:val="18"/>
                  <w:u w:val="single" w:color="auto"/>
                  <w:color w:val="0000EE"/>
                </w:rPr>
                <w:t>7∞</w:t>
              </w:r>
            </w:hyperlink>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0"/>
              </w:rPr>
            </w:pPr>
            <w:hyperlink r:id="rId204">
              <w:r>
                <w:rPr>
                  <w:rFonts w:ascii="Arial" w:cs="Arial" w:eastAsia="Arial" w:hAnsi="Arial"/>
                  <w:sz w:val="18"/>
                  <w:szCs w:val="18"/>
                  <w:color w:val="0000EE"/>
                  <w:w w:val="90"/>
                </w:rPr>
                <w:t>Lease Agreement by and between the Registrant and Rachel Zacks, dated as of October 10, 2007 (incorporated by reference to Exhibit 10.7 of</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tcBorders>
              <w:left w:val="single" w:sz="8" w:color="0000EE"/>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r:id="rId204">
              <w:r>
                <w:rPr>
                  <w:rFonts w:ascii="Arial" w:cs="Arial" w:eastAsia="Arial" w:hAnsi="Arial"/>
                  <w:sz w:val="18"/>
                  <w:szCs w:val="18"/>
                  <w:color w:val="0000EE"/>
                  <w:w w:val="91"/>
                </w:rPr>
                <w:t>the Registration Statement on Form F-1/A filed with the Securities and Exchange Commission on August 29, 2017).</w:t>
              </w:r>
            </w:hyperlink>
          </w:p>
        </w:tc>
        <w:tc>
          <w:tcPr>
            <w:tcW w:w="1880" w:type="dxa"/>
            <w:vAlign w:val="bottom"/>
            <w:gridSpan w:val="6"/>
          </w:tcPr>
          <w:p>
            <w:pPr>
              <w:spacing w:after="0"/>
              <w:rPr>
                <w:sz w:val="17"/>
                <w:szCs w:val="17"/>
                <w:color w:val="auto"/>
              </w:rPr>
            </w:pPr>
          </w:p>
        </w:tc>
      </w:tr>
      <w:tr>
        <w:trPr>
          <w:trHeight w:val="412"/>
        </w:trPr>
        <w:tc>
          <w:tcPr>
            <w:tcW w:w="960" w:type="dxa"/>
            <w:vAlign w:val="bottom"/>
            <w:gridSpan w:val="3"/>
          </w:tcPr>
          <w:p>
            <w:pPr>
              <w:spacing w:after="0"/>
              <w:rPr>
                <w:rFonts w:ascii="Arial" w:cs="Arial" w:eastAsia="Arial" w:hAnsi="Arial"/>
                <w:sz w:val="18"/>
                <w:szCs w:val="18"/>
                <w:color w:val="0000EE"/>
              </w:rPr>
            </w:pPr>
            <w:hyperlink r:id="rId205">
              <w:r>
                <w:rPr>
                  <w:rFonts w:ascii="Arial" w:cs="Arial" w:eastAsia="Arial" w:hAnsi="Arial"/>
                  <w:sz w:val="18"/>
                  <w:szCs w:val="18"/>
                  <w:color w:val="0000EE"/>
                </w:rPr>
                <w:t>4.</w:t>
              </w:r>
              <w:r>
                <w:rPr>
                  <w:rFonts w:ascii="Arial" w:cs="Arial" w:eastAsia="Arial" w:hAnsi="Arial"/>
                  <w:sz w:val="18"/>
                  <w:szCs w:val="18"/>
                  <w:u w:val="single" w:color="auto"/>
                  <w:color w:val="0000EE"/>
                </w:rPr>
                <w:t>8∞</w:t>
              </w:r>
            </w:hyperlink>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89"/>
              </w:rPr>
            </w:pPr>
            <w:hyperlink r:id="rId205">
              <w:r>
                <w:rPr>
                  <w:rFonts w:ascii="Arial" w:cs="Arial" w:eastAsia="Arial" w:hAnsi="Arial"/>
                  <w:sz w:val="18"/>
                  <w:szCs w:val="18"/>
                  <w:color w:val="0000EE"/>
                  <w:w w:val="89"/>
                </w:rPr>
                <w:t>Lease Agreement by and between the Registrant and Rachel Zacks, dated as of September 29, 2014 (incorporated by reference to Exhibit 10.8</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tcBorders>
              <w:left w:val="single" w:sz="8" w:color="0000EE"/>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205">
              <w:r>
                <w:rPr>
                  <w:rFonts w:ascii="Arial" w:cs="Arial" w:eastAsia="Arial" w:hAnsi="Arial"/>
                  <w:sz w:val="18"/>
                  <w:szCs w:val="18"/>
                  <w:color w:val="0000EE"/>
                </w:rPr>
                <w:t>of the Registration Statement on Form F-1/A filed with the Securities and Exchange Commission on August 29, 2017).</w:t>
              </w:r>
            </w:hyperlink>
          </w:p>
        </w:tc>
      </w:tr>
      <w:tr>
        <w:trPr>
          <w:trHeight w:val="20"/>
        </w:trPr>
        <w:tc>
          <w:tcPr>
            <w:tcW w:w="96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0" w:type="dxa"/>
            <w:vAlign w:val="bottom"/>
            <w:gridSpan w:val="9"/>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412"/>
        </w:trPr>
        <w:tc>
          <w:tcPr>
            <w:tcW w:w="960" w:type="dxa"/>
            <w:vAlign w:val="bottom"/>
            <w:gridSpan w:val="3"/>
          </w:tcPr>
          <w:p>
            <w:pPr>
              <w:spacing w:after="0"/>
              <w:rPr>
                <w:rFonts w:ascii="Arial" w:cs="Arial" w:eastAsia="Arial" w:hAnsi="Arial"/>
                <w:sz w:val="18"/>
                <w:szCs w:val="18"/>
                <w:color w:val="0000EE"/>
              </w:rPr>
            </w:pPr>
            <w:hyperlink r:id="rId206">
              <w:r>
                <w:rPr>
                  <w:rFonts w:ascii="Arial" w:cs="Arial" w:eastAsia="Arial" w:hAnsi="Arial"/>
                  <w:sz w:val="18"/>
                  <w:szCs w:val="18"/>
                  <w:color w:val="0000EE"/>
                </w:rPr>
                <w:t>4.</w:t>
              </w:r>
              <w:r>
                <w:rPr>
                  <w:rFonts w:ascii="Arial" w:cs="Arial" w:eastAsia="Arial" w:hAnsi="Arial"/>
                  <w:sz w:val="18"/>
                  <w:szCs w:val="18"/>
                  <w:u w:val="single" w:color="auto"/>
                  <w:color w:val="0000EE"/>
                </w:rPr>
                <w:t>9∞</w:t>
              </w:r>
            </w:hyperlink>
          </w:p>
        </w:tc>
        <w:tc>
          <w:tcPr>
            <w:tcW w:w="180" w:type="dxa"/>
            <w:vAlign w:val="bottom"/>
          </w:tcPr>
          <w:p>
            <w:pPr>
              <w:spacing w:after="0"/>
              <w:rPr>
                <w:sz w:val="24"/>
                <w:szCs w:val="24"/>
                <w:color w:val="auto"/>
              </w:rPr>
            </w:pPr>
          </w:p>
        </w:tc>
        <w:tc>
          <w:tcPr>
            <w:tcW w:w="10280" w:type="dxa"/>
            <w:vAlign w:val="bottom"/>
            <w:gridSpan w:val="15"/>
          </w:tcPr>
          <w:p>
            <w:pPr>
              <w:spacing w:after="0"/>
              <w:rPr>
                <w:rFonts w:ascii="Arial" w:cs="Arial" w:eastAsia="Arial" w:hAnsi="Arial"/>
                <w:sz w:val="18"/>
                <w:szCs w:val="18"/>
                <w:color w:val="0000EE"/>
                <w:w w:val="91"/>
              </w:rPr>
            </w:pPr>
            <w:hyperlink r:id="rId206">
              <w:r>
                <w:rPr>
                  <w:rFonts w:ascii="Arial" w:cs="Arial" w:eastAsia="Arial" w:hAnsi="Arial"/>
                  <w:sz w:val="18"/>
                  <w:szCs w:val="18"/>
                  <w:color w:val="0000EE"/>
                  <w:w w:val="91"/>
                </w:rPr>
                <w:t>Lease Agreement by and between the Registrant and Rachel Zacks, dated as of March 30, 2016 (incorporated by reference to Exhibit 10.9 of</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40" w:type="dxa"/>
            <w:vAlign w:val="bottom"/>
            <w:tcBorders>
              <w:left w:val="single" w:sz="8" w:color="0000EE"/>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1740" w:type="dxa"/>
            <w:vAlign w:val="bottom"/>
            <w:gridSpan w:val="4"/>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80" w:type="dxa"/>
            <w:vAlign w:val="bottom"/>
            <w:gridSpan w:val="15"/>
          </w:tcPr>
          <w:p>
            <w:pPr>
              <w:spacing w:after="0" w:line="196" w:lineRule="exact"/>
              <w:rPr>
                <w:rFonts w:ascii="Arial" w:cs="Arial" w:eastAsia="Arial" w:hAnsi="Arial"/>
                <w:sz w:val="18"/>
                <w:szCs w:val="18"/>
                <w:color w:val="0000EE"/>
              </w:rPr>
            </w:pPr>
            <w:hyperlink r:id="rId206">
              <w:r>
                <w:rPr>
                  <w:rFonts w:ascii="Arial" w:cs="Arial" w:eastAsia="Arial" w:hAnsi="Arial"/>
                  <w:sz w:val="18"/>
                  <w:szCs w:val="18"/>
                  <w:color w:val="0000EE"/>
                </w:rPr>
                <w:t>the Registration Statement on Form F-1/A filed with the Securities and Exchange Commission on August 29, 2017).</w:t>
              </w:r>
            </w:hyperlink>
          </w:p>
        </w:tc>
      </w:tr>
      <w:tr>
        <w:trPr>
          <w:trHeight w:val="682"/>
        </w:trPr>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gridSpan w:val="2"/>
          </w:tcPr>
          <w:p>
            <w:pPr>
              <w:spacing w:after="0"/>
              <w:rPr>
                <w:sz w:val="24"/>
                <w:szCs w:val="24"/>
                <w:color w:val="auto"/>
              </w:rPr>
            </w:pPr>
          </w:p>
        </w:tc>
        <w:tc>
          <w:tcPr>
            <w:tcW w:w="4700" w:type="dxa"/>
            <w:vAlign w:val="bottom"/>
            <w:tcBorders>
              <w:top w:val="single" w:sz="8" w:color="0000EE"/>
            </w:tcBorders>
            <w:gridSpan w:val="6"/>
          </w:tcPr>
          <w:p>
            <w:pPr>
              <w:jc w:val="right"/>
              <w:ind w:right="20"/>
              <w:spacing w:after="0"/>
              <w:rPr>
                <w:sz w:val="20"/>
                <w:szCs w:val="20"/>
                <w:color w:val="auto"/>
              </w:rPr>
            </w:pPr>
            <w:r>
              <w:rPr>
                <w:rFonts w:ascii="Arial" w:cs="Arial" w:eastAsia="Arial" w:hAnsi="Arial"/>
                <w:sz w:val="18"/>
                <w:szCs w:val="18"/>
                <w:color w:val="auto"/>
              </w:rPr>
              <w:t>168</w:t>
            </w:r>
          </w:p>
        </w:tc>
        <w:tc>
          <w:tcPr>
            <w:tcW w:w="620" w:type="dxa"/>
            <w:vAlign w:val="bottom"/>
            <w:tcBorders>
              <w:top w:val="single" w:sz="8" w:color="0000EE"/>
            </w:tcBorders>
          </w:tcPr>
          <w:p>
            <w:pPr>
              <w:spacing w:after="0"/>
              <w:rPr>
                <w:sz w:val="24"/>
                <w:szCs w:val="24"/>
                <w:color w:val="auto"/>
              </w:rPr>
            </w:pPr>
          </w:p>
        </w:tc>
        <w:tc>
          <w:tcPr>
            <w:tcW w:w="3060" w:type="dxa"/>
            <w:vAlign w:val="bottom"/>
            <w:tcBorders>
              <w:top w:val="single" w:sz="8" w:color="0000EE"/>
            </w:tcBorders>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61"/>
        </w:trPr>
        <w:tc>
          <w:tcPr>
            <w:tcW w:w="2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121" w:right="239" w:bottom="1440" w:gutter="0" w:footer="0" w:header="0"/>
        </w:sectPr>
      </w:pPr>
    </w:p>
    <w:bookmarkStart w:id="171" w:name="page172"/>
    <w:bookmarkEnd w:id="17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80" w:type="dxa"/>
            <w:vAlign w:val="bottom"/>
            <w:gridSpan w:val="4"/>
          </w:tcPr>
          <w:p>
            <w:pPr>
              <w:spacing w:after="0"/>
              <w:rPr>
                <w:rFonts w:ascii="Arial" w:cs="Arial" w:eastAsia="Arial" w:hAnsi="Arial"/>
                <w:sz w:val="18"/>
                <w:szCs w:val="18"/>
                <w:color w:val="0000EE"/>
              </w:rPr>
            </w:pPr>
            <w:hyperlink r:id="rId207">
              <w:r>
                <w:rPr>
                  <w:rFonts w:ascii="Arial" w:cs="Arial" w:eastAsia="Arial" w:hAnsi="Arial"/>
                  <w:sz w:val="18"/>
                  <w:szCs w:val="18"/>
                  <w:color w:val="0000EE"/>
                </w:rPr>
                <w:t>4.</w:t>
              </w:r>
              <w:r>
                <w:rPr>
                  <w:rFonts w:ascii="Arial" w:cs="Arial" w:eastAsia="Arial" w:hAnsi="Arial"/>
                  <w:sz w:val="18"/>
                  <w:szCs w:val="18"/>
                  <w:u w:val="single" w:color="auto"/>
                  <w:color w:val="0000EE"/>
                </w:rPr>
                <w:t>10∞</w:t>
              </w:r>
            </w:hyperlink>
          </w:p>
        </w:tc>
        <w:tc>
          <w:tcPr>
            <w:tcW w:w="10340" w:type="dxa"/>
            <w:vAlign w:val="bottom"/>
            <w:gridSpan w:val="19"/>
          </w:tcPr>
          <w:p>
            <w:pPr>
              <w:spacing w:after="0"/>
              <w:rPr>
                <w:rFonts w:ascii="Arial" w:cs="Arial" w:eastAsia="Arial" w:hAnsi="Arial"/>
                <w:sz w:val="18"/>
                <w:szCs w:val="18"/>
                <w:color w:val="0000EE"/>
                <w:w w:val="89"/>
              </w:rPr>
            </w:pPr>
            <w:hyperlink r:id="rId207">
              <w:r>
                <w:rPr>
                  <w:rFonts w:ascii="Arial" w:cs="Arial" w:eastAsia="Arial" w:hAnsi="Arial"/>
                  <w:sz w:val="18"/>
                  <w:szCs w:val="18"/>
                  <w:color w:val="0000EE"/>
                  <w:w w:val="89"/>
                </w:rPr>
                <w:t>Lease Agreement by and between the Registrant and Rachel Zacks, dated as of September 20, 2016 (incorporated by reference to Exhibit 10.10</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20" w:type="dxa"/>
            <w:vAlign w:val="bottom"/>
          </w:tcPr>
          <w:p>
            <w:pPr>
              <w:spacing w:after="0"/>
              <w:rPr>
                <w:sz w:val="17"/>
                <w:szCs w:val="17"/>
                <w:color w:val="auto"/>
              </w:rPr>
            </w:pPr>
          </w:p>
        </w:tc>
        <w:tc>
          <w:tcPr>
            <w:tcW w:w="8580" w:type="dxa"/>
            <w:vAlign w:val="bottom"/>
            <w:tcBorders>
              <w:top w:val="single" w:sz="8" w:color="0000EE"/>
              <w:bottom w:val="single" w:sz="8" w:color="0000EE"/>
            </w:tcBorders>
            <w:gridSpan w:val="10"/>
          </w:tcPr>
          <w:p>
            <w:pPr>
              <w:spacing w:after="0" w:line="196" w:lineRule="exact"/>
              <w:rPr>
                <w:rFonts w:ascii="Arial" w:cs="Arial" w:eastAsia="Arial" w:hAnsi="Arial"/>
                <w:sz w:val="18"/>
                <w:szCs w:val="18"/>
                <w:color w:val="0000EE"/>
                <w:w w:val="91"/>
              </w:rPr>
            </w:pPr>
            <w:hyperlink r:id="rId207">
              <w:r>
                <w:rPr>
                  <w:rFonts w:ascii="Arial" w:cs="Arial" w:eastAsia="Arial" w:hAnsi="Arial"/>
                  <w:sz w:val="18"/>
                  <w:szCs w:val="18"/>
                  <w:color w:val="0000EE"/>
                  <w:w w:val="91"/>
                </w:rPr>
                <w:t>of the Registration Statement on Form F-1/A filed with the Securities and Exchange Commission on August 29, 2017).</w:t>
              </w:r>
            </w:hyperlink>
          </w:p>
        </w:tc>
        <w:tc>
          <w:tcPr>
            <w:tcW w:w="1760" w:type="dxa"/>
            <w:vAlign w:val="bottom"/>
            <w:tcBorders>
              <w:top w:val="single" w:sz="8" w:color="0000EE"/>
            </w:tcBorders>
            <w:gridSpan w:val="9"/>
          </w:tcPr>
          <w:p>
            <w:pPr>
              <w:spacing w:after="0"/>
              <w:rPr>
                <w:sz w:val="17"/>
                <w:szCs w:val="17"/>
                <w:color w:val="auto"/>
              </w:rPr>
            </w:pPr>
          </w:p>
        </w:tc>
      </w:tr>
      <w:tr>
        <w:trPr>
          <w:trHeight w:val="412"/>
        </w:trPr>
        <w:tc>
          <w:tcPr>
            <w:tcW w:w="1080" w:type="dxa"/>
            <w:vAlign w:val="bottom"/>
            <w:gridSpan w:val="4"/>
          </w:tcPr>
          <w:p>
            <w:pPr>
              <w:spacing w:after="0"/>
              <w:rPr>
                <w:rFonts w:ascii="Arial" w:cs="Arial" w:eastAsia="Arial" w:hAnsi="Arial"/>
                <w:sz w:val="18"/>
                <w:szCs w:val="18"/>
                <w:color w:val="0000EE"/>
              </w:rPr>
            </w:pPr>
            <w:hyperlink r:id="rId208">
              <w:r>
                <w:rPr>
                  <w:rFonts w:ascii="Arial" w:cs="Arial" w:eastAsia="Arial" w:hAnsi="Arial"/>
                  <w:sz w:val="18"/>
                  <w:szCs w:val="18"/>
                  <w:color w:val="0000EE"/>
                </w:rPr>
                <w:t>4.</w:t>
              </w:r>
              <w:r>
                <w:rPr>
                  <w:rFonts w:ascii="Arial" w:cs="Arial" w:eastAsia="Arial" w:hAnsi="Arial"/>
                  <w:sz w:val="18"/>
                  <w:szCs w:val="18"/>
                  <w:u w:val="single" w:color="auto"/>
                  <w:color w:val="0000EE"/>
                </w:rPr>
                <w:t>11∞</w:t>
              </w:r>
            </w:hyperlink>
          </w:p>
        </w:tc>
        <w:tc>
          <w:tcPr>
            <w:tcW w:w="10340" w:type="dxa"/>
            <w:vAlign w:val="bottom"/>
            <w:gridSpan w:val="19"/>
          </w:tcPr>
          <w:p>
            <w:pPr>
              <w:spacing w:after="0"/>
              <w:rPr>
                <w:rFonts w:ascii="Arial" w:cs="Arial" w:eastAsia="Arial" w:hAnsi="Arial"/>
                <w:sz w:val="18"/>
                <w:szCs w:val="18"/>
                <w:color w:val="0000EE"/>
                <w:w w:val="89"/>
              </w:rPr>
            </w:pPr>
            <w:hyperlink r:id="rId208">
              <w:r>
                <w:rPr>
                  <w:rFonts w:ascii="Arial" w:cs="Arial" w:eastAsia="Arial" w:hAnsi="Arial"/>
                  <w:sz w:val="18"/>
                  <w:szCs w:val="18"/>
                  <w:color w:val="0000EE"/>
                  <w:w w:val="89"/>
                </w:rPr>
                <w:t>Lease Agreement by and between the Registrant and Rachel Zacks, dated as of January 30, 2017 (incorporated by reference to Exhibit 10.11 of</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20" w:type="dxa"/>
            <w:vAlign w:val="bottom"/>
          </w:tcPr>
          <w:p>
            <w:pPr>
              <w:spacing w:after="0"/>
              <w:rPr>
                <w:sz w:val="17"/>
                <w:szCs w:val="17"/>
                <w:color w:val="auto"/>
              </w:rPr>
            </w:pPr>
          </w:p>
        </w:tc>
        <w:tc>
          <w:tcPr>
            <w:tcW w:w="1034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r:id="rId208">
              <w:r>
                <w:rPr>
                  <w:rFonts w:ascii="Arial" w:cs="Arial" w:eastAsia="Arial" w:hAnsi="Arial"/>
                  <w:sz w:val="18"/>
                  <w:szCs w:val="18"/>
                  <w:color w:val="0000EE"/>
                </w:rPr>
                <w:t>the Registration Statement on Form F-1/A filed with the Securities and Exchange Commission on August 29, 2017).</w:t>
              </w:r>
            </w:hyperlink>
          </w:p>
        </w:tc>
      </w:tr>
      <w:tr>
        <w:trPr>
          <w:trHeight w:val="412"/>
        </w:trPr>
        <w:tc>
          <w:tcPr>
            <w:tcW w:w="46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12∞</w:t>
            </w:r>
          </w:p>
        </w:tc>
        <w:tc>
          <w:tcPr>
            <w:tcW w:w="620" w:type="dxa"/>
            <w:vAlign w:val="bottom"/>
          </w:tcPr>
          <w:p>
            <w:pPr>
              <w:spacing w:after="0"/>
              <w:rPr>
                <w:sz w:val="24"/>
                <w:szCs w:val="24"/>
                <w:color w:val="auto"/>
              </w:rPr>
            </w:pPr>
          </w:p>
        </w:tc>
        <w:tc>
          <w:tcPr>
            <w:tcW w:w="7280" w:type="dxa"/>
            <w:vAlign w:val="bottom"/>
            <w:tcBorders>
              <w:top w:val="single" w:sz="8" w:color="0000EE"/>
              <w:bottom w:val="single" w:sz="8" w:color="0000EE"/>
            </w:tcBorders>
            <w:gridSpan w:val="8"/>
          </w:tcPr>
          <w:p>
            <w:pPr>
              <w:spacing w:after="0"/>
              <w:rPr>
                <w:sz w:val="20"/>
                <w:szCs w:val="20"/>
                <w:color w:val="auto"/>
              </w:rPr>
            </w:pPr>
            <w:r>
              <w:rPr>
                <w:rFonts w:ascii="Arial" w:cs="Arial" w:eastAsia="Arial" w:hAnsi="Arial"/>
                <w:sz w:val="18"/>
                <w:szCs w:val="18"/>
                <w:color w:val="0000EE"/>
                <w:w w:val="89"/>
              </w:rPr>
              <w:t>Lease Agreement by and between the Registrant and Rachel Zacks, dated as of September 25, 2017.</w:t>
            </w:r>
          </w:p>
        </w:tc>
        <w:tc>
          <w:tcPr>
            <w:tcW w:w="1100" w:type="dxa"/>
            <w:vAlign w:val="bottom"/>
            <w:tcBorders>
              <w:top w:val="single" w:sz="8" w:color="0000EE"/>
            </w:tcBorders>
          </w:tcPr>
          <w:p>
            <w:pPr>
              <w:spacing w:after="0"/>
              <w:rPr>
                <w:sz w:val="24"/>
                <w:szCs w:val="24"/>
                <w:color w:val="auto"/>
              </w:rPr>
            </w:pPr>
          </w:p>
        </w:tc>
        <w:tc>
          <w:tcPr>
            <w:tcW w:w="1960" w:type="dxa"/>
            <w:vAlign w:val="bottom"/>
            <w:gridSpan w:val="10"/>
          </w:tcPr>
          <w:p>
            <w:pPr>
              <w:spacing w:after="0"/>
              <w:rPr>
                <w:sz w:val="24"/>
                <w:szCs w:val="24"/>
                <w:color w:val="auto"/>
              </w:rPr>
            </w:pPr>
          </w:p>
        </w:tc>
      </w:tr>
      <w:tr>
        <w:trPr>
          <w:trHeight w:val="412"/>
        </w:trPr>
        <w:tc>
          <w:tcPr>
            <w:tcW w:w="46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13∞</w:t>
            </w:r>
          </w:p>
        </w:tc>
        <w:tc>
          <w:tcPr>
            <w:tcW w:w="620" w:type="dxa"/>
            <w:vAlign w:val="bottom"/>
          </w:tcPr>
          <w:p>
            <w:pPr>
              <w:spacing w:after="0"/>
              <w:rPr>
                <w:sz w:val="24"/>
                <w:szCs w:val="24"/>
                <w:color w:val="auto"/>
              </w:rPr>
            </w:pPr>
          </w:p>
        </w:tc>
        <w:tc>
          <w:tcPr>
            <w:tcW w:w="666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88"/>
              </w:rPr>
              <w:t>Lease Agreement by and between the Registrant and Rachel Zacks, dated as of July 3, 2018.</w:t>
            </w:r>
          </w:p>
        </w:tc>
        <w:tc>
          <w:tcPr>
            <w:tcW w:w="3680" w:type="dxa"/>
            <w:vAlign w:val="bottom"/>
            <w:gridSpan w:val="15"/>
          </w:tcPr>
          <w:p>
            <w:pPr>
              <w:spacing w:after="0"/>
              <w:rPr>
                <w:sz w:val="24"/>
                <w:szCs w:val="24"/>
                <w:color w:val="auto"/>
              </w:rPr>
            </w:pPr>
          </w:p>
        </w:tc>
      </w:tr>
      <w:tr>
        <w:trPr>
          <w:trHeight w:val="412"/>
        </w:trPr>
        <w:tc>
          <w:tcPr>
            <w:tcW w:w="460" w:type="dxa"/>
            <w:vAlign w:val="bottom"/>
            <w:gridSpan w:val="3"/>
          </w:tcPr>
          <w:p>
            <w:pPr>
              <w:spacing w:after="0"/>
              <w:rPr>
                <w:sz w:val="20"/>
                <w:szCs w:val="20"/>
                <w:color w:val="auto"/>
              </w:rPr>
            </w:pPr>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14∞</w:t>
            </w:r>
          </w:p>
        </w:tc>
        <w:tc>
          <w:tcPr>
            <w:tcW w:w="620" w:type="dxa"/>
            <w:vAlign w:val="bottom"/>
          </w:tcPr>
          <w:p>
            <w:pPr>
              <w:spacing w:after="0"/>
              <w:rPr>
                <w:sz w:val="24"/>
                <w:szCs w:val="24"/>
                <w:color w:val="auto"/>
              </w:rPr>
            </w:pPr>
          </w:p>
        </w:tc>
        <w:tc>
          <w:tcPr>
            <w:tcW w:w="10340" w:type="dxa"/>
            <w:vAlign w:val="bottom"/>
            <w:gridSpan w:val="19"/>
          </w:tcPr>
          <w:p>
            <w:pPr>
              <w:spacing w:after="0"/>
              <w:rPr>
                <w:sz w:val="20"/>
                <w:szCs w:val="20"/>
                <w:color w:val="auto"/>
              </w:rPr>
            </w:pPr>
            <w:r>
              <w:rPr>
                <w:rFonts w:ascii="Arial" w:cs="Arial" w:eastAsia="Arial" w:hAnsi="Arial"/>
                <w:sz w:val="18"/>
                <w:szCs w:val="18"/>
                <w:color w:val="0000EE"/>
              </w:rPr>
              <w:t>Lease Agreement by and between the Registrant and Rachel Zacks, dated as of August 14, 2018.</w:t>
            </w:r>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2760" w:type="dxa"/>
            <w:vAlign w:val="bottom"/>
            <w:shd w:val="clear" w:color="auto" w:fill="0000EE"/>
          </w:tcPr>
          <w:p>
            <w:pPr>
              <w:spacing w:after="0" w:line="20" w:lineRule="exact"/>
              <w:rPr>
                <w:sz w:val="1"/>
                <w:szCs w:val="1"/>
                <w:color w:val="auto"/>
              </w:rPr>
            </w:pPr>
          </w:p>
        </w:tc>
        <w:tc>
          <w:tcPr>
            <w:tcW w:w="268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39"/>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09">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15</w:t>
              </w:r>
            </w:hyperlink>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120" w:type="dxa"/>
            <w:vAlign w:val="bottom"/>
            <w:tcBorders>
              <w:bottom w:val="single" w:sz="8" w:color="0000EE"/>
            </w:tcBorders>
            <w:gridSpan w:val="15"/>
          </w:tcPr>
          <w:p>
            <w:pPr>
              <w:spacing w:after="0"/>
              <w:rPr>
                <w:rFonts w:ascii="Arial" w:cs="Arial" w:eastAsia="Arial" w:hAnsi="Arial"/>
                <w:sz w:val="18"/>
                <w:szCs w:val="18"/>
                <w:color w:val="0000EE"/>
                <w:w w:val="90"/>
              </w:rPr>
            </w:pPr>
            <w:hyperlink r:id="rId209">
              <w:r>
                <w:rPr>
                  <w:rFonts w:ascii="Arial" w:cs="Arial" w:eastAsia="Arial" w:hAnsi="Arial"/>
                  <w:sz w:val="18"/>
                  <w:szCs w:val="18"/>
                  <w:color w:val="0000EE"/>
                  <w:w w:val="90"/>
                </w:rPr>
                <w:t>Promissory Note by and between the Registrant and Moshe Arkin, dated as of August 2, 2016 (incorporated by reference to Exhibit 10.12 of</w:t>
              </w:r>
            </w:hyperlink>
          </w:p>
        </w:tc>
        <w:tc>
          <w:tcPr>
            <w:tcW w:w="220" w:type="dxa"/>
            <w:vAlign w:val="bottom"/>
            <w:gridSpan w:val="4"/>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340" w:type="dxa"/>
            <w:vAlign w:val="bottom"/>
            <w:gridSpan w:val="19"/>
          </w:tcPr>
          <w:p>
            <w:pPr>
              <w:spacing w:after="0" w:line="196" w:lineRule="exact"/>
              <w:rPr>
                <w:rFonts w:ascii="Arial" w:cs="Arial" w:eastAsia="Arial" w:hAnsi="Arial"/>
                <w:sz w:val="18"/>
                <w:szCs w:val="18"/>
                <w:color w:val="0000EE"/>
              </w:rPr>
            </w:pPr>
            <w:hyperlink r:id="rId209">
              <w:r>
                <w:rPr>
                  <w:rFonts w:ascii="Arial" w:cs="Arial" w:eastAsia="Arial" w:hAnsi="Arial"/>
                  <w:sz w:val="18"/>
                  <w:szCs w:val="18"/>
                  <w:color w:val="0000EE"/>
                </w:rPr>
                <w:t>the Registration Statement on Form F-1/A filed with the Securities and Exchange Commission on August 29, 2017).</w:t>
              </w:r>
            </w:hyperlink>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2760" w:type="dxa"/>
            <w:vAlign w:val="bottom"/>
            <w:shd w:val="clear" w:color="auto" w:fill="0000EE"/>
          </w:tcPr>
          <w:p>
            <w:pPr>
              <w:spacing w:after="0" w:line="20" w:lineRule="exact"/>
              <w:rPr>
                <w:sz w:val="1"/>
                <w:szCs w:val="1"/>
                <w:color w:val="auto"/>
              </w:rPr>
            </w:pPr>
          </w:p>
        </w:tc>
        <w:tc>
          <w:tcPr>
            <w:tcW w:w="2880" w:type="dxa"/>
            <w:vAlign w:val="bottom"/>
            <w:gridSpan w:val="3"/>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120" w:type="dxa"/>
            <w:vAlign w:val="bottom"/>
            <w:gridSpan w:val="2"/>
            <w:shd w:val="clear" w:color="auto" w:fill="0000EE"/>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10">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16</w:t>
              </w:r>
            </w:hyperlink>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960" w:type="dxa"/>
            <w:vAlign w:val="bottom"/>
            <w:tcBorders>
              <w:bottom w:val="single" w:sz="8" w:color="0000EE"/>
            </w:tcBorders>
            <w:gridSpan w:val="13"/>
          </w:tcPr>
          <w:p>
            <w:pPr>
              <w:spacing w:after="0"/>
              <w:rPr>
                <w:rFonts w:ascii="Arial" w:cs="Arial" w:eastAsia="Arial" w:hAnsi="Arial"/>
                <w:sz w:val="18"/>
                <w:szCs w:val="18"/>
                <w:color w:val="0000EE"/>
                <w:w w:val="89"/>
              </w:rPr>
            </w:pPr>
            <w:hyperlink r:id="rId210">
              <w:r>
                <w:rPr>
                  <w:rFonts w:ascii="Arial" w:cs="Arial" w:eastAsia="Arial" w:hAnsi="Arial"/>
                  <w:sz w:val="18"/>
                  <w:szCs w:val="18"/>
                  <w:color w:val="0000EE"/>
                  <w:w w:val="89"/>
                </w:rPr>
                <w:t>Schedule A, as amended, of Promissory Note by and between the Registrant and Moshe Arkin, dated as of June 28, 2017 (incorporated by</w:t>
              </w:r>
            </w:hyperlink>
          </w:p>
        </w:tc>
        <w:tc>
          <w:tcPr>
            <w:tcW w:w="380" w:type="dxa"/>
            <w:vAlign w:val="bottom"/>
            <w:gridSpan w:val="6"/>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340" w:type="dxa"/>
            <w:vAlign w:val="bottom"/>
            <w:gridSpan w:val="19"/>
          </w:tcPr>
          <w:p>
            <w:pPr>
              <w:spacing w:after="0" w:line="196" w:lineRule="exact"/>
              <w:rPr>
                <w:rFonts w:ascii="Arial" w:cs="Arial" w:eastAsia="Arial" w:hAnsi="Arial"/>
                <w:sz w:val="18"/>
                <w:szCs w:val="18"/>
                <w:color w:val="0000EE"/>
                <w:w w:val="94"/>
              </w:rPr>
            </w:pPr>
            <w:hyperlink r:id="rId210">
              <w:r>
                <w:rPr>
                  <w:rFonts w:ascii="Arial" w:cs="Arial" w:eastAsia="Arial" w:hAnsi="Arial"/>
                  <w:sz w:val="18"/>
                  <w:szCs w:val="18"/>
                  <w:color w:val="0000EE"/>
                  <w:w w:val="94"/>
                </w:rPr>
                <w:t>reference to Exhibit 10.13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210">
              <w:r>
                <w:rPr>
                  <w:rFonts w:ascii="Arial" w:cs="Arial" w:eastAsia="Arial" w:hAnsi="Arial"/>
                  <w:sz w:val="18"/>
                  <w:szCs w:val="18"/>
                  <w:color w:val="0000EE"/>
                  <w:w w:val="86"/>
                </w:rPr>
                <w:t>2017).</w:t>
              </w:r>
            </w:hyperlink>
          </w:p>
        </w:tc>
        <w:tc>
          <w:tcPr>
            <w:tcW w:w="1100" w:type="dxa"/>
            <w:vAlign w:val="bottom"/>
            <w:tcBorders>
              <w:top w:val="single" w:sz="8" w:color="0000EE"/>
            </w:tcBorders>
          </w:tcPr>
          <w:p>
            <w:pPr>
              <w:spacing w:after="0"/>
              <w:rPr>
                <w:sz w:val="17"/>
                <w:szCs w:val="17"/>
                <w:color w:val="auto"/>
              </w:rPr>
            </w:pPr>
          </w:p>
        </w:tc>
        <w:tc>
          <w:tcPr>
            <w:tcW w:w="2760" w:type="dxa"/>
            <w:vAlign w:val="bottom"/>
            <w:tcBorders>
              <w:top w:val="single" w:sz="8" w:color="0000EE"/>
            </w:tcBorders>
          </w:tcPr>
          <w:p>
            <w:pPr>
              <w:spacing w:after="0"/>
              <w:rPr>
                <w:sz w:val="17"/>
                <w:szCs w:val="17"/>
                <w:color w:val="auto"/>
              </w:rPr>
            </w:pPr>
          </w:p>
        </w:tc>
        <w:tc>
          <w:tcPr>
            <w:tcW w:w="2340" w:type="dxa"/>
            <w:vAlign w:val="bottom"/>
            <w:tcBorders>
              <w:top w:val="single" w:sz="8" w:color="0000EE"/>
            </w:tcBorders>
          </w:tcPr>
          <w:p>
            <w:pPr>
              <w:spacing w:after="0"/>
              <w:rPr>
                <w:sz w:val="17"/>
                <w:szCs w:val="17"/>
                <w:color w:val="auto"/>
              </w:rPr>
            </w:pPr>
          </w:p>
        </w:tc>
        <w:tc>
          <w:tcPr>
            <w:tcW w:w="340" w:type="dxa"/>
            <w:vAlign w:val="bottom"/>
            <w:tcBorders>
              <w:top w:val="single" w:sz="8" w:color="0000EE"/>
            </w:tcBorders>
          </w:tcPr>
          <w:p>
            <w:pPr>
              <w:spacing w:after="0"/>
              <w:rPr>
                <w:sz w:val="17"/>
                <w:szCs w:val="17"/>
                <w:color w:val="auto"/>
              </w:rPr>
            </w:pPr>
          </w:p>
        </w:tc>
        <w:tc>
          <w:tcPr>
            <w:tcW w:w="2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100" w:type="dxa"/>
            <w:vAlign w:val="bottom"/>
            <w:tcBorders>
              <w:top w:val="single" w:sz="8" w:color="0000EE"/>
            </w:tcBorders>
          </w:tcPr>
          <w:p>
            <w:pPr>
              <w:spacing w:after="0"/>
              <w:rPr>
                <w:sz w:val="17"/>
                <w:szCs w:val="17"/>
                <w:color w:val="auto"/>
              </w:rPr>
            </w:pPr>
          </w:p>
        </w:tc>
        <w:tc>
          <w:tcPr>
            <w:tcW w:w="200" w:type="dxa"/>
            <w:vAlign w:val="bottom"/>
            <w:tcBorders>
              <w:top w:val="single" w:sz="8" w:color="0000EE"/>
            </w:tcBorders>
          </w:tcPr>
          <w:p>
            <w:pPr>
              <w:spacing w:after="0"/>
              <w:rPr>
                <w:sz w:val="17"/>
                <w:szCs w:val="17"/>
                <w:color w:val="auto"/>
              </w:rPr>
            </w:pPr>
          </w:p>
        </w:tc>
        <w:tc>
          <w:tcPr>
            <w:tcW w:w="70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11">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17</w:t>
              </w:r>
            </w:hyperlink>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340" w:type="dxa"/>
            <w:vAlign w:val="bottom"/>
            <w:tcBorders>
              <w:bottom w:val="single" w:sz="8" w:color="0000EE"/>
            </w:tcBorders>
            <w:gridSpan w:val="19"/>
          </w:tcPr>
          <w:p>
            <w:pPr>
              <w:spacing w:after="0"/>
              <w:rPr>
                <w:rFonts w:ascii="Arial" w:cs="Arial" w:eastAsia="Arial" w:hAnsi="Arial"/>
                <w:sz w:val="18"/>
                <w:szCs w:val="18"/>
                <w:color w:val="0000EE"/>
                <w:w w:val="92"/>
              </w:rPr>
            </w:pPr>
            <w:hyperlink r:id="rId211">
              <w:r>
                <w:rPr>
                  <w:rFonts w:ascii="Arial" w:cs="Arial" w:eastAsia="Arial" w:hAnsi="Arial"/>
                  <w:sz w:val="18"/>
                  <w:szCs w:val="18"/>
                  <w:color w:val="0000EE"/>
                  <w:w w:val="92"/>
                </w:rPr>
                <w:t>Instrument of Conversion of Promissory Note by and between the Registrant and Moshe Arkin, dated as of August 22, 2017 (incorporated by</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340" w:type="dxa"/>
            <w:vAlign w:val="bottom"/>
            <w:tcBorders>
              <w:bottom w:val="single" w:sz="8" w:color="0000EE"/>
            </w:tcBorders>
            <w:gridSpan w:val="19"/>
          </w:tcPr>
          <w:p>
            <w:pPr>
              <w:spacing w:after="0" w:line="196" w:lineRule="exact"/>
              <w:rPr>
                <w:rFonts w:ascii="Arial" w:cs="Arial" w:eastAsia="Arial" w:hAnsi="Arial"/>
                <w:sz w:val="18"/>
                <w:szCs w:val="18"/>
                <w:color w:val="0000EE"/>
                <w:w w:val="94"/>
              </w:rPr>
            </w:pPr>
            <w:hyperlink r:id="rId211">
              <w:r>
                <w:rPr>
                  <w:rFonts w:ascii="Arial" w:cs="Arial" w:eastAsia="Arial" w:hAnsi="Arial"/>
                  <w:sz w:val="18"/>
                  <w:szCs w:val="18"/>
                  <w:color w:val="0000EE"/>
                  <w:w w:val="94"/>
                </w:rPr>
                <w:t>reference to Exhibit 10.14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60" w:type="dxa"/>
            <w:vAlign w:val="bottom"/>
            <w:tcBorders>
              <w:bottom w:val="single" w:sz="8" w:color="0000EE"/>
            </w:tcBorders>
          </w:tcPr>
          <w:p>
            <w:pPr>
              <w:spacing w:after="0" w:line="196" w:lineRule="exact"/>
              <w:rPr>
                <w:rFonts w:ascii="Arial" w:cs="Arial" w:eastAsia="Arial" w:hAnsi="Arial"/>
                <w:sz w:val="18"/>
                <w:szCs w:val="18"/>
                <w:color w:val="0000EE"/>
                <w:w w:val="86"/>
              </w:rPr>
            </w:pPr>
            <w:hyperlink r:id="rId211">
              <w:r>
                <w:rPr>
                  <w:rFonts w:ascii="Arial" w:cs="Arial" w:eastAsia="Arial" w:hAnsi="Arial"/>
                  <w:sz w:val="18"/>
                  <w:szCs w:val="18"/>
                  <w:color w:val="0000EE"/>
                  <w:w w:val="86"/>
                </w:rPr>
                <w:t>2017).</w:t>
              </w:r>
            </w:hyperlink>
          </w:p>
        </w:tc>
        <w:tc>
          <w:tcPr>
            <w:tcW w:w="110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12">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18</w:t>
              </w:r>
            </w:hyperlink>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260" w:type="dxa"/>
            <w:vAlign w:val="bottom"/>
            <w:tcBorders>
              <w:bottom w:val="single" w:sz="8" w:color="0000EE"/>
            </w:tcBorders>
            <w:gridSpan w:val="18"/>
          </w:tcPr>
          <w:p>
            <w:pPr>
              <w:spacing w:after="0"/>
              <w:rPr>
                <w:rFonts w:ascii="Arial" w:cs="Arial" w:eastAsia="Arial" w:hAnsi="Arial"/>
                <w:sz w:val="18"/>
                <w:szCs w:val="18"/>
                <w:color w:val="0000EE"/>
                <w:w w:val="90"/>
              </w:rPr>
            </w:pPr>
            <w:hyperlink r:id="rId212">
              <w:r>
                <w:rPr>
                  <w:rFonts w:ascii="Arial" w:cs="Arial" w:eastAsia="Arial" w:hAnsi="Arial"/>
                  <w:sz w:val="18"/>
                  <w:szCs w:val="18"/>
                  <w:color w:val="0000EE"/>
                  <w:w w:val="90"/>
                </w:rPr>
                <w:t>Assignment Agreement between the Registrant and Medicis Pharmaceutical Corporation, dated August 16, 2013 (incorporated by reference to</w:t>
              </w:r>
            </w:hyperlink>
          </w:p>
        </w:tc>
        <w:tc>
          <w:tcPr>
            <w:tcW w:w="80" w:type="dxa"/>
            <w:vAlign w:val="bottom"/>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340" w:type="dxa"/>
            <w:vAlign w:val="bottom"/>
            <w:gridSpan w:val="19"/>
          </w:tcPr>
          <w:p>
            <w:pPr>
              <w:spacing w:after="0" w:line="196" w:lineRule="exact"/>
              <w:rPr>
                <w:rFonts w:ascii="Arial" w:cs="Arial" w:eastAsia="Arial" w:hAnsi="Arial"/>
                <w:sz w:val="18"/>
                <w:szCs w:val="18"/>
                <w:color w:val="0000EE"/>
                <w:w w:val="98"/>
              </w:rPr>
            </w:pPr>
            <w:hyperlink r:id="rId212">
              <w:r>
                <w:rPr>
                  <w:rFonts w:ascii="Arial" w:cs="Arial" w:eastAsia="Arial" w:hAnsi="Arial"/>
                  <w:sz w:val="18"/>
                  <w:szCs w:val="18"/>
                  <w:color w:val="0000EE"/>
                  <w:w w:val="98"/>
                </w:rPr>
                <w:t>Exhibit 10.15 of the Registration Statement on Form F-1/A filed with the Securities and Exchange Commission on August 29, 2017).</w:t>
              </w:r>
            </w:hyperlink>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560" w:type="dxa"/>
            <w:vAlign w:val="bottom"/>
            <w:gridSpan w:val="2"/>
            <w:shd w:val="clear" w:color="auto" w:fill="0000EE"/>
          </w:tcPr>
          <w:p>
            <w:pPr>
              <w:spacing w:after="0" w:line="20" w:lineRule="exact"/>
              <w:rPr>
                <w:sz w:val="1"/>
                <w:szCs w:val="1"/>
                <w:color w:val="auto"/>
              </w:rPr>
            </w:pPr>
          </w:p>
        </w:tc>
        <w:tc>
          <w:tcPr>
            <w:tcW w:w="2760" w:type="dxa"/>
            <w:vAlign w:val="bottom"/>
            <w:shd w:val="clear" w:color="auto" w:fill="0000EE"/>
          </w:tcPr>
          <w:p>
            <w:pPr>
              <w:spacing w:after="0" w:line="20" w:lineRule="exact"/>
              <w:rPr>
                <w:sz w:val="1"/>
                <w:szCs w:val="1"/>
                <w:color w:val="auto"/>
              </w:rPr>
            </w:pPr>
          </w:p>
        </w:tc>
        <w:tc>
          <w:tcPr>
            <w:tcW w:w="2880" w:type="dxa"/>
            <w:vAlign w:val="bottom"/>
            <w:gridSpan w:val="3"/>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8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412"/>
        </w:trPr>
        <w:tc>
          <w:tcPr>
            <w:tcW w:w="460" w:type="dxa"/>
            <w:vAlign w:val="bottom"/>
            <w:tcBorders>
              <w:bottom w:val="single" w:sz="8" w:color="0000EE"/>
            </w:tcBorders>
            <w:gridSpan w:val="3"/>
          </w:tcPr>
          <w:p>
            <w:pPr>
              <w:spacing w:after="0"/>
              <w:rPr>
                <w:rFonts w:ascii="Arial" w:cs="Arial" w:eastAsia="Arial" w:hAnsi="Arial"/>
                <w:sz w:val="18"/>
                <w:szCs w:val="18"/>
                <w:color w:val="0000EE"/>
                <w:w w:val="87"/>
              </w:rPr>
            </w:pPr>
            <w:hyperlink r:id="rId213">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19∞</w:t>
              </w:r>
            </w:hyperlink>
          </w:p>
        </w:tc>
        <w:tc>
          <w:tcPr>
            <w:tcW w:w="620" w:type="dxa"/>
            <w:vAlign w:val="bottom"/>
          </w:tcPr>
          <w:p>
            <w:pPr>
              <w:spacing w:after="0"/>
              <w:rPr>
                <w:sz w:val="24"/>
                <w:szCs w:val="24"/>
                <w:color w:val="auto"/>
              </w:rPr>
            </w:pPr>
          </w:p>
        </w:tc>
        <w:tc>
          <w:tcPr>
            <w:tcW w:w="10200" w:type="dxa"/>
            <w:vAlign w:val="bottom"/>
            <w:tcBorders>
              <w:bottom w:val="single" w:sz="8" w:color="0000EE"/>
            </w:tcBorders>
            <w:gridSpan w:val="17"/>
          </w:tcPr>
          <w:p>
            <w:pPr>
              <w:spacing w:after="0"/>
              <w:rPr>
                <w:rFonts w:ascii="Arial" w:cs="Arial" w:eastAsia="Arial" w:hAnsi="Arial"/>
                <w:sz w:val="18"/>
                <w:szCs w:val="18"/>
                <w:color w:val="0000EE"/>
                <w:w w:val="91"/>
              </w:rPr>
            </w:pPr>
            <w:hyperlink r:id="rId213">
              <w:r>
                <w:rPr>
                  <w:rFonts w:ascii="Arial" w:cs="Arial" w:eastAsia="Arial" w:hAnsi="Arial"/>
                  <w:sz w:val="18"/>
                  <w:szCs w:val="18"/>
                  <w:color w:val="0000EE"/>
                  <w:w w:val="91"/>
                </w:rPr>
                <w:t>Asset Transfer Agreement and Assignment Deed between Sol-Gel Technologies Ltd. and M. Arkin Dermatology Ltd., dated August 22, 2017</w:t>
              </w:r>
            </w:hyperlink>
          </w:p>
        </w:tc>
        <w:tc>
          <w:tcPr>
            <w:tcW w:w="140" w:type="dxa"/>
            <w:vAlign w:val="bottom"/>
            <w:gridSpan w:val="2"/>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18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r:id="rId213">
              <w:r>
                <w:rPr>
                  <w:rFonts w:ascii="Arial" w:cs="Arial" w:eastAsia="Arial" w:hAnsi="Arial"/>
                  <w:sz w:val="18"/>
                  <w:szCs w:val="18"/>
                  <w:color w:val="0000EE"/>
                  <w:w w:val="91"/>
                </w:rPr>
                <w:t>(incorporated by reference to Exhibit 10.16 of the Registration Statement on Form F-1/A filed with the Securities and Exchange Commission</w:t>
              </w:r>
            </w:hyperlink>
          </w:p>
        </w:tc>
        <w:tc>
          <w:tcPr>
            <w:tcW w:w="160" w:type="dxa"/>
            <w:vAlign w:val="bottom"/>
            <w:gridSpan w:val="3"/>
          </w:tcPr>
          <w:p>
            <w:pPr>
              <w:spacing w:after="0"/>
              <w:rPr>
                <w:sz w:val="17"/>
                <w:szCs w:val="17"/>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560" w:type="dxa"/>
            <w:vAlign w:val="bottom"/>
            <w:tcBorders>
              <w:bottom w:val="single" w:sz="8" w:color="0000EE"/>
            </w:tcBorders>
            <w:gridSpan w:val="2"/>
          </w:tcPr>
          <w:p>
            <w:pPr>
              <w:spacing w:after="0" w:line="196" w:lineRule="exact"/>
              <w:rPr>
                <w:rFonts w:ascii="Arial" w:cs="Arial" w:eastAsia="Arial" w:hAnsi="Arial"/>
                <w:sz w:val="18"/>
                <w:szCs w:val="18"/>
                <w:color w:val="0000EE"/>
                <w:w w:val="87"/>
              </w:rPr>
            </w:pPr>
            <w:hyperlink r:id="rId213">
              <w:r>
                <w:rPr>
                  <w:rFonts w:ascii="Arial" w:cs="Arial" w:eastAsia="Arial" w:hAnsi="Arial"/>
                  <w:sz w:val="18"/>
                  <w:szCs w:val="18"/>
                  <w:color w:val="0000EE"/>
                  <w:w w:val="87"/>
                </w:rPr>
                <w:t>on January 30, 2017).</w:t>
              </w:r>
            </w:hyperlink>
          </w:p>
        </w:tc>
        <w:tc>
          <w:tcPr>
            <w:tcW w:w="8780" w:type="dxa"/>
            <w:vAlign w:val="bottom"/>
            <w:gridSpan w:val="17"/>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sz w:val="20"/>
                <w:szCs w:val="20"/>
                <w:color w:val="auto"/>
              </w:rPr>
            </w:pPr>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1</w:t>
            </w: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26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1"/>
              </w:rPr>
              <w:t>Certification by Chief Executive Officer pursuant to Section 302 of the Sarbanes-Oxley Act of 2002.</w:t>
            </w:r>
          </w:p>
        </w:tc>
        <w:tc>
          <w:tcPr>
            <w:tcW w:w="3080" w:type="dxa"/>
            <w:vAlign w:val="bottom"/>
            <w:gridSpan w:val="12"/>
          </w:tcPr>
          <w:p>
            <w:pPr>
              <w:spacing w:after="0"/>
              <w:rPr>
                <w:sz w:val="24"/>
                <w:szCs w:val="24"/>
                <w:color w:val="auto"/>
              </w:rPr>
            </w:pPr>
          </w:p>
        </w:tc>
      </w:tr>
      <w:tr>
        <w:trPr>
          <w:trHeight w:val="412"/>
        </w:trPr>
        <w:tc>
          <w:tcPr>
            <w:tcW w:w="320" w:type="dxa"/>
            <w:vAlign w:val="bottom"/>
            <w:gridSpan w:val="2"/>
          </w:tcPr>
          <w:p>
            <w:pPr>
              <w:spacing w:after="0"/>
              <w:rPr>
                <w:sz w:val="20"/>
                <w:szCs w:val="20"/>
                <w:color w:val="auto"/>
              </w:rPr>
            </w:pPr>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2</w:t>
            </w: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340" w:type="dxa"/>
            <w:vAlign w:val="bottom"/>
            <w:gridSpan w:val="19"/>
          </w:tcPr>
          <w:p>
            <w:pPr>
              <w:spacing w:after="0"/>
              <w:rPr>
                <w:sz w:val="20"/>
                <w:szCs w:val="20"/>
                <w:color w:val="auto"/>
              </w:rPr>
            </w:pPr>
            <w:r>
              <w:rPr>
                <w:rFonts w:ascii="Arial" w:cs="Arial" w:eastAsia="Arial" w:hAnsi="Arial"/>
                <w:sz w:val="18"/>
                <w:szCs w:val="18"/>
                <w:color w:val="0000EE"/>
              </w:rPr>
              <w:t>Certification by Chief Financial Officer pursuant to Section 302 of the Sarbanes-Oxley Act of 2002.</w:t>
            </w:r>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gridSpan w:val="3"/>
            <w:shd w:val="clear" w:color="auto" w:fill="0000EE"/>
          </w:tcPr>
          <w:p>
            <w:pPr>
              <w:spacing w:after="0" w:line="20" w:lineRule="exact"/>
              <w:rPr>
                <w:sz w:val="1"/>
                <w:szCs w:val="1"/>
                <w:color w:val="auto"/>
              </w:rPr>
            </w:pPr>
          </w:p>
        </w:tc>
        <w:tc>
          <w:tcPr>
            <w:tcW w:w="2880" w:type="dxa"/>
            <w:vAlign w:val="bottom"/>
            <w:gridSpan w:val="3"/>
            <w:shd w:val="clear" w:color="auto" w:fill="0000EE"/>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1060" w:type="dxa"/>
            <w:vAlign w:val="bottom"/>
            <w:gridSpan w:val="8"/>
          </w:tcPr>
          <w:p>
            <w:pPr>
              <w:spacing w:after="0" w:line="20" w:lineRule="exact"/>
              <w:rPr>
                <w:sz w:val="1"/>
                <w:szCs w:val="1"/>
                <w:color w:val="auto"/>
              </w:rPr>
            </w:pPr>
          </w:p>
        </w:tc>
      </w:tr>
      <w:tr>
        <w:trPr>
          <w:trHeight w:val="412"/>
        </w:trPr>
        <w:tc>
          <w:tcPr>
            <w:tcW w:w="180" w:type="dxa"/>
            <w:vAlign w:val="bottom"/>
          </w:tcPr>
          <w:p>
            <w:pPr>
              <w:spacing w:after="0"/>
              <w:rPr>
                <w:sz w:val="20"/>
                <w:szCs w:val="20"/>
                <w:color w:val="auto"/>
              </w:rPr>
            </w:pPr>
            <w:r>
              <w:rPr>
                <w:rFonts w:ascii="Arial" w:cs="Arial" w:eastAsia="Arial" w:hAnsi="Arial"/>
                <w:sz w:val="18"/>
                <w:szCs w:val="18"/>
                <w:color w:val="0000EE"/>
                <w:w w:val="79"/>
              </w:rPr>
              <w:t>13</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340" w:type="dxa"/>
            <w:vAlign w:val="bottom"/>
            <w:gridSpan w:val="19"/>
          </w:tcPr>
          <w:p>
            <w:pPr>
              <w:spacing w:after="0"/>
              <w:rPr>
                <w:sz w:val="20"/>
                <w:szCs w:val="20"/>
                <w:color w:val="auto"/>
              </w:rPr>
            </w:pPr>
            <w:r>
              <w:rPr>
                <w:rFonts w:ascii="Arial" w:cs="Arial" w:eastAsia="Arial" w:hAnsi="Arial"/>
                <w:sz w:val="18"/>
                <w:szCs w:val="18"/>
                <w:color w:val="0000EE"/>
              </w:rPr>
              <w:t>Certification by Chief Executive Officer and Chief Financial Officer pursuant to Section 906 of the Sarbanes-Oxley Act of 2002.</w:t>
            </w:r>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320" w:type="dxa"/>
            <w:vAlign w:val="bottom"/>
            <w:gridSpan w:val="3"/>
            <w:shd w:val="clear" w:color="auto" w:fill="0000EE"/>
          </w:tcPr>
          <w:p>
            <w:pPr>
              <w:spacing w:after="0" w:line="20" w:lineRule="exact"/>
              <w:rPr>
                <w:sz w:val="1"/>
                <w:szCs w:val="1"/>
                <w:color w:val="auto"/>
              </w:rPr>
            </w:pPr>
          </w:p>
        </w:tc>
        <w:tc>
          <w:tcPr>
            <w:tcW w:w="4960" w:type="dxa"/>
            <w:vAlign w:val="bottom"/>
            <w:gridSpan w:val="8"/>
            <w:shd w:val="clear" w:color="auto" w:fill="0000EE"/>
          </w:tcPr>
          <w:p>
            <w:pPr>
              <w:spacing w:after="0" w:line="20" w:lineRule="exact"/>
              <w:rPr>
                <w:sz w:val="1"/>
                <w:szCs w:val="1"/>
                <w:color w:val="auto"/>
              </w:rPr>
            </w:pPr>
          </w:p>
        </w:tc>
        <w:tc>
          <w:tcPr>
            <w:tcW w:w="1060" w:type="dxa"/>
            <w:vAlign w:val="bottom"/>
            <w:gridSpan w:val="8"/>
          </w:tcPr>
          <w:p>
            <w:pPr>
              <w:spacing w:after="0" w:line="20" w:lineRule="exact"/>
              <w:rPr>
                <w:sz w:val="1"/>
                <w:szCs w:val="1"/>
                <w:color w:val="auto"/>
              </w:rPr>
            </w:pPr>
          </w:p>
        </w:tc>
      </w:tr>
      <w:tr>
        <w:trPr>
          <w:trHeight w:val="520"/>
        </w:trPr>
        <w:tc>
          <w:tcPr>
            <w:tcW w:w="320" w:type="dxa"/>
            <w:vAlign w:val="bottom"/>
            <w:tcBorders>
              <w:bottom w:val="single" w:sz="8" w:color="0000EE"/>
            </w:tcBorders>
            <w:gridSpan w:val="2"/>
          </w:tcPr>
          <w:p>
            <w:pPr>
              <w:spacing w:after="0"/>
              <w:rPr>
                <w:sz w:val="20"/>
                <w:szCs w:val="20"/>
                <w:color w:val="auto"/>
              </w:rPr>
            </w:pPr>
            <w:r>
              <w:rPr>
                <w:rFonts w:ascii="Arial" w:cs="Arial" w:eastAsia="Arial" w:hAnsi="Arial"/>
                <w:sz w:val="18"/>
                <w:szCs w:val="18"/>
                <w:color w:val="0000EE"/>
                <w:w w:val="85"/>
              </w:rPr>
              <w:t>15.</w:t>
            </w:r>
            <w:r>
              <w:rPr>
                <w:rFonts w:ascii="Arial" w:cs="Arial" w:eastAsia="Arial" w:hAnsi="Arial"/>
                <w:sz w:val="18"/>
                <w:szCs w:val="18"/>
                <w:u w:val="single" w:color="auto"/>
                <w:color w:val="0000EE"/>
                <w:w w:val="85"/>
              </w:rPr>
              <w:t>1</w:t>
            </w: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32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90"/>
              </w:rPr>
              <w:t>Consent of Independent Registered Public Accounting Firm</w:t>
            </w:r>
          </w:p>
        </w:tc>
        <w:tc>
          <w:tcPr>
            <w:tcW w:w="6020" w:type="dxa"/>
            <w:vAlign w:val="bottom"/>
            <w:gridSpan w:val="16"/>
          </w:tcPr>
          <w:p>
            <w:pPr>
              <w:spacing w:after="0"/>
              <w:rPr>
                <w:sz w:val="24"/>
                <w:szCs w:val="24"/>
                <w:color w:val="auto"/>
              </w:rPr>
            </w:pPr>
          </w:p>
        </w:tc>
      </w:tr>
      <w:tr>
        <w:trPr>
          <w:trHeight w:val="453"/>
        </w:trPr>
        <w:tc>
          <w:tcPr>
            <w:tcW w:w="320" w:type="dxa"/>
            <w:vAlign w:val="bottom"/>
            <w:gridSpan w:val="2"/>
          </w:tcPr>
          <w:p>
            <w:pPr>
              <w:spacing w:after="0"/>
              <w:rPr>
                <w:sz w:val="20"/>
                <w:szCs w:val="20"/>
                <w:color w:val="auto"/>
              </w:rPr>
            </w:pPr>
            <w:r>
              <w:rPr>
                <w:rFonts w:ascii="Arial" w:cs="Arial" w:eastAsia="Arial" w:hAnsi="Arial"/>
                <w:sz w:val="18"/>
                <w:szCs w:val="18"/>
                <w:color w:val="auto"/>
                <w:w w:val="99"/>
              </w:rPr>
              <w:t>101</w:t>
            </w: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340" w:type="dxa"/>
            <w:vAlign w:val="bottom"/>
            <w:gridSpan w:val="19"/>
          </w:tcPr>
          <w:p>
            <w:pPr>
              <w:spacing w:after="0"/>
              <w:rPr>
                <w:sz w:val="20"/>
                <w:szCs w:val="20"/>
                <w:color w:val="auto"/>
              </w:rPr>
            </w:pPr>
            <w:r>
              <w:rPr>
                <w:rFonts w:ascii="Arial" w:cs="Arial" w:eastAsia="Arial" w:hAnsi="Arial"/>
                <w:sz w:val="18"/>
                <w:szCs w:val="18"/>
                <w:color w:val="auto"/>
              </w:rPr>
              <w:t>The following financial statements from the Company’s 20-F for the fiscal year ended December 31, 2017 formatted in XBRL:</w:t>
            </w:r>
          </w:p>
        </w:tc>
      </w:tr>
    </w:tbl>
    <w:p>
      <w:pPr>
        <w:ind w:left="1080" w:hanging="5"/>
        <w:spacing w:after="0" w:line="290" w:lineRule="auto"/>
        <w:tabs>
          <w:tab w:leader="none" w:pos="1329" w:val="left"/>
        </w:tabs>
        <w:numPr>
          <w:ilvl w:val="1"/>
          <w:numId w:val="135"/>
        </w:numPr>
        <w:rPr>
          <w:rFonts w:ascii="Arial" w:cs="Arial" w:eastAsia="Arial" w:hAnsi="Arial"/>
          <w:sz w:val="17"/>
          <w:szCs w:val="17"/>
          <w:color w:val="auto"/>
        </w:rPr>
      </w:pPr>
      <w:r>
        <w:rPr>
          <w:rFonts w:ascii="Arial" w:cs="Arial" w:eastAsia="Arial" w:hAnsi="Arial"/>
          <w:sz w:val="17"/>
          <w:szCs w:val="17"/>
          <w:color w:val="auto"/>
        </w:rPr>
        <w:t>Consolidated Statements of Comprehensive Loss, (ii) Consolidated Statements of Financial Position, (iii) Consolidated Statements of Changes in Equity, (iv) Consolidated Statements of Cash Flows, and (v) Notes to the Consolidated Financial Statements.</w:t>
      </w:r>
    </w:p>
    <w:p>
      <w:pPr>
        <w:spacing w:after="0" w:line="161" w:lineRule="exact"/>
        <w:rPr>
          <w:rFonts w:ascii="Arial" w:cs="Arial" w:eastAsia="Arial" w:hAnsi="Arial"/>
          <w:sz w:val="17"/>
          <w:szCs w:val="17"/>
          <w:color w:val="auto"/>
        </w:rPr>
      </w:pPr>
    </w:p>
    <w:p>
      <w:pPr>
        <w:ind w:left="1080" w:hanging="1072"/>
        <w:spacing w:after="0"/>
        <w:tabs>
          <w:tab w:leader="none" w:pos="108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Confidential treatment granted with respect to certain portions of this Exhibit.</w:t>
      </w:r>
    </w:p>
    <w:p>
      <w:pPr>
        <w:spacing w:after="0" w:line="225" w:lineRule="exact"/>
        <w:rPr>
          <w:sz w:val="20"/>
          <w:szCs w:val="20"/>
          <w:color w:val="auto"/>
        </w:rPr>
      </w:pPr>
    </w:p>
    <w:p>
      <w:pPr>
        <w:ind w:left="1080" w:hanging="1072"/>
        <w:spacing w:after="0"/>
        <w:tabs>
          <w:tab w:leader="none" w:pos="108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Informal translation of the original Hebrew document.</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78" w:right="239" w:bottom="1440" w:gutter="0" w:footer="0" w:header="0"/>
        </w:sectPr>
      </w:pPr>
    </w:p>
    <w:bookmarkStart w:id="172" w:name="page173"/>
    <w:bookmarkEnd w:id="172"/>
    <w:p>
      <w:pPr>
        <w:jc w:val="center"/>
        <w:ind w:right="-19"/>
        <w:spacing w:after="0"/>
        <w:rPr>
          <w:sz w:val="20"/>
          <w:szCs w:val="20"/>
          <w:color w:val="auto"/>
        </w:rPr>
      </w:pPr>
      <w:r>
        <w:rPr>
          <w:rFonts w:ascii="Arial" w:cs="Arial" w:eastAsia="Arial" w:hAnsi="Arial"/>
          <w:sz w:val="18"/>
          <w:szCs w:val="18"/>
          <w:u w:val="single" w:color="auto"/>
          <w:color w:val="auto"/>
        </w:rPr>
        <w:t>SIGNATURE</w:t>
      </w:r>
    </w:p>
    <w:p>
      <w:pPr>
        <w:spacing w:after="0" w:line="27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Registrant hereby certifies that it meets all of the requirements for filing on Form 20-F and that it has duly caused and authorized the undersigned to sign this annual report on its behalf.</w:t>
      </w:r>
    </w:p>
    <w:p>
      <w:pPr>
        <w:spacing w:after="0" w:line="224"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SOL-GEL TECHNOLOGIES LTD.</w:t>
      </w:r>
    </w:p>
    <w:p>
      <w:pPr>
        <w:spacing w:after="0" w:line="22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By:/s/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3675380</wp:posOffset>
            </wp:positionH>
            <wp:positionV relativeFrom="paragraph">
              <wp:posOffset>14605</wp:posOffset>
            </wp:positionV>
            <wp:extent cx="3576320"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5">
                      <a:extLst>
                        <a:ext uri="{28A0092B-C50C-407E-A947-70E740481C1C}"/>
                      </a:extLst>
                    </a:blip>
                    <a:srcRect/>
                    <a:stretch>
                      <a:fillRect/>
                    </a:stretch>
                  </pic:blipFill>
                  <pic:spPr bwMode="auto">
                    <a:xfrm>
                      <a:off x="0" y="0"/>
                      <a:ext cx="3576320" cy="17145"/>
                    </a:xfrm>
                    <a:prstGeom prst="rect">
                      <a:avLst/>
                    </a:prstGeom>
                    <a:noFill/>
                  </pic:spPr>
                </pic:pic>
              </a:graphicData>
            </a:graphic>
          </wp:anchor>
        </w:drawing>
      </w:r>
    </w:p>
    <w:p>
      <w:pPr>
        <w:spacing w:after="0" w:line="16"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Name:Alon Seri-Levy</w:t>
      </w:r>
    </w:p>
    <w:p>
      <w:pPr>
        <w:spacing w:after="0" w:line="23"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Title: Chief Executive Officer and Director</w:t>
      </w:r>
    </w:p>
    <w:p>
      <w:pPr>
        <w:spacing w:after="0" w:line="211"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By:/s/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3675380</wp:posOffset>
            </wp:positionH>
            <wp:positionV relativeFrom="paragraph">
              <wp:posOffset>14605</wp:posOffset>
            </wp:positionV>
            <wp:extent cx="3576320" cy="171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6">
                      <a:extLst>
                        <a:ext uri="{28A0092B-C50C-407E-A947-70E740481C1C}"/>
                      </a:extLst>
                    </a:blip>
                    <a:srcRect/>
                    <a:stretch>
                      <a:fillRect/>
                    </a:stretch>
                  </pic:blipFill>
                  <pic:spPr bwMode="auto">
                    <a:xfrm>
                      <a:off x="0" y="0"/>
                      <a:ext cx="3576320" cy="17145"/>
                    </a:xfrm>
                    <a:prstGeom prst="rect">
                      <a:avLst/>
                    </a:prstGeom>
                    <a:noFill/>
                  </pic:spPr>
                </pic:pic>
              </a:graphicData>
            </a:graphic>
          </wp:anchor>
        </w:drawing>
      </w:r>
    </w:p>
    <w:p>
      <w:pPr>
        <w:spacing w:after="0" w:line="16"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Name:Gilad Mamlok</w:t>
      </w:r>
    </w:p>
    <w:p>
      <w:pPr>
        <w:spacing w:after="0" w:line="23"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Title: Chief Financial Officer</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Date: March 21, 2019</w:t>
      </w: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6" w:right="259" w:bottom="1440" w:gutter="0" w:footer="0" w:header="0"/>
        </w:sectPr>
      </w:pPr>
    </w:p>
    <w:bookmarkStart w:id="173" w:name="page174"/>
    <w:bookmarkEnd w:id="173"/>
    <w:p>
      <w:pPr>
        <w:jc w:val="center"/>
        <w:ind w:right="-20"/>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FINANCIAL STATEMENTS</w:t>
      </w:r>
    </w:p>
    <w:p>
      <w:pPr>
        <w:spacing w:after="0" w:line="9"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AS OF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254635</wp:posOffset>
            </wp:positionV>
            <wp:extent cx="7246620"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74" w:name="page175"/>
    <w:bookmarkEnd w:id="174"/>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2018</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980" w:type="dxa"/>
            <w:vAlign w:val="bottom"/>
            <w:gridSpan w:val="3"/>
          </w:tcPr>
          <w:p>
            <w:pPr>
              <w:ind w:left="2180"/>
              <w:spacing w:after="0"/>
              <w:rPr>
                <w:sz w:val="20"/>
                <w:szCs w:val="20"/>
                <w:color w:val="auto"/>
              </w:rPr>
            </w:pPr>
            <w:r>
              <w:rPr>
                <w:rFonts w:ascii="Arial" w:cs="Arial" w:eastAsia="Arial" w:hAnsi="Arial"/>
                <w:sz w:val="18"/>
                <w:szCs w:val="18"/>
                <w:b w:val="1"/>
                <w:bCs w:val="1"/>
                <w:color w:val="auto"/>
              </w:rPr>
              <w:t>TABLE OF CONTENTS</w:t>
            </w:r>
          </w:p>
        </w:tc>
        <w:tc>
          <w:tcPr>
            <w:tcW w:w="860" w:type="dxa"/>
            <w:vAlign w:val="bottom"/>
          </w:tcPr>
          <w:p>
            <w:pPr>
              <w:spacing w:after="0"/>
              <w:rPr>
                <w:sz w:val="20"/>
                <w:szCs w:val="20"/>
                <w:color w:val="auto"/>
              </w:rPr>
            </w:pPr>
          </w:p>
        </w:tc>
      </w:tr>
      <w:tr>
        <w:trPr>
          <w:trHeight w:val="493"/>
        </w:trPr>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Page</w:t>
            </w:r>
          </w:p>
        </w:tc>
      </w:tr>
      <w:tr>
        <w:trPr>
          <w:trHeight w:val="176"/>
        </w:trPr>
        <w:tc>
          <w:tcPr>
            <w:tcW w:w="6180" w:type="dxa"/>
            <w:vAlign w:val="bottom"/>
            <w:tcBorders>
              <w:bottom w:val="single" w:sz="8" w:color="0000EE"/>
            </w:tcBorders>
            <w:gridSpan w:val="8"/>
          </w:tcPr>
          <w:p>
            <w:pPr>
              <w:spacing w:after="0" w:line="176" w:lineRule="exact"/>
              <w:rPr>
                <w:rFonts w:ascii="Arial" w:cs="Arial" w:eastAsia="Arial" w:hAnsi="Arial"/>
                <w:sz w:val="18"/>
                <w:szCs w:val="18"/>
                <w:b w:val="1"/>
                <w:bCs w:val="1"/>
                <w:color w:val="0000EE"/>
              </w:rPr>
            </w:pPr>
            <w:hyperlink w:anchor="page176">
              <w:r>
                <w:rPr>
                  <w:rFonts w:ascii="Arial" w:cs="Arial" w:eastAsia="Arial" w:hAnsi="Arial"/>
                  <w:sz w:val="18"/>
                  <w:szCs w:val="18"/>
                  <w:b w:val="1"/>
                  <w:bCs w:val="1"/>
                  <w:color w:val="0000EE"/>
                </w:rPr>
                <w:t>REPORT OF INDEPENDENT REGISTERED PUBLIC ACCOUNTING FIRM</w:t>
              </w:r>
            </w:hyperlink>
          </w:p>
        </w:tc>
        <w:tc>
          <w:tcPr>
            <w:tcW w:w="4380" w:type="dxa"/>
            <w:vAlign w:val="bottom"/>
          </w:tcPr>
          <w:p>
            <w:pPr>
              <w:spacing w:after="0"/>
              <w:rPr>
                <w:sz w:val="15"/>
                <w:szCs w:val="15"/>
                <w:color w:val="auto"/>
              </w:rPr>
            </w:pPr>
          </w:p>
        </w:tc>
        <w:tc>
          <w:tcPr>
            <w:tcW w:w="860" w:type="dxa"/>
            <w:vAlign w:val="bottom"/>
          </w:tcPr>
          <w:p>
            <w:pPr>
              <w:jc w:val="center"/>
              <w:spacing w:after="0" w:line="176" w:lineRule="exact"/>
              <w:rPr>
                <w:sz w:val="20"/>
                <w:szCs w:val="20"/>
                <w:color w:val="auto"/>
              </w:rPr>
            </w:pPr>
            <w:r>
              <w:rPr>
                <w:rFonts w:ascii="Arial" w:cs="Arial" w:eastAsia="Arial" w:hAnsi="Arial"/>
                <w:sz w:val="18"/>
                <w:szCs w:val="18"/>
                <w:color w:val="auto"/>
                <w:w w:val="96"/>
              </w:rPr>
              <w:t>F-2</w:t>
            </w:r>
          </w:p>
        </w:tc>
      </w:tr>
      <w:tr>
        <w:trPr>
          <w:trHeight w:val="196"/>
        </w:trPr>
        <w:tc>
          <w:tcPr>
            <w:tcW w:w="2340" w:type="dxa"/>
            <w:vAlign w:val="bottom"/>
            <w:tcBorders>
              <w:bottom w:val="single" w:sz="8" w:color="0000EE"/>
            </w:tcBorders>
            <w:gridSpan w:val="5"/>
          </w:tcPr>
          <w:p>
            <w:pPr>
              <w:spacing w:after="0" w:line="196" w:lineRule="exact"/>
              <w:rPr>
                <w:rFonts w:ascii="Arial" w:cs="Arial" w:eastAsia="Arial" w:hAnsi="Arial"/>
                <w:sz w:val="18"/>
                <w:szCs w:val="18"/>
                <w:b w:val="1"/>
                <w:bCs w:val="1"/>
                <w:color w:val="0000EE"/>
              </w:rPr>
            </w:pPr>
            <w:hyperlink w:anchor="page176">
              <w:r>
                <w:rPr>
                  <w:rFonts w:ascii="Arial" w:cs="Arial" w:eastAsia="Arial" w:hAnsi="Arial"/>
                  <w:sz w:val="18"/>
                  <w:szCs w:val="18"/>
                  <w:b w:val="1"/>
                  <w:bCs w:val="1"/>
                  <w:color w:val="0000EE"/>
                </w:rPr>
                <w:t>FINANCIAL STATEMENTS:</w:t>
              </w:r>
            </w:hyperlink>
          </w:p>
        </w:tc>
        <w:tc>
          <w:tcPr>
            <w:tcW w:w="8220" w:type="dxa"/>
            <w:vAlign w:val="bottom"/>
            <w:gridSpan w:val="4"/>
          </w:tcPr>
          <w:p>
            <w:pPr>
              <w:spacing w:after="0"/>
              <w:rPr>
                <w:sz w:val="17"/>
                <w:szCs w:val="17"/>
                <w:color w:val="auto"/>
              </w:rPr>
            </w:pPr>
          </w:p>
        </w:tc>
        <w:tc>
          <w:tcPr>
            <w:tcW w:w="860" w:type="dxa"/>
            <w:vAlign w:val="bottom"/>
          </w:tcPr>
          <w:p>
            <w:pPr>
              <w:spacing w:after="0"/>
              <w:rPr>
                <w:sz w:val="17"/>
                <w:szCs w:val="17"/>
                <w:color w:val="auto"/>
              </w:rPr>
            </w:pPr>
          </w:p>
        </w:tc>
      </w:tr>
      <w:tr>
        <w:trPr>
          <w:trHeight w:val="196"/>
        </w:trPr>
        <w:tc>
          <w:tcPr>
            <w:tcW w:w="180" w:type="dxa"/>
            <w:vAlign w:val="bottom"/>
          </w:tcPr>
          <w:p>
            <w:pPr>
              <w:spacing w:after="0"/>
              <w:rPr>
                <w:sz w:val="17"/>
                <w:szCs w:val="17"/>
                <w:color w:val="auto"/>
              </w:rPr>
            </w:pPr>
          </w:p>
        </w:tc>
        <w:tc>
          <w:tcPr>
            <w:tcW w:w="10380" w:type="dxa"/>
            <w:vAlign w:val="bottom"/>
            <w:gridSpan w:val="8"/>
          </w:tcPr>
          <w:p>
            <w:pPr>
              <w:spacing w:after="0" w:line="196" w:lineRule="exact"/>
              <w:rPr>
                <w:rFonts w:ascii="Arial" w:cs="Arial" w:eastAsia="Arial" w:hAnsi="Arial"/>
                <w:sz w:val="18"/>
                <w:szCs w:val="18"/>
                <w:color w:val="0000EE"/>
              </w:rPr>
            </w:pPr>
            <w:hyperlink w:anchor="page177">
              <w:r>
                <w:rPr>
                  <w:rFonts w:ascii="Arial" w:cs="Arial" w:eastAsia="Arial" w:hAnsi="Arial"/>
                  <w:sz w:val="18"/>
                  <w:szCs w:val="18"/>
                  <w:color w:val="0000EE"/>
                </w:rPr>
                <w:t>Balance Sheets</w:t>
              </w:r>
            </w:hyperlink>
          </w:p>
        </w:tc>
        <w:tc>
          <w:tcPr>
            <w:tcW w:w="860" w:type="dxa"/>
            <w:vAlign w:val="bottom"/>
          </w:tcPr>
          <w:p>
            <w:pPr>
              <w:jc w:val="center"/>
              <w:spacing w:after="0" w:line="196" w:lineRule="exact"/>
              <w:rPr>
                <w:sz w:val="20"/>
                <w:szCs w:val="20"/>
                <w:color w:val="auto"/>
              </w:rPr>
            </w:pPr>
            <w:r>
              <w:rPr>
                <w:rFonts w:ascii="Arial" w:cs="Arial" w:eastAsia="Arial" w:hAnsi="Arial"/>
                <w:sz w:val="18"/>
                <w:szCs w:val="18"/>
                <w:color w:val="auto"/>
                <w:w w:val="96"/>
              </w:rPr>
              <w:t>F-3</w:t>
            </w:r>
          </w:p>
        </w:tc>
      </w:tr>
      <w:tr>
        <w:trPr>
          <w:trHeight w:val="20"/>
        </w:trPr>
        <w:tc>
          <w:tcPr>
            <w:tcW w:w="180" w:type="dxa"/>
            <w:vAlign w:val="bottom"/>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550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10380" w:type="dxa"/>
            <w:vAlign w:val="bottom"/>
            <w:gridSpan w:val="8"/>
          </w:tcPr>
          <w:p>
            <w:pPr>
              <w:spacing w:after="0" w:line="196" w:lineRule="exact"/>
              <w:rPr>
                <w:rFonts w:ascii="Arial" w:cs="Arial" w:eastAsia="Arial" w:hAnsi="Arial"/>
                <w:sz w:val="18"/>
                <w:szCs w:val="18"/>
                <w:color w:val="0000EE"/>
              </w:rPr>
            </w:pPr>
            <w:hyperlink w:anchor="page178">
              <w:r>
                <w:rPr>
                  <w:rFonts w:ascii="Arial" w:cs="Arial" w:eastAsia="Arial" w:hAnsi="Arial"/>
                  <w:sz w:val="18"/>
                  <w:szCs w:val="18"/>
                  <w:color w:val="0000EE"/>
                </w:rPr>
                <w:t>Statements of Operations</w:t>
              </w:r>
            </w:hyperlink>
          </w:p>
        </w:tc>
        <w:tc>
          <w:tcPr>
            <w:tcW w:w="860" w:type="dxa"/>
            <w:vAlign w:val="bottom"/>
          </w:tcPr>
          <w:p>
            <w:pPr>
              <w:jc w:val="center"/>
              <w:spacing w:after="0" w:line="196" w:lineRule="exact"/>
              <w:rPr>
                <w:sz w:val="20"/>
                <w:szCs w:val="20"/>
                <w:color w:val="auto"/>
              </w:rPr>
            </w:pPr>
            <w:r>
              <w:rPr>
                <w:rFonts w:ascii="Arial" w:cs="Arial" w:eastAsia="Arial" w:hAnsi="Arial"/>
                <w:sz w:val="18"/>
                <w:szCs w:val="18"/>
                <w:color w:val="auto"/>
                <w:w w:val="96"/>
              </w:rPr>
              <w:t>F-4</w:t>
            </w:r>
          </w:p>
        </w:tc>
      </w:tr>
      <w:tr>
        <w:trPr>
          <w:trHeight w:val="20"/>
        </w:trPr>
        <w:tc>
          <w:tcPr>
            <w:tcW w:w="180" w:type="dxa"/>
            <w:vAlign w:val="bottom"/>
          </w:tcPr>
          <w:p>
            <w:pPr>
              <w:spacing w:after="0" w:line="20" w:lineRule="exact"/>
              <w:rPr>
                <w:sz w:val="1"/>
                <w:szCs w:val="1"/>
                <w:color w:val="auto"/>
              </w:rPr>
            </w:pPr>
          </w:p>
        </w:tc>
        <w:tc>
          <w:tcPr>
            <w:tcW w:w="180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550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10380" w:type="dxa"/>
            <w:vAlign w:val="bottom"/>
            <w:gridSpan w:val="8"/>
          </w:tcPr>
          <w:p>
            <w:pPr>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Statements of Changes in Shareholders' Equity (Capital Deficiency)</w:t>
              </w:r>
            </w:hyperlink>
          </w:p>
        </w:tc>
        <w:tc>
          <w:tcPr>
            <w:tcW w:w="860" w:type="dxa"/>
            <w:vAlign w:val="bottom"/>
          </w:tcPr>
          <w:p>
            <w:pPr>
              <w:jc w:val="center"/>
              <w:spacing w:after="0" w:line="196" w:lineRule="exact"/>
              <w:rPr>
                <w:sz w:val="20"/>
                <w:szCs w:val="20"/>
                <w:color w:val="auto"/>
              </w:rPr>
            </w:pPr>
            <w:r>
              <w:rPr>
                <w:rFonts w:ascii="Arial" w:cs="Arial" w:eastAsia="Arial" w:hAnsi="Arial"/>
                <w:sz w:val="18"/>
                <w:szCs w:val="18"/>
                <w:color w:val="auto"/>
                <w:w w:val="96"/>
              </w:rPr>
              <w:t>F-5</w:t>
            </w:r>
          </w:p>
        </w:tc>
      </w:tr>
      <w:tr>
        <w:trPr>
          <w:trHeight w:val="196"/>
        </w:trPr>
        <w:tc>
          <w:tcPr>
            <w:tcW w:w="180" w:type="dxa"/>
            <w:vAlign w:val="bottom"/>
          </w:tcPr>
          <w:p>
            <w:pPr>
              <w:spacing w:after="0"/>
              <w:rPr>
                <w:sz w:val="17"/>
                <w:szCs w:val="17"/>
                <w:color w:val="auto"/>
              </w:rPr>
            </w:pPr>
          </w:p>
        </w:tc>
        <w:tc>
          <w:tcPr>
            <w:tcW w:w="488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w:anchor="page180">
              <w:r>
                <w:rPr>
                  <w:rFonts w:ascii="Arial" w:cs="Arial" w:eastAsia="Arial" w:hAnsi="Arial"/>
                  <w:sz w:val="18"/>
                  <w:szCs w:val="18"/>
                  <w:color w:val="0000EE"/>
                </w:rPr>
                <w:t>Statements of Cash Flows</w:t>
              </w:r>
            </w:hyperlink>
          </w:p>
        </w:tc>
        <w:tc>
          <w:tcPr>
            <w:tcW w:w="5500" w:type="dxa"/>
            <w:vAlign w:val="bottom"/>
            <w:gridSpan w:val="2"/>
          </w:tcPr>
          <w:p>
            <w:pPr>
              <w:spacing w:after="0"/>
              <w:rPr>
                <w:sz w:val="17"/>
                <w:szCs w:val="17"/>
                <w:color w:val="auto"/>
              </w:rPr>
            </w:pPr>
          </w:p>
        </w:tc>
        <w:tc>
          <w:tcPr>
            <w:tcW w:w="860" w:type="dxa"/>
            <w:vAlign w:val="bottom"/>
          </w:tcPr>
          <w:p>
            <w:pPr>
              <w:jc w:val="center"/>
              <w:spacing w:after="0" w:line="196" w:lineRule="exact"/>
              <w:rPr>
                <w:sz w:val="20"/>
                <w:szCs w:val="20"/>
                <w:color w:val="auto"/>
              </w:rPr>
            </w:pPr>
            <w:r>
              <w:rPr>
                <w:rFonts w:ascii="Arial" w:cs="Arial" w:eastAsia="Arial" w:hAnsi="Arial"/>
                <w:sz w:val="18"/>
                <w:szCs w:val="18"/>
                <w:color w:val="auto"/>
                <w:w w:val="96"/>
              </w:rPr>
              <w:t>F-6</w:t>
            </w:r>
          </w:p>
        </w:tc>
      </w:tr>
      <w:tr>
        <w:trPr>
          <w:trHeight w:val="20"/>
        </w:trPr>
        <w:tc>
          <w:tcPr>
            <w:tcW w:w="180" w:type="dxa"/>
            <w:vAlign w:val="bottom"/>
          </w:tcPr>
          <w:p>
            <w:pPr>
              <w:spacing w:after="0" w:line="20" w:lineRule="exact"/>
              <w:rPr>
                <w:sz w:val="1"/>
                <w:szCs w:val="1"/>
                <w:color w:val="auto"/>
              </w:rPr>
            </w:pPr>
          </w:p>
        </w:tc>
        <w:tc>
          <w:tcPr>
            <w:tcW w:w="1860" w:type="dxa"/>
            <w:vAlign w:val="bottom"/>
            <w:gridSpan w:val="3"/>
            <w:shd w:val="clear" w:color="auto" w:fill="0000EE"/>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980" w:type="dxa"/>
            <w:vAlign w:val="bottom"/>
            <w:gridSpan w:val="3"/>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10380" w:type="dxa"/>
            <w:vAlign w:val="bottom"/>
            <w:gridSpan w:val="8"/>
          </w:tcPr>
          <w:p>
            <w:pPr>
              <w:spacing w:after="0" w:line="196" w:lineRule="exact"/>
              <w:rPr>
                <w:rFonts w:ascii="Arial" w:cs="Arial" w:eastAsia="Arial" w:hAnsi="Arial"/>
                <w:sz w:val="18"/>
                <w:szCs w:val="18"/>
                <w:color w:val="0000EE"/>
              </w:rPr>
            </w:pPr>
            <w:hyperlink w:anchor="page181">
              <w:r>
                <w:rPr>
                  <w:rFonts w:ascii="Arial" w:cs="Arial" w:eastAsia="Arial" w:hAnsi="Arial"/>
                  <w:sz w:val="18"/>
                  <w:szCs w:val="18"/>
                  <w:color w:val="0000EE"/>
                </w:rPr>
                <w:t>Notes to the Financial Statements</w:t>
              </w:r>
            </w:hyperlink>
          </w:p>
        </w:tc>
        <w:tc>
          <w:tcPr>
            <w:tcW w:w="860" w:type="dxa"/>
            <w:vAlign w:val="bottom"/>
          </w:tcPr>
          <w:p>
            <w:pPr>
              <w:jc w:val="center"/>
              <w:spacing w:after="0" w:line="196" w:lineRule="exact"/>
              <w:rPr>
                <w:sz w:val="20"/>
                <w:szCs w:val="20"/>
                <w:color w:val="auto"/>
              </w:rPr>
            </w:pPr>
            <w:r>
              <w:rPr>
                <w:rFonts w:ascii="Arial" w:cs="Arial" w:eastAsia="Arial" w:hAnsi="Arial"/>
                <w:sz w:val="18"/>
                <w:szCs w:val="18"/>
                <w:color w:val="auto"/>
                <w:w w:val="96"/>
              </w:rPr>
              <w:t>F-7</w:t>
            </w:r>
          </w:p>
        </w:tc>
      </w:tr>
      <w:tr>
        <w:trPr>
          <w:trHeight w:val="473"/>
        </w:trPr>
        <w:tc>
          <w:tcPr>
            <w:tcW w:w="180" w:type="dxa"/>
            <w:vAlign w:val="bottom"/>
            <w:tcBorders>
              <w:bottom w:val="single" w:sz="8" w:color="auto"/>
            </w:tcBorders>
          </w:tcPr>
          <w:p>
            <w:pPr>
              <w:spacing w:after="0"/>
              <w:rPr>
                <w:sz w:val="24"/>
                <w:szCs w:val="24"/>
                <w:color w:val="auto"/>
              </w:rPr>
            </w:pPr>
          </w:p>
        </w:tc>
        <w:tc>
          <w:tcPr>
            <w:tcW w:w="1080" w:type="dxa"/>
            <w:vAlign w:val="bottom"/>
            <w:tcBorders>
              <w:top w:val="single" w:sz="8" w:color="0000EE"/>
              <w:bottom w:val="single" w:sz="8" w:color="auto"/>
            </w:tcBorders>
          </w:tcPr>
          <w:p>
            <w:pPr>
              <w:spacing w:after="0"/>
              <w:rPr>
                <w:sz w:val="24"/>
                <w:szCs w:val="24"/>
                <w:color w:val="auto"/>
              </w:rPr>
            </w:pPr>
          </w:p>
        </w:tc>
        <w:tc>
          <w:tcPr>
            <w:tcW w:w="7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30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24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43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92" w:right="239" w:bottom="1440" w:gutter="0" w:footer="0" w:header="0"/>
        </w:sectPr>
      </w:pPr>
    </w:p>
    <w:bookmarkStart w:id="175" w:name="page176"/>
    <w:bookmarkEnd w:id="17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260350</wp:posOffset>
            </wp:positionV>
            <wp:extent cx="1303655" cy="110617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9">
                      <a:clrChange>
                        <a:clrFrom>
                          <a:srgbClr val="FFFFFF"/>
                        </a:clrFrom>
                        <a:clrTo>
                          <a:srgbClr val="FFFFFF">
                            <a:alpha val="0"/>
                          </a:srgbClr>
                        </a:clrTo>
                      </a:clrChange>
                      <a:extLst>
                        <a:ext uri="{28A0092B-C50C-407E-A947-70E740481C1C}"/>
                      </a:extLst>
                    </a:blip>
                    <a:srcRect/>
                    <a:stretch>
                      <a:fillRect/>
                    </a:stretch>
                  </pic:blipFill>
                  <pic:spPr bwMode="auto">
                    <a:xfrm>
                      <a:off x="0" y="0"/>
                      <a:ext cx="1303655" cy="1106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To the board of directors and shareholders of </w:t>
      </w:r>
      <w:r>
        <w:rPr>
          <w:rFonts w:ascii="Arial" w:cs="Arial" w:eastAsia="Arial" w:hAnsi="Arial"/>
          <w:sz w:val="18"/>
          <w:szCs w:val="18"/>
          <w:b w:val="1"/>
          <w:bCs w:val="1"/>
          <w:color w:val="auto"/>
        </w:rPr>
        <w:t>Sol-Gel Technologies Ltd.</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 on the Financial Statements</w:t>
      </w:r>
    </w:p>
    <w:p>
      <w:pPr>
        <w:spacing w:after="0" w:line="275" w:lineRule="exact"/>
        <w:rPr>
          <w:sz w:val="20"/>
          <w:szCs w:val="20"/>
          <w:color w:val="auto"/>
        </w:rPr>
      </w:pPr>
    </w:p>
    <w:p>
      <w:pPr>
        <w:jc w:val="both"/>
        <w:spacing w:after="0" w:line="277" w:lineRule="auto"/>
        <w:rPr>
          <w:sz w:val="20"/>
          <w:szCs w:val="20"/>
          <w:color w:val="auto"/>
        </w:rPr>
      </w:pPr>
      <w:r>
        <w:rPr>
          <w:rFonts w:ascii="Arial" w:cs="Arial" w:eastAsia="Arial" w:hAnsi="Arial"/>
          <w:sz w:val="17"/>
          <w:szCs w:val="17"/>
          <w:color w:val="auto"/>
        </w:rPr>
        <w:t>We have audited the accompanying balance sheets of Sol-Gel Technologies Ltd</w:t>
      </w:r>
      <w:r>
        <w:rPr>
          <w:rFonts w:ascii="Arial" w:cs="Arial" w:eastAsia="Arial" w:hAnsi="Arial"/>
          <w:sz w:val="17"/>
          <w:szCs w:val="17"/>
          <w:b w:val="1"/>
          <w:bCs w:val="1"/>
          <w:color w:val="auto"/>
        </w:rPr>
        <w:t>.</w:t>
      </w:r>
      <w:r>
        <w:rPr>
          <w:rFonts w:ascii="Arial" w:cs="Arial" w:eastAsia="Arial" w:hAnsi="Arial"/>
          <w:sz w:val="17"/>
          <w:szCs w:val="17"/>
          <w:color w:val="auto"/>
        </w:rPr>
        <w:t xml:space="preserve"> (the "Company") as of December 31, 2018 and 2017, and the related statements of operations, changes in shareholders' equity (capital deficiency) and cash flows for each of the three years in the period ended December 31, 2018, including the related notes (collectively referred to as the “financial statements”). In our opinion, the financial statements present fairly, in all material respects, the financial position of the Company as of December 31, 2018 and 2017, and the results of its operations and its cash flows for each of the three years in the period ended December 31, 2018 in conformity with accounting principles generally accepted in the United States of America.</w:t>
      </w:r>
    </w:p>
    <w:p>
      <w:pPr>
        <w:spacing w:after="0" w:line="2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24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conducted our audits of these financial statements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24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ectPr>
          <w:pgSz w:w="11900" w:h="16838" w:orient="portrait"/>
          <w:cols w:equalWidth="0" w:num="1">
            <w:col w:w="11420"/>
          </w:cols>
          <w:pgMar w:left="240" w:top="1440" w:right="239" w:bottom="1440" w:gutter="0" w:footer="0" w:header="0"/>
        </w:sectPr>
      </w:pP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auto"/>
        </w:rPr>
        <w:t>Tel-Aviv, Israel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March 21, 2019</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Certified Public Accountants (Isr.)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 Limited</w:t>
      </w:r>
    </w:p>
    <w:p>
      <w:pPr>
        <w:spacing w:after="0" w:line="200" w:lineRule="exact"/>
        <w:rPr>
          <w:sz w:val="20"/>
          <w:szCs w:val="20"/>
          <w:color w:val="auto"/>
        </w:rPr>
      </w:pPr>
    </w:p>
    <w:p>
      <w:pPr>
        <w:sectPr>
          <w:pgSz w:w="11900" w:h="16838" w:orient="portrait"/>
          <w:cols w:equalWidth="0" w:num="2">
            <w:col w:w="2720" w:space="720"/>
            <w:col w:w="7980"/>
          </w:cols>
          <w:pgMar w:left="240" w:top="1440" w:right="239" w:bottom="1440" w:gutter="0" w:footer="0" w:header="0"/>
          <w:type w:val="continuous"/>
        </w:sectPr>
      </w:pP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212090</wp:posOffset>
            </wp:positionV>
            <wp:extent cx="7143750" cy="1028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0">
                      <a:extLst>
                        <a:ext uri="{28A0092B-C50C-407E-A947-70E740481C1C}"/>
                      </a:extLst>
                    </a:blip>
                    <a:srcRect/>
                    <a:stretch>
                      <a:fillRect/>
                    </a:stretch>
                  </pic:blipFill>
                  <pic:spPr bwMode="auto">
                    <a:xfrm>
                      <a:off x="0" y="0"/>
                      <a:ext cx="7143750" cy="102870"/>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Kesselman &amp; Kesselman, Trade Tower, 25 Hamered Street, Tel-Aviv 6812508, Israel,</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P.O Box 50005 Tel-Aviv 6150001 Telephone: +972 -3- 7954555, Fax:+972 -3- 7954556, www.pwc.com/il</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440" w:right="239" w:bottom="1440" w:gutter="0" w:footer="0" w:header="0"/>
          <w:type w:val="continuous"/>
        </w:sectPr>
      </w:pPr>
    </w:p>
    <w:bookmarkStart w:id="176" w:name="page177"/>
    <w:bookmarkEnd w:id="176"/>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8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7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84"/>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290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Cash and cash equivalents</w:t>
            </w:r>
          </w:p>
        </w:tc>
        <w:tc>
          <w:tcPr>
            <w:tcW w:w="40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5,024</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Bank deposit</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4,000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Marketable securities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56,662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Prepaid expenses and other current assets</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1,524</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2,987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10,548</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65,974</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NON-CURRENT ASSETS: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Long term receivables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Restricted long term deposits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462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2,604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Funds in respect of employee rights upon retirement</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680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642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1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4,767</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3,708</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40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15,315</w:t>
            </w:r>
          </w:p>
        </w:tc>
        <w:tc>
          <w:tcPr>
            <w:tcW w:w="140" w:type="dxa"/>
            <w:vAlign w:val="bottom"/>
          </w:tcPr>
          <w:p>
            <w:pPr>
              <w:spacing w:after="0"/>
              <w:rPr>
                <w:sz w:val="18"/>
                <w:szCs w:val="18"/>
                <w:color w:val="auto"/>
              </w:rPr>
            </w:pPr>
          </w:p>
        </w:tc>
        <w:tc>
          <w:tcPr>
            <w:tcW w:w="460" w:type="dxa"/>
            <w:vAlign w:val="bottom"/>
            <w:gridSpan w:val="2"/>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69,682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8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640" w:type="dxa"/>
            <w:vAlign w:val="bottom"/>
            <w:shd w:val="clear" w:color="auto" w:fill="CCEEFF"/>
          </w:tcPr>
          <w:p>
            <w:pPr>
              <w:ind w:left="2900"/>
              <w:spacing w:after="0"/>
              <w:rPr>
                <w:sz w:val="20"/>
                <w:szCs w:val="20"/>
                <w:color w:val="auto"/>
              </w:rPr>
            </w:pPr>
            <w:r>
              <w:rPr>
                <w:rFonts w:ascii="Arial" w:cs="Arial" w:eastAsia="Arial" w:hAnsi="Arial"/>
                <w:sz w:val="18"/>
                <w:szCs w:val="18"/>
                <w:b w:val="1"/>
                <w:bCs w:val="1"/>
                <w:color w:val="auto"/>
              </w:rPr>
              <w:t>Liabilities and shareholders' equity (capital deficiency)</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Accounts payable</w:t>
            </w:r>
          </w:p>
        </w:tc>
        <w:tc>
          <w:tcPr>
            <w:tcW w:w="40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534</w:t>
            </w:r>
          </w:p>
        </w:tc>
        <w:tc>
          <w:tcPr>
            <w:tcW w:w="1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25"/>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Other account payable</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1,332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1,971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Loans from the controlling shareholder</w:t>
            </w:r>
          </w:p>
        </w:tc>
        <w:tc>
          <w:tcPr>
            <w:tcW w:w="1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65,338</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67,204</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4,895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16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Liability for employee rights upon retirement</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810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878</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86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16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810</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top w:val="single" w:sz="8" w:color="auto"/>
              <w:bottom w:val="single" w:sz="8" w:color="auto"/>
            </w:tcBorders>
            <w:shd w:val="clear" w:color="auto" w:fill="CCEEFF"/>
          </w:tcPr>
          <w:p>
            <w:pPr>
              <w:spacing w:after="0"/>
              <w:rPr>
                <w:sz w:val="22"/>
                <w:szCs w:val="22"/>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878</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COMMITMENTS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68,014</w:t>
            </w: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SHAREHOLDERS' EQUITY (CAPITAL DEFICIENCY):</w:t>
            </w:r>
          </w:p>
        </w:tc>
        <w:tc>
          <w:tcPr>
            <w:tcW w:w="16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40" w:type="dxa"/>
            <w:vAlign w:val="bottom"/>
            <w:shd w:val="clear" w:color="auto" w:fill="CCEEFF"/>
          </w:tcPr>
          <w:p>
            <w:pPr>
              <w:ind w:left="60"/>
              <w:spacing w:after="0" w:line="201" w:lineRule="exact"/>
              <w:rPr>
                <w:sz w:val="20"/>
                <w:szCs w:val="20"/>
                <w:color w:val="auto"/>
              </w:rPr>
            </w:pPr>
            <w:r>
              <w:rPr>
                <w:rFonts w:ascii="Arial" w:cs="Arial" w:eastAsia="Arial" w:hAnsi="Arial"/>
                <w:sz w:val="18"/>
                <w:szCs w:val="18"/>
                <w:color w:val="auto"/>
                <w:w w:val="91"/>
              </w:rPr>
              <w:t>Ordinary shares, NIS 0.1 par value – authorized: 50,000,000 as of December 31, 2017 and 2018, respectively; issued</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40" w:type="dxa"/>
            <w:vAlign w:val="bottom"/>
            <w:shd w:val="clear" w:color="auto" w:fill="CCEEFF"/>
          </w:tcPr>
          <w:p>
            <w:pPr>
              <w:ind w:left="60"/>
              <w:spacing w:after="0"/>
              <w:rPr>
                <w:sz w:val="20"/>
                <w:szCs w:val="20"/>
                <w:color w:val="auto"/>
              </w:rPr>
            </w:pPr>
            <w:r>
              <w:rPr>
                <w:rFonts w:ascii="Arial" w:cs="Arial" w:eastAsia="Arial" w:hAnsi="Arial"/>
                <w:sz w:val="18"/>
                <w:szCs w:val="18"/>
                <w:color w:val="auto"/>
                <w:w w:val="99"/>
              </w:rPr>
              <w:t>and outstanding: 6,290,244 and 18,949,968 as of December 31, 2017 and December 31, 2018, respectively</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ind w:left="80"/>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42,480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190,853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EEFF"/>
          </w:tcPr>
          <w:p>
            <w:pPr>
              <w:ind w:left="80"/>
              <w:spacing w:after="0"/>
              <w:rPr>
                <w:sz w:val="20"/>
                <w:szCs w:val="20"/>
                <w:color w:val="auto"/>
              </w:rPr>
            </w:pPr>
            <w:r>
              <w:rPr>
                <w:rFonts w:ascii="Arial" w:cs="Arial" w:eastAsia="Arial" w:hAnsi="Arial"/>
                <w:sz w:val="18"/>
                <w:szCs w:val="18"/>
                <w:color w:val="auto"/>
              </w:rPr>
              <w:t>Accumulated deficit</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(95,261)</w:t>
            </w:r>
          </w:p>
        </w:tc>
        <w:tc>
          <w:tcPr>
            <w:tcW w:w="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(127,464)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64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8640" w:type="dxa"/>
            <w:vAlign w:val="bottom"/>
          </w:tcPr>
          <w:p>
            <w:pPr>
              <w:spacing w:after="0"/>
              <w:rPr>
                <w:sz w:val="20"/>
                <w:szCs w:val="20"/>
                <w:color w:val="auto"/>
              </w:rPr>
            </w:pPr>
            <w:r>
              <w:rPr>
                <w:rFonts w:ascii="Arial" w:cs="Arial" w:eastAsia="Arial" w:hAnsi="Arial"/>
                <w:sz w:val="18"/>
                <w:szCs w:val="18"/>
                <w:b w:val="1"/>
                <w:bCs w:val="1"/>
                <w:color w:val="auto"/>
              </w:rPr>
              <w:t>TOTAL SHAREHOLDERS' EQUITY (CAPITAL DEFICIENCY)</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(52,699)</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63,909</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86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 (NET OF CAPITAL DEFICIENCY</w:t>
            </w: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15,315</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top w:val="single" w:sz="8" w:color="auto"/>
              <w:bottom w:val="single" w:sz="8" w:color="auto"/>
            </w:tcBorders>
            <w:shd w:val="clear" w:color="auto" w:fill="CCEEFF"/>
          </w:tcPr>
          <w:p>
            <w:pPr>
              <w:jc w:val="right"/>
              <w:ind w:right="22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77" w:name="page178"/>
    <w:bookmarkEnd w:id="177"/>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7"/>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spacing w:after="0"/>
              <w:rPr>
                <w:sz w:val="18"/>
                <w:szCs w:val="18"/>
                <w:color w:val="auto"/>
              </w:rPr>
            </w:pPr>
          </w:p>
        </w:tc>
        <w:tc>
          <w:tcPr>
            <w:tcW w:w="320" w:type="dxa"/>
            <w:vAlign w:val="bottom"/>
            <w:gridSpan w:val="2"/>
          </w:tcPr>
          <w:p>
            <w:pPr>
              <w:spacing w:after="0"/>
              <w:rPr>
                <w:sz w:val="18"/>
                <w:szCs w:val="18"/>
                <w:color w:val="auto"/>
              </w:rPr>
            </w:pPr>
          </w:p>
        </w:tc>
        <w:tc>
          <w:tcPr>
            <w:tcW w:w="10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174</w:t>
            </w:r>
          </w:p>
        </w:tc>
        <w:tc>
          <w:tcPr>
            <w:tcW w:w="32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OPERATING EXPENSES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17,023</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25,805</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28,146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General and Administrative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3,733</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6,002</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5,504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20,756</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31,633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33,521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FINANCIAL EXPENSES (INCOME), net</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(65)</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(1,318)</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7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LOSS FOR THE YEAR</w:t>
            </w: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20,771</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31,568</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32,203</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3.30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5.02</w:t>
            </w:r>
          </w:p>
        </w:tc>
        <w:tc>
          <w:tcPr>
            <w:tcW w:w="32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20" w:type="dxa"/>
            <w:vAlign w:val="bottom"/>
            <w:vMerge w:val="continue"/>
          </w:tcPr>
          <w:p>
            <w:pPr>
              <w:spacing w:after="0"/>
              <w:rPr>
                <w:sz w:val="16"/>
                <w:szCs w:val="16"/>
                <w:color w:val="auto"/>
              </w:rPr>
            </w:pPr>
          </w:p>
        </w:tc>
        <w:tc>
          <w:tcPr>
            <w:tcW w:w="7420" w:type="dxa"/>
            <w:vAlign w:val="bottom"/>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WEIGHTED AVERAGE NUMBER OF SHARES OUTSTANDING USED IN</w:t>
            </w:r>
          </w:p>
        </w:tc>
        <w:tc>
          <w:tcPr>
            <w:tcW w:w="24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742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240" w:type="dxa"/>
            <w:vAlign w:val="bottom"/>
            <w:shd w:val="clear" w:color="auto" w:fill="CCEEFF"/>
          </w:tcPr>
          <w:p>
            <w:pPr>
              <w:spacing w:after="0"/>
              <w:rPr>
                <w:sz w:val="22"/>
                <w:szCs w:val="22"/>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6,290,244</w:t>
            </w:r>
          </w:p>
        </w:tc>
        <w:tc>
          <w:tcPr>
            <w:tcW w:w="8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17,867,589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2" w:right="239" w:bottom="1440" w:gutter="0" w:footer="0" w:header="0"/>
        </w:sectPr>
      </w:pPr>
    </w:p>
    <w:bookmarkStart w:id="178" w:name="page179"/>
    <w:bookmarkEnd w:id="178"/>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CHANGES IN SHAREHOLDERS' EQUITY (CAPITAL DEFICIENCY)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Additional</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paid-in</w:t>
            </w: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Accumulated</w:t>
            </w: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2780" w:type="dxa"/>
            <w:vAlign w:val="bottom"/>
            <w:gridSpan w:val="4"/>
          </w:tcPr>
          <w:p>
            <w:pPr>
              <w:jc w:val="right"/>
              <w:ind w:right="860"/>
              <w:spacing w:after="0"/>
              <w:rPr>
                <w:sz w:val="20"/>
                <w:szCs w:val="20"/>
                <w:color w:val="auto"/>
              </w:rPr>
            </w:pPr>
            <w:r>
              <w:rPr>
                <w:rFonts w:ascii="Arial" w:cs="Arial" w:eastAsia="Arial" w:hAnsi="Arial"/>
                <w:sz w:val="18"/>
                <w:szCs w:val="18"/>
                <w:b w:val="1"/>
                <w:bCs w:val="1"/>
                <w:color w:val="auto"/>
              </w:rPr>
              <w:t>Ordinary shares</w:t>
            </w: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capital</w:t>
            </w:r>
          </w:p>
        </w:tc>
        <w:tc>
          <w:tcPr>
            <w:tcW w:w="13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deficit</w:t>
            </w:r>
          </w:p>
        </w:tc>
        <w:tc>
          <w:tcPr>
            <w:tcW w:w="124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Total</w:t>
            </w:r>
          </w:p>
        </w:tc>
      </w:tr>
      <w:tr>
        <w:trPr>
          <w:trHeight w:val="198"/>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420" w:type="dxa"/>
            <w:vAlign w:val="bottom"/>
            <w:tcBorders>
              <w:top w:val="single" w:sz="8" w:color="auto"/>
            </w:tcBorders>
            <w:gridSpan w:val="2"/>
          </w:tcPr>
          <w:p>
            <w:pPr>
              <w:ind w:left="260"/>
              <w:spacing w:after="0" w:line="198" w:lineRule="exact"/>
              <w:rPr>
                <w:sz w:val="20"/>
                <w:szCs w:val="20"/>
                <w:color w:val="auto"/>
              </w:rPr>
            </w:pPr>
            <w:r>
              <w:rPr>
                <w:rFonts w:ascii="Arial" w:cs="Arial" w:eastAsia="Arial" w:hAnsi="Arial"/>
                <w:sz w:val="18"/>
                <w:szCs w:val="18"/>
                <w:b w:val="1"/>
                <w:bCs w:val="1"/>
                <w:color w:val="auto"/>
              </w:rPr>
              <w:t>Number</w:t>
            </w:r>
          </w:p>
        </w:tc>
        <w:tc>
          <w:tcPr>
            <w:tcW w:w="114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420" w:type="dxa"/>
            <w:vAlign w:val="bottom"/>
            <w:gridSpan w:val="2"/>
          </w:tcPr>
          <w:p>
            <w:pPr>
              <w:ind w:left="240"/>
              <w:spacing w:after="0"/>
              <w:rPr>
                <w:sz w:val="20"/>
                <w:szCs w:val="20"/>
                <w:color w:val="auto"/>
              </w:rPr>
            </w:pPr>
            <w:r>
              <w:rPr>
                <w:rFonts w:ascii="Arial" w:cs="Arial" w:eastAsia="Arial" w:hAnsi="Arial"/>
                <w:sz w:val="18"/>
                <w:szCs w:val="18"/>
                <w:b w:val="1"/>
                <w:bCs w:val="1"/>
                <w:color w:val="auto"/>
              </w:rPr>
              <w:t>of shares</w:t>
            </w:r>
          </w:p>
        </w:tc>
        <w:tc>
          <w:tcPr>
            <w:tcW w:w="136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Amounts</w:t>
            </w:r>
          </w:p>
        </w:tc>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Amounts</w:t>
            </w: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2016</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60" w:type="dxa"/>
            <w:vAlign w:val="bottom"/>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19"/>
                <w:szCs w:val="19"/>
                <w:color w:val="auto"/>
              </w:rPr>
            </w:pPr>
          </w:p>
        </w:tc>
        <w:tc>
          <w:tcPr>
            <w:tcW w:w="1340" w:type="dxa"/>
            <w:vAlign w:val="bottom"/>
            <w:tcBorders>
              <w:top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31,322</w:t>
            </w:r>
          </w:p>
        </w:tc>
        <w:tc>
          <w:tcPr>
            <w:tcW w:w="1360" w:type="dxa"/>
            <w:vAlign w:val="bottom"/>
            <w:tcBorders>
              <w:top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(42,922)</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(11,518)</w:t>
            </w:r>
          </w:p>
        </w:tc>
        <w:tc>
          <w:tcPr>
            <w:tcW w:w="10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8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CHANGES DURING 2016:</w:t>
            </w:r>
          </w:p>
        </w:tc>
        <w:tc>
          <w:tcPr>
            <w:tcW w:w="11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(20,771)</w:t>
            </w:r>
          </w:p>
        </w:tc>
        <w:tc>
          <w:tcPr>
            <w:tcW w:w="1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(20,771)</w:t>
            </w:r>
          </w:p>
        </w:tc>
      </w:tr>
      <w:tr>
        <w:trPr>
          <w:trHeight w:val="223"/>
        </w:trPr>
        <w:tc>
          <w:tcPr>
            <w:tcW w:w="20" w:type="dxa"/>
            <w:vAlign w:val="bottom"/>
          </w:tcPr>
          <w:p>
            <w:pPr>
              <w:spacing w:after="0"/>
              <w:rPr>
                <w:sz w:val="19"/>
                <w:szCs w:val="19"/>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952</w:t>
            </w:r>
          </w:p>
        </w:tc>
        <w:tc>
          <w:tcPr>
            <w:tcW w:w="1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952</w:t>
            </w: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2017</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6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32,274</w:t>
            </w:r>
          </w:p>
        </w:tc>
        <w:tc>
          <w:tcPr>
            <w:tcW w:w="20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(63,693)</w:t>
            </w:r>
          </w:p>
        </w:tc>
        <w:tc>
          <w:tcPr>
            <w:tcW w:w="2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(31,337)</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CHANGES DURING 2017:</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(31,568)</w:t>
            </w:r>
          </w:p>
        </w:tc>
        <w:tc>
          <w:tcPr>
            <w:tcW w:w="1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(31,568)</w:t>
            </w:r>
          </w:p>
        </w:tc>
      </w:tr>
      <w:tr>
        <w:trPr>
          <w:trHeight w:val="202"/>
        </w:trPr>
        <w:tc>
          <w:tcPr>
            <w:tcW w:w="20" w:type="dxa"/>
            <w:vAlign w:val="bottom"/>
          </w:tcPr>
          <w:p>
            <w:pPr>
              <w:spacing w:after="0"/>
              <w:rPr>
                <w:sz w:val="17"/>
                <w:szCs w:val="17"/>
                <w:color w:val="auto"/>
              </w:rPr>
            </w:pPr>
          </w:p>
        </w:tc>
        <w:tc>
          <w:tcPr>
            <w:tcW w:w="4680" w:type="dxa"/>
            <w:vAlign w:val="bottom"/>
          </w:tcPr>
          <w:p>
            <w:pPr>
              <w:ind w:left="220"/>
              <w:spacing w:after="0" w:line="201" w:lineRule="exact"/>
              <w:rPr>
                <w:sz w:val="20"/>
                <w:szCs w:val="20"/>
                <w:color w:val="auto"/>
              </w:rPr>
            </w:pPr>
            <w:r>
              <w:rPr>
                <w:rFonts w:ascii="Arial" w:cs="Arial" w:eastAsia="Arial" w:hAnsi="Arial"/>
                <w:sz w:val="18"/>
                <w:szCs w:val="18"/>
                <w:color w:val="auto"/>
              </w:rPr>
              <w:t>Issuance of shares due to in- process research and</w:t>
            </w:r>
          </w:p>
        </w:tc>
        <w:tc>
          <w:tcPr>
            <w:tcW w:w="1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development acquired</w:t>
            </w:r>
          </w:p>
        </w:tc>
        <w:tc>
          <w:tcPr>
            <w:tcW w:w="1160" w:type="dxa"/>
            <w:vAlign w:val="bottom"/>
          </w:tcPr>
          <w:p>
            <w:pPr>
              <w:jc w:val="right"/>
              <w:spacing w:after="0"/>
              <w:rPr>
                <w:sz w:val="20"/>
                <w:szCs w:val="20"/>
                <w:color w:val="auto"/>
              </w:rPr>
            </w:pPr>
            <w:r>
              <w:rPr>
                <w:rFonts w:ascii="Arial" w:cs="Arial" w:eastAsia="Arial" w:hAnsi="Arial"/>
                <w:sz w:val="18"/>
                <w:szCs w:val="18"/>
                <w:color w:val="auto"/>
              </w:rPr>
              <w:t>2</w:t>
            </w:r>
          </w:p>
        </w:tc>
        <w:tc>
          <w:tcPr>
            <w:tcW w:w="26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6,232</w:t>
            </w:r>
          </w:p>
        </w:tc>
        <w:tc>
          <w:tcPr>
            <w:tcW w:w="1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6,232</w:t>
            </w:r>
          </w:p>
        </w:tc>
      </w:tr>
      <w:tr>
        <w:trPr>
          <w:trHeight w:val="223"/>
        </w:trPr>
        <w:tc>
          <w:tcPr>
            <w:tcW w:w="20" w:type="dxa"/>
            <w:vAlign w:val="bottom"/>
          </w:tcPr>
          <w:p>
            <w:pPr>
              <w:spacing w:after="0"/>
              <w:rPr>
                <w:sz w:val="19"/>
                <w:szCs w:val="19"/>
                <w:color w:val="auto"/>
              </w:rPr>
            </w:pPr>
          </w:p>
        </w:tc>
        <w:tc>
          <w:tcPr>
            <w:tcW w:w="46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2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BALANCE AS OF DECEMBER 31, 2017</w:t>
            </w:r>
          </w:p>
        </w:tc>
        <w:tc>
          <w:tcPr>
            <w:tcW w:w="1160" w:type="dxa"/>
            <w:vAlign w:val="bottom"/>
          </w:tcPr>
          <w:p>
            <w:pPr>
              <w:jc w:val="right"/>
              <w:spacing w:after="0"/>
              <w:rPr>
                <w:sz w:val="20"/>
                <w:szCs w:val="20"/>
                <w:color w:val="auto"/>
              </w:rPr>
            </w:pPr>
            <w:r>
              <w:rPr>
                <w:rFonts w:ascii="Arial" w:cs="Arial" w:eastAsia="Arial" w:hAnsi="Arial"/>
                <w:sz w:val="18"/>
                <w:szCs w:val="18"/>
                <w:color w:val="auto"/>
              </w:rPr>
              <w:t>6,290,244</w:t>
            </w:r>
          </w:p>
        </w:tc>
        <w:tc>
          <w:tcPr>
            <w:tcW w:w="26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82</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42,480</w:t>
            </w: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(95,261)</w:t>
            </w:r>
          </w:p>
        </w:tc>
        <w:tc>
          <w:tcPr>
            <w:tcW w:w="1240" w:type="dxa"/>
            <w:vAlign w:val="bottom"/>
            <w:gridSpan w:val="2"/>
          </w:tcPr>
          <w:p>
            <w:pPr>
              <w:jc w:val="right"/>
              <w:ind w:right="40"/>
              <w:spacing w:after="0"/>
              <w:rPr>
                <w:sz w:val="20"/>
                <w:szCs w:val="20"/>
                <w:color w:val="auto"/>
              </w:rPr>
            </w:pPr>
            <w:r>
              <w:rPr>
                <w:rFonts w:ascii="Arial" w:cs="Arial" w:eastAsia="Arial" w:hAnsi="Arial"/>
                <w:sz w:val="18"/>
                <w:szCs w:val="18"/>
                <w:color w:val="auto"/>
              </w:rPr>
              <w:t>(52,699)</w:t>
            </w: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CHANGES DURING 2018:</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(32,203)</w:t>
            </w:r>
          </w:p>
        </w:tc>
        <w:tc>
          <w:tcPr>
            <w:tcW w:w="1240" w:type="dxa"/>
            <w:vAlign w:val="bottom"/>
            <w:gridSpan w:val="2"/>
          </w:tcPr>
          <w:p>
            <w:pPr>
              <w:jc w:val="right"/>
              <w:ind w:right="40"/>
              <w:spacing w:after="0"/>
              <w:rPr>
                <w:sz w:val="20"/>
                <w:szCs w:val="20"/>
                <w:color w:val="auto"/>
              </w:rPr>
            </w:pPr>
            <w:r>
              <w:rPr>
                <w:rFonts w:ascii="Arial" w:cs="Arial" w:eastAsia="Arial" w:hAnsi="Arial"/>
                <w:sz w:val="18"/>
                <w:szCs w:val="18"/>
                <w:color w:val="auto"/>
              </w:rPr>
              <w:t>(32,203)</w:t>
            </w: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Stock split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66</w:t>
            </w:r>
          </w:p>
        </w:tc>
        <w:tc>
          <w:tcPr>
            <w:tcW w:w="1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(66)</w:t>
            </w: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Conversion of loans from the Controlling shareholder</w:t>
            </w:r>
          </w:p>
        </w:tc>
        <w:tc>
          <w:tcPr>
            <w:tcW w:w="1160" w:type="dxa"/>
            <w:vAlign w:val="bottom"/>
          </w:tcPr>
          <w:p>
            <w:pPr>
              <w:jc w:val="right"/>
              <w:spacing w:after="0"/>
              <w:rPr>
                <w:sz w:val="20"/>
                <w:szCs w:val="20"/>
                <w:color w:val="auto"/>
              </w:rPr>
            </w:pPr>
            <w:r>
              <w:rPr>
                <w:rFonts w:ascii="Arial" w:cs="Arial" w:eastAsia="Arial" w:hAnsi="Arial"/>
                <w:sz w:val="18"/>
                <w:szCs w:val="18"/>
                <w:color w:val="auto"/>
              </w:rPr>
              <w:t>5,444,825</w:t>
            </w:r>
          </w:p>
        </w:tc>
        <w:tc>
          <w:tcPr>
            <w:tcW w:w="26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160</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65,178</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65,338</w:t>
            </w:r>
          </w:p>
        </w:tc>
      </w:tr>
      <w:tr>
        <w:trPr>
          <w:trHeight w:val="202"/>
        </w:trPr>
        <w:tc>
          <w:tcPr>
            <w:tcW w:w="20" w:type="dxa"/>
            <w:vAlign w:val="bottom"/>
          </w:tcPr>
          <w:p>
            <w:pPr>
              <w:spacing w:after="0"/>
              <w:rPr>
                <w:sz w:val="17"/>
                <w:szCs w:val="17"/>
                <w:color w:val="auto"/>
              </w:rPr>
            </w:pPr>
          </w:p>
        </w:tc>
        <w:tc>
          <w:tcPr>
            <w:tcW w:w="4680" w:type="dxa"/>
            <w:vAlign w:val="bottom"/>
            <w:shd w:val="clear" w:color="auto" w:fill="CCEEFF"/>
          </w:tcPr>
          <w:p>
            <w:pPr>
              <w:ind w:left="220"/>
              <w:spacing w:after="0" w:line="201" w:lineRule="exact"/>
              <w:rPr>
                <w:sz w:val="20"/>
                <w:szCs w:val="20"/>
                <w:color w:val="auto"/>
              </w:rPr>
            </w:pPr>
            <w:r>
              <w:rPr>
                <w:rFonts w:ascii="Arial" w:cs="Arial" w:eastAsia="Arial" w:hAnsi="Arial"/>
                <w:sz w:val="18"/>
                <w:szCs w:val="18"/>
                <w:color w:val="auto"/>
                <w:w w:val="96"/>
              </w:rPr>
              <w:t>Issuance of shares through an initial public offering, net of</w:t>
            </w:r>
          </w:p>
        </w:tc>
        <w:tc>
          <w:tcPr>
            <w:tcW w:w="1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issuance costs</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7,187,500</w:t>
            </w:r>
          </w:p>
        </w:tc>
        <w:tc>
          <w:tcPr>
            <w:tcW w:w="260" w:type="dxa"/>
            <w:vAlign w:val="bottom"/>
            <w:shd w:val="clear" w:color="auto" w:fill="CCEEFF"/>
          </w:tcPr>
          <w:p>
            <w:pPr>
              <w:spacing w:after="0"/>
              <w:rPr>
                <w:sz w:val="20"/>
                <w:szCs w:val="20"/>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211</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78,564</w:t>
            </w:r>
          </w:p>
        </w:tc>
        <w:tc>
          <w:tcPr>
            <w:tcW w:w="11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78,775</w:t>
            </w:r>
          </w:p>
        </w:tc>
      </w:tr>
      <w:tr>
        <w:trPr>
          <w:trHeight w:val="216"/>
        </w:trPr>
        <w:tc>
          <w:tcPr>
            <w:tcW w:w="20" w:type="dxa"/>
            <w:vAlign w:val="bottom"/>
          </w:tcPr>
          <w:p>
            <w:pPr>
              <w:spacing w:after="0"/>
              <w:rPr>
                <w:sz w:val="18"/>
                <w:szCs w:val="18"/>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Exercise of options granted to employee</w:t>
            </w:r>
          </w:p>
        </w:tc>
        <w:tc>
          <w:tcPr>
            <w:tcW w:w="1160" w:type="dxa"/>
            <w:vAlign w:val="bottom"/>
          </w:tcPr>
          <w:p>
            <w:pPr>
              <w:jc w:val="right"/>
              <w:spacing w:after="0"/>
              <w:rPr>
                <w:sz w:val="20"/>
                <w:szCs w:val="20"/>
                <w:color w:val="auto"/>
              </w:rPr>
            </w:pPr>
            <w:r>
              <w:rPr>
                <w:rFonts w:ascii="Arial" w:cs="Arial" w:eastAsia="Arial" w:hAnsi="Arial"/>
                <w:sz w:val="18"/>
                <w:szCs w:val="18"/>
                <w:color w:val="auto"/>
              </w:rPr>
              <w:t>27,399</w:t>
            </w:r>
          </w:p>
        </w:tc>
        <w:tc>
          <w:tcPr>
            <w:tcW w:w="26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1140" w:type="dxa"/>
            <w:vAlign w:val="bottom"/>
          </w:tcPr>
          <w:p>
            <w:pPr>
              <w:jc w:val="right"/>
              <w:spacing w:after="0"/>
              <w:rPr>
                <w:sz w:val="20"/>
                <w:szCs w:val="20"/>
                <w:color w:val="auto"/>
              </w:rPr>
            </w:pPr>
            <w:r>
              <w:rPr>
                <w:rFonts w:ascii="Arial" w:cs="Arial" w:eastAsia="Arial" w:hAnsi="Arial"/>
                <w:sz w:val="18"/>
                <w:szCs w:val="18"/>
                <w:color w:val="auto"/>
              </w:rPr>
              <w:t>43</w:t>
            </w: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44</w:t>
            </w:r>
          </w:p>
        </w:tc>
      </w:tr>
      <w:tr>
        <w:trPr>
          <w:trHeight w:val="223"/>
        </w:trPr>
        <w:tc>
          <w:tcPr>
            <w:tcW w:w="20" w:type="dxa"/>
            <w:vAlign w:val="bottom"/>
          </w:tcPr>
          <w:p>
            <w:pPr>
              <w:spacing w:after="0"/>
              <w:rPr>
                <w:sz w:val="19"/>
                <w:szCs w:val="19"/>
                <w:color w:val="auto"/>
              </w:rPr>
            </w:pPr>
          </w:p>
        </w:tc>
        <w:tc>
          <w:tcPr>
            <w:tcW w:w="46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2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BALANCE AS OF DECEMBER 31, 2018</w:t>
            </w:r>
          </w:p>
        </w:tc>
        <w:tc>
          <w:tcPr>
            <w:tcW w:w="1160" w:type="dxa"/>
            <w:vAlign w:val="bottom"/>
          </w:tcPr>
          <w:p>
            <w:pPr>
              <w:jc w:val="right"/>
              <w:spacing w:after="0"/>
              <w:rPr>
                <w:sz w:val="20"/>
                <w:szCs w:val="20"/>
                <w:color w:val="auto"/>
              </w:rPr>
            </w:pPr>
            <w:r>
              <w:rPr>
                <w:rFonts w:ascii="Arial" w:cs="Arial" w:eastAsia="Arial" w:hAnsi="Arial"/>
                <w:sz w:val="18"/>
                <w:szCs w:val="18"/>
                <w:color w:val="auto"/>
              </w:rPr>
              <w:t>18,949,968</w:t>
            </w:r>
          </w:p>
        </w:tc>
        <w:tc>
          <w:tcPr>
            <w:tcW w:w="26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520</w:t>
            </w:r>
          </w:p>
        </w:tc>
        <w:tc>
          <w:tcPr>
            <w:tcW w:w="1340" w:type="dxa"/>
            <w:vAlign w:val="bottom"/>
            <w:gridSpan w:val="2"/>
          </w:tcPr>
          <w:p>
            <w:pPr>
              <w:jc w:val="right"/>
              <w:ind w:right="200"/>
              <w:spacing w:after="0"/>
              <w:rPr>
                <w:sz w:val="20"/>
                <w:szCs w:val="20"/>
                <w:color w:val="auto"/>
              </w:rPr>
            </w:pPr>
            <w:r>
              <w:rPr>
                <w:rFonts w:ascii="Arial" w:cs="Arial" w:eastAsia="Arial" w:hAnsi="Arial"/>
                <w:sz w:val="18"/>
                <w:szCs w:val="18"/>
                <w:color w:val="auto"/>
              </w:rPr>
              <w:t>190,853</w:t>
            </w: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(127,464)</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63,909</w:t>
            </w: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 Less than 1,000.</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79" w:name="page180"/>
    <w:bookmarkEnd w:id="179"/>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right"/>
              <w:ind w:right="25"/>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Loss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(20,771)</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(31,568)</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(32,203)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Depreciation</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359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471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762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Changes in accrued liability for employee rights upon retirement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Share-based compensation</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952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3,974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4,654</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Changes in fair value of marketable securities</w:t>
            </w:r>
          </w:p>
        </w:tc>
        <w:tc>
          <w:tcPr>
            <w:tcW w:w="240" w:type="dxa"/>
            <w:vAlign w:val="bottom"/>
            <w:shd w:val="clear" w:color="auto" w:fill="CCEEFF"/>
          </w:tcPr>
          <w:p>
            <w:pPr>
              <w:spacing w:after="0"/>
              <w:rPr>
                <w:sz w:val="21"/>
                <w:szCs w:val="21"/>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In-process research and development acquired</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6,232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Finance expenses,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Changes in operating asset and liabilities: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(426)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(229)</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Accounts payable, accrued expenses and other</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2,505</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(2,486)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3,029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Long term receivables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(1,190)</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(463)</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1,653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(18,495)</w:t>
            </w:r>
          </w:p>
        </w:tc>
        <w:tc>
          <w:tcPr>
            <w:tcW w:w="2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(24,089)</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(23,467)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(385)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(1,925)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(1,052)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Bank deposits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(4,000)</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Restricted long term deposits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Investments in marketable securities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(71,783)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Proceeds from sales and maturity of marketable securities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15,092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Amounts funded in respect of employee rights upon retirement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(391)</w:t>
            </w:r>
          </w:p>
        </w:tc>
        <w:tc>
          <w:tcPr>
            <w:tcW w:w="2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(5,938)</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(54,735)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Exercise of options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Initial public offering, net of issue cost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78,775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Loans received from the controlling shareholder</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20,000</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28,000</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20,000</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28,000</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78,819</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(1,977)</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CASH AND CASH EQUIVALENTS AT BEGINNING OF THE YEAR</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5,895</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7,001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5,024</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AT END OF THE YEAR</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5,024</w:t>
            </w:r>
          </w:p>
        </w:tc>
        <w:tc>
          <w:tcPr>
            <w:tcW w:w="36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5,675</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4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5,024</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5,325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Restricted cash</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742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CASH AND CASH EQUIVALENTS AND RESTRICTED CASH SHOWN IN STATEMENT</w:t>
            </w:r>
          </w:p>
        </w:tc>
        <w:tc>
          <w:tcPr>
            <w:tcW w:w="2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20" w:type="dxa"/>
            <w:vAlign w:val="bottom"/>
          </w:tcPr>
          <w:p>
            <w:pPr>
              <w:spacing w:after="0"/>
              <w:rPr>
                <w:sz w:val="23"/>
                <w:szCs w:val="23"/>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b w:val="1"/>
                <w:bCs w:val="1"/>
                <w:color w:val="auto"/>
              </w:rPr>
              <w:t>OF CASH FLOWS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23"/>
                <w:szCs w:val="23"/>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5,024</w:t>
            </w:r>
          </w:p>
        </w:tc>
        <w:tc>
          <w:tcPr>
            <w:tcW w:w="36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5,675</w:t>
            </w:r>
          </w:p>
        </w:tc>
        <w:tc>
          <w:tcPr>
            <w:tcW w:w="0" w:type="dxa"/>
            <w:vAlign w:val="bottom"/>
          </w:tcPr>
          <w:p>
            <w:pPr>
              <w:spacing w:after="0"/>
              <w:rPr>
                <w:sz w:val="1"/>
                <w:szCs w:val="1"/>
                <w:color w:val="auto"/>
              </w:rPr>
            </w:pPr>
          </w:p>
        </w:tc>
      </w:tr>
      <w:tr>
        <w:trPr>
          <w:trHeight w:val="264"/>
        </w:trPr>
        <w:tc>
          <w:tcPr>
            <w:tcW w:w="20" w:type="dxa"/>
            <w:vAlign w:val="bottom"/>
            <w:vMerge w:val="restart"/>
          </w:tcPr>
          <w:p>
            <w:pPr>
              <w:spacing w:after="0"/>
              <w:rPr>
                <w:sz w:val="22"/>
                <w:szCs w:val="22"/>
                <w:color w:val="auto"/>
              </w:rPr>
            </w:pPr>
          </w:p>
        </w:tc>
        <w:tc>
          <w:tcPr>
            <w:tcW w:w="7420" w:type="dxa"/>
            <w:vAlign w:val="bottom"/>
            <w:tcBorders>
              <w:top w:val="single" w:sz="8" w:color="CCEEFF"/>
            </w:tcBorders>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220" w:type="dxa"/>
            <w:vAlign w:val="bottom"/>
            <w:tcBorders>
              <w:top w:val="single" w:sz="8" w:color="CCEEFF"/>
            </w:tcBorders>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40" w:type="dxa"/>
            <w:vAlign w:val="bottom"/>
            <w:tcBorders>
              <w:top w:val="single" w:sz="8" w:color="CCEEFF"/>
            </w:tcBorders>
          </w:tcPr>
          <w:p>
            <w:pPr>
              <w:spacing w:after="0"/>
              <w:rPr>
                <w:sz w:val="22"/>
                <w:szCs w:val="22"/>
                <w:color w:val="auto"/>
              </w:rPr>
            </w:pPr>
          </w:p>
        </w:tc>
        <w:tc>
          <w:tcPr>
            <w:tcW w:w="80" w:type="dxa"/>
            <w:vAlign w:val="bottom"/>
            <w:tcBorders>
              <w:top w:val="single" w:sz="8" w:color="CCEEFF"/>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860" w:type="dxa"/>
            <w:vAlign w:val="bottom"/>
            <w:tcBorders>
              <w:top w:val="single" w:sz="8" w:color="auto"/>
            </w:tcBorders>
          </w:tcPr>
          <w:p>
            <w:pPr>
              <w:spacing w:after="0"/>
              <w:rPr>
                <w:sz w:val="22"/>
                <w:szCs w:val="22"/>
                <w:color w:val="auto"/>
              </w:rPr>
            </w:pPr>
          </w:p>
        </w:tc>
        <w:tc>
          <w:tcPr>
            <w:tcW w:w="100" w:type="dxa"/>
            <w:vAlign w:val="bottom"/>
            <w:tcBorders>
              <w:top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742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b w:val="1"/>
                <w:bCs w:val="1"/>
                <w:color w:val="auto"/>
              </w:rPr>
              <w:t>NOT INVOLVING CASH FLOWS:</w:t>
            </w:r>
          </w:p>
        </w:tc>
        <w:tc>
          <w:tcPr>
            <w:tcW w:w="24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62</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4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Conversion of loans from the controlling shareholder</w:t>
            </w:r>
          </w:p>
        </w:tc>
        <w:tc>
          <w:tcPr>
            <w:tcW w:w="240" w:type="dxa"/>
            <w:vAlign w:val="bottom"/>
            <w:tcBorders>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65,338</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6,232</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SUPPLEMENTARY INFORMATION:</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Interest received</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1,477</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0" w:name="page181"/>
    <w:bookmarkEnd w:id="180"/>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OPERATIONS</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225" w:lineRule="exact"/>
        <w:rPr>
          <w:sz w:val="20"/>
          <w:szCs w:val="20"/>
          <w:color w:val="auto"/>
        </w:rPr>
      </w:pPr>
    </w:p>
    <w:p>
      <w:pPr>
        <w:ind w:left="360" w:right="240"/>
        <w:spacing w:after="0" w:line="312" w:lineRule="auto"/>
        <w:rPr>
          <w:sz w:val="20"/>
          <w:szCs w:val="20"/>
          <w:color w:val="auto"/>
        </w:rPr>
      </w:pPr>
      <w:r>
        <w:rPr>
          <w:rFonts w:ascii="Arial" w:cs="Arial" w:eastAsia="Arial" w:hAnsi="Arial"/>
          <w:sz w:val="16"/>
          <w:szCs w:val="16"/>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147" w:lineRule="exact"/>
        <w:rPr>
          <w:sz w:val="20"/>
          <w:szCs w:val="20"/>
          <w:color w:val="auto"/>
        </w:rPr>
      </w:pPr>
    </w:p>
    <w:p>
      <w:pPr>
        <w:ind w:left="360" w:right="8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225" w:lineRule="exact"/>
        <w:rPr>
          <w:sz w:val="20"/>
          <w:szCs w:val="20"/>
          <w:color w:val="auto"/>
        </w:rPr>
      </w:pPr>
    </w:p>
    <w:p>
      <w:pPr>
        <w:jc w:val="both"/>
        <w:ind w:left="360" w:right="280"/>
        <w:spacing w:after="0" w:line="259" w:lineRule="auto"/>
        <w:rPr>
          <w:sz w:val="20"/>
          <w:szCs w:val="20"/>
          <w:color w:val="auto"/>
        </w:rPr>
      </w:pPr>
      <w:r>
        <w:rPr>
          <w:rFonts w:ascii="Arial" w:cs="Arial" w:eastAsia="Arial" w:hAnsi="Arial"/>
          <w:sz w:val="18"/>
          <w:szCs w:val="18"/>
          <w:color w:val="auto"/>
        </w:rPr>
        <w:t>In January 2018, the Company completed an IPO on the NASDAQ Stock Market, in which it issued 6,250,000 Ordinary shares at a price per share of $12. During February 2018 the underwriters exercised their green shoe option and purchased additional 937,500 ordinary shares at the same price per share. The net proceeds received from the IPO were approximately $78,800, after deducting underwriting discounts, commissions and other offering expenses. See also note 8.</w:t>
      </w:r>
    </w:p>
    <w:p>
      <w:pPr>
        <w:spacing w:after="0" w:line="187" w:lineRule="exact"/>
        <w:rPr>
          <w:sz w:val="20"/>
          <w:szCs w:val="20"/>
          <w:color w:val="auto"/>
        </w:rPr>
      </w:pPr>
    </w:p>
    <w:p>
      <w:pPr>
        <w:ind w:left="360" w:right="620"/>
        <w:spacing w:after="0" w:line="277" w:lineRule="auto"/>
        <w:rPr>
          <w:sz w:val="20"/>
          <w:szCs w:val="20"/>
          <w:color w:val="auto"/>
        </w:rPr>
      </w:pPr>
      <w:r>
        <w:rPr>
          <w:rFonts w:ascii="Arial" w:cs="Arial" w:eastAsia="Arial" w:hAnsi="Arial"/>
          <w:sz w:val="18"/>
          <w:szCs w:val="18"/>
          <w:color w:val="auto"/>
        </w:rPr>
        <w:t>Immediately prior to the closing of the IPO, the outstanding promissory note were automatically converted into 5,444,825 Ordinary shares of the Company based on the IPO price of $12 per ordinary share. See also note 7.</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225" w:lineRule="exact"/>
        <w:rPr>
          <w:sz w:val="20"/>
          <w:szCs w:val="20"/>
          <w:color w:val="auto"/>
        </w:rPr>
      </w:pPr>
    </w:p>
    <w:p>
      <w:pPr>
        <w:ind w:left="400"/>
        <w:spacing w:after="0" w:line="257" w:lineRule="auto"/>
        <w:rPr>
          <w:sz w:val="20"/>
          <w:szCs w:val="20"/>
          <w:color w:val="auto"/>
        </w:rPr>
      </w:pPr>
      <w:r>
        <w:rPr>
          <w:rFonts w:ascii="Arial" w:cs="Arial" w:eastAsia="Arial" w:hAnsi="Arial"/>
          <w:sz w:val="18"/>
          <w:szCs w:val="18"/>
          <w:color w:val="auto"/>
        </w:rPr>
        <w:t>Since incorporation through December 31, 2018, the Company has an accumulated deficit of approximately $127,464 and its activities have been funded mainly by its shareholders. The Company's cash and cash equivalents, bank deposits and marketable securities as of December 31, 2018 will allow the Company to fund its operating plan through at least the next 12 months following the date of this report. However, the Company expects to continue to incur significant research and development and other costs related to its ongoing operations and in order to continue its future operations, the Company will need to obtain additional funding until becoming profitable</w:t>
      </w:r>
      <w:r>
        <w:rPr>
          <w:rFonts w:ascii="Arial" w:cs="Arial" w:eastAsia="Arial" w:hAnsi="Arial"/>
          <w:sz w:val="18"/>
          <w:szCs w:val="18"/>
          <w:b w:val="1"/>
          <w:bCs w:val="1"/>
          <w:color w:val="auto"/>
        </w:rPr>
        <w:t>.</w:t>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September 2018, the Company established a wholly owned subsidiary in the United States. As of December 31, 2018 the subsidiary is still inactive.</w:t>
      </w: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1" w:name="page182"/>
    <w:bookmarkEnd w:id="181"/>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SIGNIFICANT ACCOUNTING POLICIES</w:t>
      </w:r>
    </w:p>
    <w:p>
      <w:pPr>
        <w:spacing w:after="0" w:line="225"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a.</w:t>
      </w:r>
      <w:r>
        <w:rPr>
          <w:sz w:val="20"/>
          <w:szCs w:val="20"/>
          <w:color w:val="auto"/>
        </w:rPr>
        <w:tab/>
      </w:r>
      <w:r>
        <w:rPr>
          <w:rFonts w:ascii="Arial" w:cs="Arial" w:eastAsia="Arial" w:hAnsi="Arial"/>
          <w:sz w:val="15"/>
          <w:szCs w:val="15"/>
          <w:b w:val="1"/>
          <w:bCs w:val="1"/>
          <w:color w:val="auto"/>
        </w:rPr>
        <w:t>Basis of presentation</w:t>
      </w:r>
    </w:p>
    <w:p>
      <w:pPr>
        <w:spacing w:after="0" w:line="229" w:lineRule="exact"/>
        <w:rPr>
          <w:sz w:val="20"/>
          <w:szCs w:val="20"/>
          <w:color w:val="auto"/>
        </w:rPr>
      </w:pPr>
    </w:p>
    <w:p>
      <w:pPr>
        <w:ind w:left="700" w:right="560"/>
        <w:spacing w:after="0" w:line="277" w:lineRule="auto"/>
        <w:rPr>
          <w:sz w:val="20"/>
          <w:szCs w:val="20"/>
          <w:color w:val="auto"/>
        </w:rPr>
      </w:pPr>
      <w:r>
        <w:rPr>
          <w:rFonts w:ascii="Arial" w:cs="Arial" w:eastAsia="Arial" w:hAnsi="Arial"/>
          <w:sz w:val="18"/>
          <w:szCs w:val="18"/>
          <w:color w:val="auto"/>
        </w:rPr>
        <w:t>The Company’s financial statements have been prepared in accordance with generally accepted accounting principles in the United States of America (“U.S. GAAP”).</w:t>
      </w:r>
    </w:p>
    <w:p>
      <w:pPr>
        <w:spacing w:after="0" w:line="166"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6"/>
          <w:szCs w:val="16"/>
          <w:b w:val="1"/>
          <w:bCs w:val="1"/>
          <w:color w:val="auto"/>
        </w:rPr>
        <w:t>Use of estimates in the preparation of financial statements</w:t>
      </w:r>
    </w:p>
    <w:p>
      <w:pPr>
        <w:spacing w:after="0" w:line="229" w:lineRule="exact"/>
        <w:rPr>
          <w:sz w:val="20"/>
          <w:szCs w:val="20"/>
          <w:color w:val="auto"/>
        </w:rPr>
      </w:pPr>
    </w:p>
    <w:p>
      <w:pPr>
        <w:ind w:left="700" w:right="220"/>
        <w:spacing w:after="0" w:line="286"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66"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As applicable to these financial statements, the most significant estimates and assumptions relate to the fair value of share-based compensation.</w:t>
      </w:r>
    </w:p>
    <w:p>
      <w:pPr>
        <w:spacing w:after="0" w:line="244" w:lineRule="exact"/>
        <w:rPr>
          <w:sz w:val="20"/>
          <w:szCs w:val="20"/>
          <w:color w:val="auto"/>
        </w:rPr>
      </w:pPr>
    </w:p>
    <w:p>
      <w:pPr>
        <w:ind w:left="660" w:hanging="301"/>
        <w:spacing w:after="0"/>
        <w:tabs>
          <w:tab w:leader="none" w:pos="660" w:val="left"/>
        </w:tabs>
        <w:numPr>
          <w:ilvl w:val="0"/>
          <w:numId w:val="137"/>
        </w:numPr>
        <w:rPr>
          <w:rFonts w:ascii="Arial" w:cs="Arial" w:eastAsia="Arial" w:hAnsi="Arial"/>
          <w:sz w:val="18"/>
          <w:szCs w:val="18"/>
          <w:b w:val="1"/>
          <w:bCs w:val="1"/>
          <w:color w:val="auto"/>
        </w:rPr>
      </w:pPr>
      <w:r>
        <w:rPr>
          <w:rFonts w:ascii="Arial" w:cs="Arial" w:eastAsia="Arial" w:hAnsi="Arial"/>
          <w:sz w:val="18"/>
          <w:szCs w:val="18"/>
          <w:b w:val="1"/>
          <w:bCs w:val="1"/>
          <w:color w:val="auto"/>
        </w:rPr>
        <w:t>Functional and presentation currency</w:t>
      </w:r>
    </w:p>
    <w:p>
      <w:pPr>
        <w:spacing w:after="0" w:line="229" w:lineRule="exact"/>
        <w:rPr>
          <w:sz w:val="20"/>
          <w:szCs w:val="20"/>
          <w:color w:val="auto"/>
        </w:rPr>
      </w:pPr>
    </w:p>
    <w:p>
      <w:pPr>
        <w:ind w:left="700"/>
        <w:spacing w:after="0" w:line="286" w:lineRule="auto"/>
        <w:rPr>
          <w:sz w:val="20"/>
          <w:szCs w:val="20"/>
          <w:color w:val="auto"/>
        </w:rPr>
      </w:pPr>
      <w:r>
        <w:rPr>
          <w:rFonts w:ascii="Arial" w:cs="Arial" w:eastAsia="Arial" w:hAnsi="Arial"/>
          <w:sz w:val="17"/>
          <w:szCs w:val="17"/>
          <w:color w:val="auto"/>
        </w:rPr>
        <w:t>The U.S. dollar (“dollar”) is the currency of the primary economic environment in which the operations of the Company are conducted. The Company’s financing has been provided in dollars, revenues are expected to be primarily in dollars and a significant part of expenses are incurred in dollars. The financial statements are presented in dollars, which is the Company’s functional and presentation currency.</w:t>
      </w:r>
    </w:p>
    <w:p>
      <w:pPr>
        <w:spacing w:after="0" w:line="166" w:lineRule="exact"/>
        <w:rPr>
          <w:sz w:val="20"/>
          <w:szCs w:val="20"/>
          <w:color w:val="auto"/>
        </w:rPr>
      </w:pPr>
    </w:p>
    <w:p>
      <w:pPr>
        <w:ind w:left="700" w:right="20"/>
        <w:spacing w:after="0" w:line="297" w:lineRule="auto"/>
        <w:rPr>
          <w:sz w:val="20"/>
          <w:szCs w:val="20"/>
          <w:color w:val="auto"/>
        </w:rPr>
      </w:pPr>
      <w:r>
        <w:rPr>
          <w:rFonts w:ascii="Arial" w:cs="Arial" w:eastAsia="Arial" w:hAnsi="Arial"/>
          <w:sz w:val="16"/>
          <w:szCs w:val="16"/>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54"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5"/>
          <w:szCs w:val="15"/>
          <w:b w:val="1"/>
          <w:bCs w:val="1"/>
          <w:color w:val="auto"/>
        </w:rPr>
        <w:t>Cash and cash equivalents</w:t>
      </w:r>
    </w:p>
    <w:p>
      <w:pPr>
        <w:spacing w:after="0" w:line="229" w:lineRule="exact"/>
        <w:rPr>
          <w:sz w:val="20"/>
          <w:szCs w:val="20"/>
          <w:color w:val="auto"/>
        </w:rPr>
      </w:pPr>
    </w:p>
    <w:p>
      <w:pPr>
        <w:ind w:left="700" w:right="400"/>
        <w:spacing w:after="0" w:line="264" w:lineRule="auto"/>
        <w:rPr>
          <w:sz w:val="20"/>
          <w:szCs w:val="20"/>
          <w:color w:val="auto"/>
        </w:rPr>
      </w:pPr>
      <w:r>
        <w:rPr>
          <w:rFonts w:ascii="Arial" w:cs="Arial" w:eastAsia="Arial" w:hAnsi="Arial"/>
          <w:sz w:val="18"/>
          <w:szCs w:val="18"/>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77" w:lineRule="exact"/>
        <w:rPr>
          <w:sz w:val="20"/>
          <w:szCs w:val="20"/>
          <w:color w:val="auto"/>
        </w:rPr>
      </w:pPr>
    </w:p>
    <w:p>
      <w:pPr>
        <w:ind w:left="720" w:hanging="352"/>
        <w:spacing w:after="0"/>
        <w:tabs>
          <w:tab w:leader="none" w:pos="720" w:val="left"/>
        </w:tabs>
        <w:numPr>
          <w:ilvl w:val="0"/>
          <w:numId w:val="138"/>
        </w:numPr>
        <w:rPr>
          <w:rFonts w:ascii="Arial" w:cs="Arial" w:eastAsia="Arial" w:hAnsi="Arial"/>
          <w:sz w:val="18"/>
          <w:szCs w:val="18"/>
          <w:b w:val="1"/>
          <w:bCs w:val="1"/>
          <w:color w:val="auto"/>
        </w:rPr>
      </w:pPr>
      <w:r>
        <w:rPr>
          <w:rFonts w:ascii="Arial" w:cs="Arial" w:eastAsia="Arial" w:hAnsi="Arial"/>
          <w:sz w:val="18"/>
          <w:szCs w:val="18"/>
          <w:b w:val="1"/>
          <w:bCs w:val="1"/>
          <w:color w:val="auto"/>
        </w:rPr>
        <w:t>Bank deposits</w:t>
      </w:r>
    </w:p>
    <w:p>
      <w:pPr>
        <w:spacing w:after="0" w:line="229" w:lineRule="exact"/>
        <w:rPr>
          <w:sz w:val="20"/>
          <w:szCs w:val="20"/>
          <w:color w:val="auto"/>
        </w:rPr>
      </w:pPr>
    </w:p>
    <w:p>
      <w:pPr>
        <w:ind w:left="700" w:right="100"/>
        <w:spacing w:after="0" w:line="264" w:lineRule="auto"/>
        <w:rPr>
          <w:sz w:val="20"/>
          <w:szCs w:val="20"/>
          <w:color w:val="auto"/>
        </w:rPr>
      </w:pPr>
      <w:r>
        <w:rPr>
          <w:rFonts w:ascii="Arial" w:cs="Arial" w:eastAsia="Arial" w:hAnsi="Arial"/>
          <w:sz w:val="18"/>
          <w:szCs w:val="18"/>
          <w:color w:val="auto"/>
        </w:rPr>
        <w:t>Bank deposits with original maturity dates of more than three months but less than one year are included in short-term deposits. Such short-term deposits bear interest at an average annual rate of approximately 2.78% in 2018. Bank deposits with maturity of more than one year are considered long-term.</w:t>
      </w:r>
    </w:p>
    <w:p>
      <w:pPr>
        <w:spacing w:after="0" w:line="177" w:lineRule="exact"/>
        <w:rPr>
          <w:sz w:val="20"/>
          <w:szCs w:val="20"/>
          <w:color w:val="auto"/>
        </w:rPr>
      </w:pPr>
    </w:p>
    <w:p>
      <w:pPr>
        <w:ind w:left="660" w:hanging="301"/>
        <w:spacing w:after="0"/>
        <w:tabs>
          <w:tab w:leader="none" w:pos="660" w:val="left"/>
        </w:tabs>
        <w:numPr>
          <w:ilvl w:val="0"/>
          <w:numId w:val="139"/>
        </w:numPr>
        <w:rPr>
          <w:rFonts w:ascii="Arial" w:cs="Arial" w:eastAsia="Arial" w:hAnsi="Arial"/>
          <w:sz w:val="18"/>
          <w:szCs w:val="18"/>
          <w:b w:val="1"/>
          <w:bCs w:val="1"/>
          <w:color w:val="auto"/>
        </w:rPr>
      </w:pPr>
      <w:r>
        <w:rPr>
          <w:rFonts w:ascii="Arial" w:cs="Arial" w:eastAsia="Arial" w:hAnsi="Arial"/>
          <w:sz w:val="18"/>
          <w:szCs w:val="18"/>
          <w:b w:val="1"/>
          <w:bCs w:val="1"/>
          <w:color w:val="auto"/>
        </w:rPr>
        <w:t>Marketable securities</w:t>
      </w:r>
    </w:p>
    <w:p>
      <w:pPr>
        <w:spacing w:after="0" w:line="229" w:lineRule="exact"/>
        <w:rPr>
          <w:sz w:val="20"/>
          <w:szCs w:val="20"/>
          <w:color w:val="auto"/>
        </w:rPr>
      </w:pPr>
    </w:p>
    <w:p>
      <w:pPr>
        <w:ind w:left="700" w:right="80"/>
        <w:spacing w:after="0" w:line="312" w:lineRule="auto"/>
        <w:rPr>
          <w:sz w:val="20"/>
          <w:szCs w:val="20"/>
          <w:color w:val="auto"/>
        </w:rPr>
      </w:pPr>
      <w:r>
        <w:rPr>
          <w:rFonts w:ascii="Arial" w:cs="Arial" w:eastAsia="Arial" w:hAnsi="Arial"/>
          <w:sz w:val="16"/>
          <w:szCs w:val="16"/>
          <w:color w:val="auto"/>
        </w:rPr>
        <w:t>Marketable securities consist of debt securities. The Company elected the fair value option to measure and recognize its investments in debt securities in accordance with ASC 825, Financial Instruments. Changes in fair value, realized gains and losses on sales of marketable securities, as well as premium or discount amortization, net of taxes (if applicable), are reflected in the statements of operation as finance expense (income), net.</w:t>
      </w:r>
    </w:p>
    <w:p>
      <w:pPr>
        <w:spacing w:after="0" w:line="331" w:lineRule="exact"/>
        <w:rPr>
          <w:sz w:val="20"/>
          <w:szCs w:val="20"/>
          <w:color w:val="auto"/>
        </w:rPr>
      </w:pPr>
    </w:p>
    <w:p>
      <w:pPr>
        <w:jc w:val="center"/>
        <w:ind w:right="-59"/>
        <w:spacing w:after="0"/>
        <w:rPr>
          <w:sz w:val="20"/>
          <w:szCs w:val="20"/>
          <w:color w:val="auto"/>
        </w:rPr>
      </w:pPr>
      <w:r>
        <w:rPr>
          <w:rFonts w:ascii="Arial" w:cs="Arial" w:eastAsia="Arial" w:hAnsi="Arial"/>
          <w:sz w:val="14"/>
          <w:szCs w:val="14"/>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37" w:right="299" w:bottom="1440" w:gutter="0" w:footer="0" w:header="0"/>
        </w:sectPr>
      </w:pPr>
    </w:p>
    <w:bookmarkStart w:id="182" w:name="page183"/>
    <w:bookmarkEnd w:id="182"/>
    <w:p>
      <w:pPr>
        <w:ind w:left="4520"/>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g.</w:t>
      </w:r>
      <w:r>
        <w:rPr>
          <w:sz w:val="20"/>
          <w:szCs w:val="20"/>
          <w:color w:val="auto"/>
        </w:rPr>
        <w:tab/>
      </w:r>
      <w:r>
        <w:rPr>
          <w:rFonts w:ascii="Arial" w:cs="Arial" w:eastAsia="Arial" w:hAnsi="Arial"/>
          <w:sz w:val="16"/>
          <w:szCs w:val="16"/>
          <w:b w:val="1"/>
          <w:bCs w:val="1"/>
          <w:color w:val="auto"/>
        </w:rPr>
        <w:t>Marketable securities</w:t>
      </w:r>
    </w:p>
    <w:p>
      <w:pPr>
        <w:spacing w:after="0" w:line="229" w:lineRule="exact"/>
        <w:rPr>
          <w:sz w:val="20"/>
          <w:szCs w:val="20"/>
          <w:color w:val="auto"/>
        </w:rPr>
      </w:pPr>
    </w:p>
    <w:p>
      <w:pPr>
        <w:ind w:left="700" w:right="40"/>
        <w:spacing w:after="0" w:line="264" w:lineRule="auto"/>
        <w:rPr>
          <w:sz w:val="20"/>
          <w:szCs w:val="20"/>
          <w:color w:val="auto"/>
        </w:rPr>
      </w:pPr>
      <w:r>
        <w:rPr>
          <w:rFonts w:ascii="Arial" w:cs="Arial" w:eastAsia="Arial" w:hAnsi="Arial"/>
          <w:sz w:val="18"/>
          <w:szCs w:val="18"/>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therefore the changes in the fair value are included in financial expense (income), net.</w:t>
      </w:r>
    </w:p>
    <w:p>
      <w:pPr>
        <w:spacing w:after="0" w:line="181" w:lineRule="exact"/>
        <w:rPr>
          <w:sz w:val="20"/>
          <w:szCs w:val="20"/>
          <w:color w:val="auto"/>
        </w:rPr>
      </w:pPr>
    </w:p>
    <w:p>
      <w:pPr>
        <w:ind w:left="700" w:right="340"/>
        <w:spacing w:after="0" w:line="277" w:lineRule="auto"/>
        <w:rPr>
          <w:sz w:val="20"/>
          <w:szCs w:val="20"/>
          <w:color w:val="auto"/>
        </w:rPr>
      </w:pPr>
      <w:r>
        <w:rPr>
          <w:rFonts w:ascii="Arial" w:cs="Arial" w:eastAsia="Arial" w:hAnsi="Arial"/>
          <w:sz w:val="18"/>
          <w:szCs w:val="18"/>
          <w:color w:val="auto"/>
        </w:rPr>
        <w:t>The currency hedged items are denominated in New Israeli Shekel (NIS). The counterparties to the derivatives are major banks in Israel. As of December 31, 2018, the total hedged amount was NIS 8.6 million.</w:t>
      </w:r>
    </w:p>
    <w:p>
      <w:pPr>
        <w:spacing w:after="0" w:line="170" w:lineRule="exact"/>
        <w:rPr>
          <w:sz w:val="20"/>
          <w:szCs w:val="20"/>
          <w:color w:val="auto"/>
        </w:rPr>
      </w:pPr>
    </w:p>
    <w:p>
      <w:pPr>
        <w:ind w:left="700" w:right="20"/>
        <w:spacing w:after="0" w:line="277" w:lineRule="auto"/>
        <w:rPr>
          <w:sz w:val="20"/>
          <w:szCs w:val="20"/>
          <w:color w:val="auto"/>
        </w:rPr>
      </w:pPr>
      <w:r>
        <w:rPr>
          <w:rFonts w:ascii="Arial" w:cs="Arial" w:eastAsia="Arial" w:hAnsi="Arial"/>
          <w:sz w:val="18"/>
          <w:szCs w:val="18"/>
          <w:color w:val="auto"/>
        </w:rPr>
        <w:t>As of December 31, 2018, the Company has $350 on the Company’s bank account that is restricted in order to secure the hedging transactions. This amount is presented among Restricted long term deposits.</w:t>
      </w:r>
    </w:p>
    <w:p>
      <w:pPr>
        <w:spacing w:after="0" w:line="166" w:lineRule="exact"/>
        <w:rPr>
          <w:sz w:val="20"/>
          <w:szCs w:val="20"/>
          <w:color w:val="auto"/>
        </w:rPr>
      </w:pPr>
    </w:p>
    <w:p>
      <w:pPr>
        <w:ind w:left="660" w:hanging="301"/>
        <w:spacing w:after="0"/>
        <w:tabs>
          <w:tab w:leader="none" w:pos="660" w:val="left"/>
        </w:tabs>
        <w:numPr>
          <w:ilvl w:val="0"/>
          <w:numId w:val="140"/>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29"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40"/>
        </w:numPr>
        <w:rPr>
          <w:rFonts w:ascii="Arial" w:cs="Arial" w:eastAsia="Arial" w:hAnsi="Arial"/>
          <w:sz w:val="18"/>
          <w:szCs w:val="18"/>
          <w:color w:val="auto"/>
        </w:rPr>
      </w:pPr>
      <w:r>
        <w:rPr>
          <w:rFonts w:ascii="Arial" w:cs="Arial" w:eastAsia="Arial" w:hAnsi="Arial"/>
          <w:sz w:val="18"/>
          <w:szCs w:val="18"/>
          <w:color w:val="auto"/>
        </w:rPr>
        <w:t>Property and equipment are stated at cost, net of accumulated depreciation and amortization.</w:t>
      </w:r>
    </w:p>
    <w:p>
      <w:pPr>
        <w:spacing w:after="0" w:line="225" w:lineRule="exact"/>
        <w:rPr>
          <w:rFonts w:ascii="Arial" w:cs="Arial" w:eastAsia="Arial" w:hAnsi="Arial"/>
          <w:sz w:val="18"/>
          <w:szCs w:val="18"/>
          <w:color w:val="auto"/>
        </w:rPr>
      </w:pPr>
    </w:p>
    <w:p>
      <w:pPr>
        <w:ind w:left="700" w:right="860" w:hanging="17"/>
        <w:spacing w:after="0" w:line="498" w:lineRule="auto"/>
        <w:tabs>
          <w:tab w:leader="none" w:pos="1039" w:val="left"/>
        </w:tabs>
        <w:numPr>
          <w:ilvl w:val="1"/>
          <w:numId w:val="140"/>
        </w:numPr>
        <w:rPr>
          <w:rFonts w:ascii="Arial" w:cs="Arial" w:eastAsia="Arial" w:hAnsi="Arial"/>
          <w:sz w:val="18"/>
          <w:szCs w:val="18"/>
          <w:color w:val="auto"/>
        </w:rPr>
      </w:pPr>
      <w:r>
        <w:rPr>
          <w:rFonts w:ascii="Arial" w:cs="Arial" w:eastAsia="Arial" w:hAnsi="Arial"/>
          <w:sz w:val="18"/>
          <w:szCs w:val="18"/>
          <w:color w:val="auto"/>
        </w:rPr>
        <w:t>The Company’s property and equipment are depreciated utilizing the straight-line method on the basis of their estimated useful life. Annual rates of depreciation are as follows:</w:t>
      </w:r>
    </w:p>
    <w:p>
      <w:pPr>
        <w:spacing w:after="0" w:line="1" w:lineRule="exact"/>
        <w:rPr>
          <w:sz w:val="20"/>
          <w:szCs w:val="20"/>
          <w:color w:val="auto"/>
        </w:rPr>
      </w:pPr>
    </w:p>
    <w:tbl>
      <w:tblPr>
        <w:tblLayout w:type="fixed"/>
        <w:tblInd w:w="172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p>
        </w:tc>
        <w:tc>
          <w:tcPr>
            <w:tcW w:w="3980" w:type="dxa"/>
            <w:vAlign w:val="bottom"/>
            <w:tcBorders>
              <w:bottom w:val="single" w:sz="8" w:color="auto"/>
            </w:tcBorders>
          </w:tcPr>
          <w:p>
            <w:pPr>
              <w:jc w:val="right"/>
              <w:ind w:right="1870"/>
              <w:spacing w:after="0"/>
              <w:rPr>
                <w:sz w:val="20"/>
                <w:szCs w:val="20"/>
                <w:color w:val="auto"/>
              </w:rPr>
            </w:pPr>
            <w:r>
              <w:rPr>
                <w:rFonts w:ascii="Arial" w:cs="Arial" w:eastAsia="Arial" w:hAnsi="Arial"/>
                <w:sz w:val="18"/>
                <w:szCs w:val="18"/>
                <w:b w:val="1"/>
                <w:bCs w:val="1"/>
                <w:color w:val="auto"/>
              </w:rPr>
              <w:t>%</w:t>
            </w: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Laboratory equipment</w:t>
            </w:r>
          </w:p>
        </w:tc>
        <w:tc>
          <w:tcPr>
            <w:tcW w:w="3980" w:type="dxa"/>
            <w:vAlign w:val="bottom"/>
            <w:shd w:val="clear" w:color="auto" w:fill="CCEEFF"/>
          </w:tcPr>
          <w:p>
            <w:pPr>
              <w:jc w:val="right"/>
              <w:ind w:right="1010"/>
              <w:spacing w:after="0"/>
              <w:rPr>
                <w:sz w:val="20"/>
                <w:szCs w:val="20"/>
                <w:color w:val="auto"/>
              </w:rPr>
            </w:pPr>
            <w:r>
              <w:rPr>
                <w:rFonts w:ascii="Arial" w:cs="Arial" w:eastAsia="Arial" w:hAnsi="Arial"/>
                <w:sz w:val="18"/>
                <w:szCs w:val="18"/>
                <w:color w:val="auto"/>
              </w:rPr>
              <w:t>10 – 33 (mainly 15 – 25)</w:t>
            </w:r>
          </w:p>
        </w:tc>
      </w:tr>
      <w:tr>
        <w:trPr>
          <w:trHeight w:val="216"/>
        </w:trPr>
        <w:tc>
          <w:tcPr>
            <w:tcW w:w="2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Office equipment and furniture</w:t>
            </w:r>
          </w:p>
        </w:tc>
        <w:tc>
          <w:tcPr>
            <w:tcW w:w="3980" w:type="dxa"/>
            <w:vAlign w:val="bottom"/>
          </w:tcPr>
          <w:p>
            <w:pPr>
              <w:jc w:val="center"/>
              <w:spacing w:after="0"/>
              <w:rPr>
                <w:sz w:val="20"/>
                <w:szCs w:val="20"/>
                <w:color w:val="auto"/>
              </w:rPr>
            </w:pPr>
            <w:r>
              <w:rPr>
                <w:rFonts w:ascii="Arial" w:cs="Arial" w:eastAsia="Arial" w:hAnsi="Arial"/>
                <w:sz w:val="18"/>
                <w:szCs w:val="18"/>
                <w:color w:val="auto"/>
                <w:w w:val="91"/>
              </w:rPr>
              <w:t>7 – 15</w:t>
            </w:r>
          </w:p>
        </w:tc>
      </w:tr>
      <w:tr>
        <w:trPr>
          <w:trHeight w:val="216"/>
        </w:trPr>
        <w:tc>
          <w:tcPr>
            <w:tcW w:w="2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Computers and related equipment</w:t>
            </w:r>
          </w:p>
        </w:tc>
        <w:tc>
          <w:tcPr>
            <w:tcW w:w="3980" w:type="dxa"/>
            <w:vAlign w:val="bottom"/>
            <w:shd w:val="clear" w:color="auto" w:fill="CCEEFF"/>
          </w:tcPr>
          <w:p>
            <w:pPr>
              <w:jc w:val="right"/>
              <w:ind w:right="1810"/>
              <w:spacing w:after="0"/>
              <w:rPr>
                <w:sz w:val="20"/>
                <w:szCs w:val="20"/>
                <w:color w:val="auto"/>
              </w:rPr>
            </w:pPr>
            <w:r>
              <w:rPr>
                <w:rFonts w:ascii="Arial" w:cs="Arial" w:eastAsia="Arial" w:hAnsi="Arial"/>
                <w:sz w:val="18"/>
                <w:szCs w:val="18"/>
                <w:color w:val="auto"/>
              </w:rPr>
              <w:t>33</w:t>
            </w:r>
          </w:p>
        </w:tc>
      </w:tr>
    </w:tbl>
    <w:p>
      <w:pPr>
        <w:spacing w:after="0" w:line="202" w:lineRule="exact"/>
        <w:rPr>
          <w:sz w:val="20"/>
          <w:szCs w:val="20"/>
          <w:color w:val="auto"/>
        </w:rPr>
      </w:pPr>
    </w:p>
    <w:p>
      <w:pPr>
        <w:ind w:left="700" w:right="160"/>
        <w:spacing w:after="0" w:line="277" w:lineRule="auto"/>
        <w:rPr>
          <w:sz w:val="20"/>
          <w:szCs w:val="20"/>
          <w:color w:val="auto"/>
        </w:rPr>
      </w:pPr>
      <w:r>
        <w:rPr>
          <w:rFonts w:ascii="Arial" w:cs="Arial" w:eastAsia="Arial" w:hAnsi="Arial"/>
          <w:sz w:val="18"/>
          <w:szCs w:val="18"/>
          <w:color w:val="auto"/>
        </w:rPr>
        <w:t>Leasehold improvements are amortized utilizing the straight-line method over the shorter of the expected lease term or the estimated useful life of the improvements.</w:t>
      </w:r>
    </w:p>
    <w:p>
      <w:pPr>
        <w:spacing w:after="0" w:line="166" w:lineRule="exact"/>
        <w:rPr>
          <w:sz w:val="20"/>
          <w:szCs w:val="20"/>
          <w:color w:val="auto"/>
        </w:rPr>
      </w:pPr>
    </w:p>
    <w:p>
      <w:pPr>
        <w:ind w:left="660" w:hanging="301"/>
        <w:spacing w:after="0"/>
        <w:tabs>
          <w:tab w:leader="none" w:pos="660" w:val="left"/>
        </w:tabs>
        <w:numPr>
          <w:ilvl w:val="0"/>
          <w:numId w:val="141"/>
        </w:numPr>
        <w:rPr>
          <w:rFonts w:ascii="Arial" w:cs="Arial" w:eastAsia="Arial" w:hAnsi="Arial"/>
          <w:sz w:val="18"/>
          <w:szCs w:val="18"/>
          <w:b w:val="1"/>
          <w:bCs w:val="1"/>
          <w:color w:val="auto"/>
        </w:rPr>
      </w:pPr>
      <w:r>
        <w:rPr>
          <w:rFonts w:ascii="Arial" w:cs="Arial" w:eastAsia="Arial" w:hAnsi="Arial"/>
          <w:sz w:val="18"/>
          <w:szCs w:val="18"/>
          <w:b w:val="1"/>
          <w:bCs w:val="1"/>
          <w:color w:val="auto"/>
        </w:rPr>
        <w:t>Impairment of long-lived assets</w:t>
      </w:r>
    </w:p>
    <w:p>
      <w:pPr>
        <w:spacing w:after="0" w:line="229" w:lineRule="exact"/>
        <w:rPr>
          <w:sz w:val="20"/>
          <w:szCs w:val="20"/>
          <w:color w:val="auto"/>
        </w:rPr>
      </w:pPr>
    </w:p>
    <w:p>
      <w:pPr>
        <w:jc w:val="both"/>
        <w:ind w:left="700"/>
        <w:spacing w:after="0" w:line="264" w:lineRule="auto"/>
        <w:rPr>
          <w:sz w:val="20"/>
          <w:szCs w:val="20"/>
          <w:color w:val="auto"/>
        </w:rPr>
      </w:pPr>
      <w:r>
        <w:rPr>
          <w:rFonts w:ascii="Arial" w:cs="Arial" w:eastAsia="Arial" w:hAnsi="Arial"/>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181" w:lineRule="exact"/>
        <w:rPr>
          <w:sz w:val="20"/>
          <w:szCs w:val="20"/>
          <w:color w:val="auto"/>
        </w:rPr>
      </w:pPr>
    </w:p>
    <w:p>
      <w:pPr>
        <w:ind w:left="700"/>
        <w:spacing w:after="0"/>
        <w:rPr>
          <w:sz w:val="20"/>
          <w:szCs w:val="20"/>
          <w:color w:val="auto"/>
        </w:rPr>
      </w:pPr>
      <w:r>
        <w:rPr>
          <w:rFonts w:ascii="Arial" w:cs="Arial" w:eastAsia="Arial" w:hAnsi="Arial"/>
          <w:sz w:val="18"/>
          <w:szCs w:val="18"/>
          <w:color w:val="auto"/>
        </w:rPr>
        <w:t>For the three years ended December 31, 2018, the Company did not recognize an impairment loss for its long-lived assets.</w:t>
      </w:r>
    </w:p>
    <w:p>
      <w:pPr>
        <w:spacing w:after="0" w:line="221" w:lineRule="exact"/>
        <w:rPr>
          <w:sz w:val="20"/>
          <w:szCs w:val="20"/>
          <w:color w:val="auto"/>
        </w:rPr>
      </w:pPr>
    </w:p>
    <w:p>
      <w:pPr>
        <w:ind w:left="660" w:hanging="301"/>
        <w:spacing w:after="0"/>
        <w:tabs>
          <w:tab w:leader="none" w:pos="660" w:val="left"/>
        </w:tabs>
        <w:numPr>
          <w:ilvl w:val="0"/>
          <w:numId w:val="142"/>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229" w:lineRule="exact"/>
        <w:rPr>
          <w:sz w:val="20"/>
          <w:szCs w:val="20"/>
          <w:color w:val="auto"/>
        </w:rPr>
      </w:pPr>
    </w:p>
    <w:p>
      <w:pPr>
        <w:ind w:left="700" w:right="300"/>
        <w:spacing w:after="0" w:line="277" w:lineRule="auto"/>
        <w:rPr>
          <w:sz w:val="20"/>
          <w:szCs w:val="20"/>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w:t>
      </w:r>
    </w:p>
    <w:p>
      <w:pPr>
        <w:spacing w:after="0" w:line="170" w:lineRule="exact"/>
        <w:rPr>
          <w:sz w:val="20"/>
          <w:szCs w:val="20"/>
          <w:color w:val="auto"/>
        </w:rPr>
      </w:pPr>
    </w:p>
    <w:p>
      <w:pPr>
        <w:ind w:left="700" w:right="80"/>
        <w:spacing w:after="0" w:line="277" w:lineRule="auto"/>
        <w:rPr>
          <w:sz w:val="20"/>
          <w:szCs w:val="20"/>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70" w:lineRule="exact"/>
        <w:rPr>
          <w:sz w:val="20"/>
          <w:szCs w:val="20"/>
          <w:color w:val="auto"/>
        </w:rPr>
      </w:pPr>
    </w:p>
    <w:p>
      <w:pPr>
        <w:ind w:left="700" w:right="120"/>
        <w:spacing w:after="0" w:line="279" w:lineRule="auto"/>
        <w:rPr>
          <w:sz w:val="20"/>
          <w:szCs w:val="20"/>
          <w:color w:val="auto"/>
        </w:rPr>
      </w:pPr>
      <w:r>
        <w:rPr>
          <w:rFonts w:ascii="Arial" w:cs="Arial" w:eastAsia="Arial" w:hAnsi="Arial"/>
          <w:sz w:val="17"/>
          <w:szCs w:val="17"/>
          <w:color w:val="auto"/>
        </w:rPr>
        <w:t>When options are granted as consideration for services provided by consultants and other non-employees, the grant is accounted for based on the fair value of the consideration received or the fair value of the options issued, whichever is more reliably measurable. The fair value of the options granted is measured on a final basis at the end of the related service period and is recognized over the related service period using the straight-line method. The company has elected to recognize forfeitures as they occur.</w:t>
      </w:r>
    </w:p>
    <w:p>
      <w:pPr>
        <w:spacing w:after="0" w:line="356" w:lineRule="exact"/>
        <w:rPr>
          <w:sz w:val="20"/>
          <w:szCs w:val="20"/>
          <w:color w:val="auto"/>
        </w:rPr>
      </w:pPr>
    </w:p>
    <w:p>
      <w:pPr>
        <w:jc w:val="center"/>
        <w:ind w:right="-59"/>
        <w:spacing w:after="0"/>
        <w:rPr>
          <w:sz w:val="20"/>
          <w:szCs w:val="20"/>
          <w:color w:val="auto"/>
        </w:rPr>
      </w:pPr>
      <w:r>
        <w:rPr>
          <w:rFonts w:ascii="Arial" w:cs="Arial" w:eastAsia="Arial" w:hAnsi="Arial"/>
          <w:sz w:val="14"/>
          <w:szCs w:val="14"/>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38" w:right="299" w:bottom="1440" w:gutter="0" w:footer="0" w:header="0"/>
        </w:sectPr>
      </w:pPr>
    </w:p>
    <w:bookmarkStart w:id="183" w:name="page184"/>
    <w:bookmarkEnd w:id="183"/>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k.</w:t>
      </w:r>
      <w:r>
        <w:rPr>
          <w:sz w:val="20"/>
          <w:szCs w:val="20"/>
          <w:color w:val="auto"/>
        </w:rPr>
        <w:tab/>
      </w:r>
      <w:r>
        <w:rPr>
          <w:rFonts w:ascii="Arial" w:cs="Arial" w:eastAsia="Arial" w:hAnsi="Arial"/>
          <w:sz w:val="15"/>
          <w:szCs w:val="15"/>
          <w:b w:val="1"/>
          <w:bCs w:val="1"/>
          <w:color w:val="auto"/>
        </w:rPr>
        <w:t>Research and development expenses</w:t>
      </w:r>
    </w:p>
    <w:p>
      <w:pPr>
        <w:spacing w:after="0" w:line="229" w:lineRule="exact"/>
        <w:rPr>
          <w:sz w:val="20"/>
          <w:szCs w:val="20"/>
          <w:color w:val="auto"/>
        </w:rPr>
      </w:pPr>
    </w:p>
    <w:p>
      <w:pPr>
        <w:jc w:val="both"/>
        <w:ind w:left="700" w:right="160"/>
        <w:spacing w:after="0" w:line="264" w:lineRule="auto"/>
        <w:rPr>
          <w:sz w:val="20"/>
          <w:szCs w:val="20"/>
          <w:color w:val="auto"/>
        </w:rPr>
      </w:pPr>
      <w:r>
        <w:rPr>
          <w:rFonts w:ascii="Arial" w:cs="Arial" w:eastAsia="Arial" w:hAnsi="Arial"/>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81" w:lineRule="exact"/>
        <w:rPr>
          <w:sz w:val="20"/>
          <w:szCs w:val="20"/>
          <w:color w:val="auto"/>
        </w:rPr>
      </w:pPr>
    </w:p>
    <w:p>
      <w:pPr>
        <w:ind w:left="700"/>
        <w:spacing w:after="0" w:line="277" w:lineRule="auto"/>
        <w:rPr>
          <w:sz w:val="20"/>
          <w:szCs w:val="20"/>
          <w:color w:val="auto"/>
        </w:rPr>
      </w:pPr>
      <w:r>
        <w:rPr>
          <w:rFonts w:ascii="Arial" w:cs="Arial" w:eastAsia="Arial" w:hAnsi="Arial"/>
          <w:sz w:val="18"/>
          <w:szCs w:val="18"/>
          <w:color w:val="auto"/>
        </w:rPr>
        <w:t>Acquisitions of in-process research and development product candidate, which are not part of business combination, are recognized as an expense as research and development expenses as incurred.</w:t>
      </w:r>
    </w:p>
    <w:p>
      <w:pPr>
        <w:spacing w:after="0" w:line="170" w:lineRule="exact"/>
        <w:rPr>
          <w:sz w:val="20"/>
          <w:szCs w:val="20"/>
          <w:color w:val="auto"/>
        </w:rPr>
      </w:pPr>
    </w:p>
    <w:p>
      <w:pPr>
        <w:ind w:left="700"/>
        <w:spacing w:after="0" w:line="259" w:lineRule="auto"/>
        <w:rPr>
          <w:sz w:val="20"/>
          <w:szCs w:val="20"/>
          <w:color w:val="auto"/>
        </w:rPr>
      </w:pPr>
      <w:r>
        <w:rPr>
          <w:rFonts w:ascii="Arial" w:cs="Arial" w:eastAsia="Arial" w:hAnsi="Arial"/>
          <w:sz w:val="18"/>
          <w:szCs w:val="18"/>
          <w:color w:val="auto"/>
        </w:rPr>
        <w:t>Grants received from Israel Innovation Authority (hereafter — “IIA”),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6a(1).</w:t>
      </w:r>
    </w:p>
    <w:p>
      <w:pPr>
        <w:spacing w:after="0" w:line="187" w:lineRule="exact"/>
        <w:rPr>
          <w:sz w:val="20"/>
          <w:szCs w:val="20"/>
          <w:color w:val="auto"/>
        </w:rPr>
      </w:pPr>
    </w:p>
    <w:p>
      <w:pPr>
        <w:jc w:val="both"/>
        <w:ind w:left="700" w:right="80"/>
        <w:spacing w:after="0" w:line="312" w:lineRule="auto"/>
        <w:rPr>
          <w:sz w:val="20"/>
          <w:szCs w:val="20"/>
          <w:color w:val="auto"/>
        </w:rPr>
      </w:pPr>
      <w:r>
        <w:rPr>
          <w:rFonts w:ascii="Arial" w:cs="Arial" w:eastAsia="Arial" w:hAnsi="Arial"/>
          <w:sz w:val="16"/>
          <w:szCs w:val="16"/>
          <w:color w:val="auto"/>
        </w:rPr>
        <w:t>Clinical trial costs are a significant component of research and development expenses and include costs associated with third-party contractors. The Company out 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43" w:lineRule="exact"/>
        <w:rPr>
          <w:sz w:val="20"/>
          <w:szCs w:val="20"/>
          <w:color w:val="auto"/>
        </w:rPr>
      </w:pPr>
    </w:p>
    <w:p>
      <w:pPr>
        <w:ind w:left="660" w:hanging="301"/>
        <w:spacing w:after="0"/>
        <w:tabs>
          <w:tab w:leader="none" w:pos="660" w:val="left"/>
        </w:tabs>
        <w:numPr>
          <w:ilvl w:val="0"/>
          <w:numId w:val="143"/>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29" w:lineRule="exact"/>
        <w:rPr>
          <w:sz w:val="20"/>
          <w:szCs w:val="20"/>
          <w:color w:val="auto"/>
        </w:rPr>
      </w:pPr>
    </w:p>
    <w:p>
      <w:pPr>
        <w:ind w:left="700" w:right="60"/>
        <w:spacing w:after="0" w:line="273" w:lineRule="auto"/>
        <w:rPr>
          <w:sz w:val="20"/>
          <w:szCs w:val="20"/>
          <w:color w:val="auto"/>
        </w:rPr>
      </w:pPr>
      <w:r>
        <w:rPr>
          <w:rFonts w:ascii="Arial" w:cs="Arial" w:eastAsia="Arial" w:hAnsi="Arial"/>
          <w:sz w:val="17"/>
          <w:szCs w:val="17"/>
          <w:color w:val="auto"/>
        </w:rPr>
        <w:t>On January 1, 2018 the Company adopted ASU No. 2014-09, Revenue from Contracts with Customers (Topic 606). According to the standard, an entity recognizes revenue when its customer obtains control of promised goods or services, in an amount that reflects the consideration that the entity expects to receive in exchange for those goods or services. To determine revenue recognition for arrangements that an entity determines are within the scope of Topic 606, the entity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performance obligation is satisfied.</w:t>
      </w:r>
    </w:p>
    <w:p>
      <w:pPr>
        <w:spacing w:after="0" w:line="178" w:lineRule="exact"/>
        <w:rPr>
          <w:sz w:val="20"/>
          <w:szCs w:val="20"/>
          <w:color w:val="auto"/>
        </w:rPr>
      </w:pPr>
    </w:p>
    <w:p>
      <w:pPr>
        <w:ind w:left="700" w:right="80"/>
        <w:spacing w:after="0" w:line="297" w:lineRule="auto"/>
        <w:rPr>
          <w:sz w:val="20"/>
          <w:szCs w:val="20"/>
          <w:color w:val="auto"/>
        </w:rPr>
      </w:pPr>
      <w:r>
        <w:rPr>
          <w:rFonts w:ascii="Arial" w:cs="Arial" w:eastAsia="Arial" w:hAnsi="Arial"/>
          <w:sz w:val="16"/>
          <w:szCs w:val="16"/>
          <w:color w:val="auto"/>
        </w:rPr>
        <w:t>An entity only applies the five-step model to contracts when it is probable that the entity will collect the consideration it is entitled to in exchange for the goods or services it transfers to the customer, after considering any price concession expected to be provided to the customer, when applicable. At contract inception, the entity assesses the goods or services promised within each contract and determines those that are performance obligations, and assesses whether each promised good or service is distinct. The entity then recognizes as revenue the amount of the transaction price that is allocated to the respective performance obligation when (or as) the performance obligation is satisfied.</w:t>
      </w:r>
    </w:p>
    <w:p>
      <w:pPr>
        <w:spacing w:after="0" w:line="158" w:lineRule="exact"/>
        <w:rPr>
          <w:sz w:val="20"/>
          <w:szCs w:val="20"/>
          <w:color w:val="auto"/>
        </w:rPr>
      </w:pPr>
    </w:p>
    <w:p>
      <w:pPr>
        <w:jc w:val="both"/>
        <w:ind w:left="700" w:right="400"/>
        <w:spacing w:after="0" w:line="259" w:lineRule="auto"/>
        <w:rPr>
          <w:sz w:val="20"/>
          <w:szCs w:val="20"/>
          <w:color w:val="auto"/>
        </w:rPr>
      </w:pPr>
      <w:r>
        <w:rPr>
          <w:rFonts w:ascii="Arial" w:cs="Arial" w:eastAsia="Arial" w:hAnsi="Arial"/>
          <w:sz w:val="18"/>
          <w:szCs w:val="18"/>
          <w:color w:val="auto"/>
        </w:rPr>
        <w:t>The adoption of the new standards did not change the Company’s revenue recognition as the majority of the Company’s revenues in 2018 were royalties from rights for use and commercialization of a product for skin protection granted to a third party. The Company does not have future performance obligations under the license arrangements. The revenues are recorded based on the sales that occurred during the relevant period provided by the licensee.</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F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184" w:name="page185"/>
    <w:bookmarkEnd w:id="184"/>
    <w:p>
      <w:pPr>
        <w:jc w:val="center"/>
        <w:ind w:right="-7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660" w:hanging="301"/>
        <w:spacing w:after="0"/>
        <w:tabs>
          <w:tab w:leader="none" w:pos="66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44"/>
        </w:numPr>
        <w:rPr>
          <w:rFonts w:ascii="Arial" w:cs="Arial" w:eastAsia="Arial" w:hAnsi="Arial"/>
          <w:sz w:val="18"/>
          <w:szCs w:val="18"/>
          <w:color w:val="auto"/>
        </w:rPr>
      </w:pPr>
      <w:r>
        <w:rPr>
          <w:rFonts w:ascii="Arial" w:cs="Arial" w:eastAsia="Arial" w:hAnsi="Arial"/>
          <w:sz w:val="18"/>
          <w:szCs w:val="18"/>
          <w:color w:val="auto"/>
        </w:rPr>
        <w:t>Deferred taxes</w:t>
      </w:r>
    </w:p>
    <w:p>
      <w:pPr>
        <w:spacing w:after="0" w:line="225" w:lineRule="exact"/>
        <w:rPr>
          <w:rFonts w:ascii="Arial" w:cs="Arial" w:eastAsia="Arial" w:hAnsi="Arial"/>
          <w:sz w:val="18"/>
          <w:szCs w:val="18"/>
          <w:color w:val="auto"/>
        </w:rPr>
      </w:pPr>
    </w:p>
    <w:p>
      <w:pPr>
        <w:ind w:left="1040" w:right="20"/>
        <w:spacing w:after="0" w:line="302" w:lineRule="auto"/>
        <w:rPr>
          <w:rFonts w:ascii="Arial" w:cs="Arial" w:eastAsia="Arial" w:hAnsi="Arial"/>
          <w:sz w:val="18"/>
          <w:szCs w:val="18"/>
          <w:color w:val="auto"/>
        </w:rPr>
      </w:pPr>
      <w:r>
        <w:rPr>
          <w:rFonts w:ascii="Arial" w:cs="Arial" w:eastAsia="Arial" w:hAnsi="Arial"/>
          <w:sz w:val="16"/>
          <w:szCs w:val="16"/>
          <w:color w:val="auto"/>
        </w:rPr>
        <w:t>Income taxes are computed using the asset and liability method. Under the asset and liability method, deferred income tax assets and liabilities are determined based on the differences between the financial reporting and tax bases of assets and liabilities and are measured using the currently enacted tax rates and laws. A valuation allowance is recognized to the extent that it is more likely than not that the deferred taxes will not be realized in the foreseeable future. The Company has provided a full valuation allowance with respect to its deferred tax assets.</w:t>
      </w:r>
    </w:p>
    <w:p>
      <w:pPr>
        <w:spacing w:after="0" w:line="154" w:lineRule="exact"/>
        <w:rPr>
          <w:rFonts w:ascii="Arial" w:cs="Arial" w:eastAsia="Arial" w:hAnsi="Arial"/>
          <w:sz w:val="18"/>
          <w:szCs w:val="18"/>
          <w:color w:val="auto"/>
        </w:rPr>
      </w:pPr>
    </w:p>
    <w:p>
      <w:pPr>
        <w:ind w:left="1040" w:hanging="357"/>
        <w:spacing w:after="0"/>
        <w:tabs>
          <w:tab w:leader="none" w:pos="1040" w:val="left"/>
        </w:tabs>
        <w:numPr>
          <w:ilvl w:val="1"/>
          <w:numId w:val="144"/>
        </w:numPr>
        <w:rPr>
          <w:rFonts w:ascii="Arial" w:cs="Arial" w:eastAsia="Arial" w:hAnsi="Arial"/>
          <w:sz w:val="18"/>
          <w:szCs w:val="18"/>
          <w:color w:val="auto"/>
        </w:rPr>
      </w:pPr>
      <w:r>
        <w:rPr>
          <w:rFonts w:ascii="Arial" w:cs="Arial" w:eastAsia="Arial" w:hAnsi="Arial"/>
          <w:sz w:val="18"/>
          <w:szCs w:val="18"/>
          <w:color w:val="auto"/>
        </w:rPr>
        <w:t>Uncertainty in income taxes</w:t>
      </w:r>
    </w:p>
    <w:p>
      <w:pPr>
        <w:spacing w:after="0" w:line="225" w:lineRule="exact"/>
        <w:rPr>
          <w:rFonts w:ascii="Arial" w:cs="Arial" w:eastAsia="Arial" w:hAnsi="Arial"/>
          <w:sz w:val="18"/>
          <w:szCs w:val="18"/>
          <w:color w:val="auto"/>
        </w:rPr>
      </w:pPr>
    </w:p>
    <w:p>
      <w:pPr>
        <w:ind w:left="1040" w:right="180"/>
        <w:spacing w:after="0" w:line="259" w:lineRule="auto"/>
        <w:rPr>
          <w:rFonts w:ascii="Arial" w:cs="Arial" w:eastAsia="Arial" w:hAnsi="Arial"/>
          <w:sz w:val="18"/>
          <w:szCs w:val="18"/>
          <w:color w:val="auto"/>
        </w:rPr>
      </w:pPr>
      <w:r>
        <w:rPr>
          <w:rFonts w:ascii="Arial" w:cs="Arial" w:eastAsia="Arial" w:hAnsi="Arial"/>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82" w:lineRule="exact"/>
        <w:rPr>
          <w:rFonts w:ascii="Arial" w:cs="Arial" w:eastAsia="Arial" w:hAnsi="Arial"/>
          <w:sz w:val="18"/>
          <w:szCs w:val="18"/>
          <w:color w:val="auto"/>
        </w:rPr>
      </w:pPr>
    </w:p>
    <w:p>
      <w:pPr>
        <w:ind w:left="660" w:hanging="301"/>
        <w:spacing w:after="0"/>
        <w:tabs>
          <w:tab w:leader="none" w:pos="66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229" w:lineRule="exact"/>
        <w:rPr>
          <w:sz w:val="20"/>
          <w:szCs w:val="20"/>
          <w:color w:val="auto"/>
        </w:rPr>
      </w:pPr>
    </w:p>
    <w:p>
      <w:pPr>
        <w:ind w:left="700" w:right="140"/>
        <w:spacing w:after="0" w:line="276" w:lineRule="auto"/>
        <w:rPr>
          <w:sz w:val="20"/>
          <w:szCs w:val="20"/>
          <w:color w:val="auto"/>
        </w:rPr>
      </w:pPr>
      <w:r>
        <w:rPr>
          <w:rFonts w:ascii="Arial" w:cs="Arial" w:eastAsia="Arial" w:hAnsi="Arial"/>
          <w:sz w:val="17"/>
          <w:szCs w:val="17"/>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and RSUs, which are included under the treasury stock method when dilutive. The calculation of diluted loss per share does not include 349,740, 673,892 and 1,119,310 options and restricted shares for the years ended December 31, 2016, 2017 and 2018, respectively, because the effect would be anti-dilutive.</w:t>
      </w:r>
    </w:p>
    <w:p>
      <w:pPr>
        <w:spacing w:after="0" w:line="169"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o.</w:t>
      </w:r>
      <w:r>
        <w:rPr>
          <w:sz w:val="20"/>
          <w:szCs w:val="20"/>
          <w:color w:val="auto"/>
        </w:rPr>
        <w:tab/>
      </w:r>
      <w:r>
        <w:rPr>
          <w:rFonts w:ascii="Arial" w:cs="Arial" w:eastAsia="Arial" w:hAnsi="Arial"/>
          <w:sz w:val="16"/>
          <w:szCs w:val="16"/>
          <w:b w:val="1"/>
          <w:bCs w:val="1"/>
          <w:color w:val="auto"/>
        </w:rPr>
        <w:t>Fair value measurement</w:t>
      </w:r>
    </w:p>
    <w:p>
      <w:pPr>
        <w:spacing w:after="0" w:line="229" w:lineRule="exact"/>
        <w:rPr>
          <w:sz w:val="20"/>
          <w:szCs w:val="20"/>
          <w:color w:val="auto"/>
        </w:rPr>
      </w:pPr>
    </w:p>
    <w:p>
      <w:pPr>
        <w:ind w:left="700" w:right="80"/>
        <w:spacing w:after="0" w:line="259" w:lineRule="auto"/>
        <w:rPr>
          <w:sz w:val="20"/>
          <w:szCs w:val="20"/>
          <w:color w:val="auto"/>
        </w:rPr>
      </w:pPr>
      <w:r>
        <w:rPr>
          <w:rFonts w:ascii="Arial" w:cs="Arial" w:eastAsia="Arial" w:hAnsi="Arial"/>
          <w:sz w:val="18"/>
          <w:szCs w:val="18"/>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187" w:lineRule="exact"/>
        <w:rPr>
          <w:sz w:val="20"/>
          <w:szCs w:val="20"/>
          <w:color w:val="auto"/>
        </w:rPr>
      </w:pPr>
    </w:p>
    <w:p>
      <w:pPr>
        <w:ind w:left="700" w:right="200"/>
        <w:spacing w:after="0" w:line="277" w:lineRule="auto"/>
        <w:rPr>
          <w:sz w:val="20"/>
          <w:szCs w:val="20"/>
          <w:color w:val="auto"/>
        </w:rPr>
      </w:pPr>
      <w:r>
        <w:rPr>
          <w:rFonts w:ascii="Arial" w:cs="Arial" w:eastAsia="Arial" w:hAnsi="Arial"/>
          <w:sz w:val="18"/>
          <w:szCs w:val="18"/>
          <w:color w:val="auto"/>
        </w:rPr>
        <w:t>Level 1: Quoted prices (unadjusted) in active markets that are accessible at the measurement date for assets or liabilities. The fair value hierarchy gives the highest priority to Level 1 inputs.</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Level 2: Observable prices that are based on inputs not quoted on active markets, but corroborated by market data.</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Level 3: Unobservable inputs are used when little or no market data is available. The fair value hierarchy gives the lowest priority to Level 3 inputs.</w:t>
      </w:r>
    </w:p>
    <w:p>
      <w:pPr>
        <w:spacing w:after="0" w:line="200" w:lineRule="exact"/>
        <w:rPr>
          <w:sz w:val="20"/>
          <w:szCs w:val="20"/>
          <w:color w:val="auto"/>
        </w:rPr>
      </w:pPr>
    </w:p>
    <w:p>
      <w:pPr>
        <w:spacing w:after="0" w:line="233" w:lineRule="exact"/>
        <w:rPr>
          <w:sz w:val="20"/>
          <w:szCs w:val="20"/>
          <w:color w:val="auto"/>
        </w:rPr>
      </w:pPr>
    </w:p>
    <w:p>
      <w:pPr>
        <w:jc w:val="center"/>
        <w:ind w:right="-79"/>
        <w:spacing w:after="0"/>
        <w:rPr>
          <w:sz w:val="20"/>
          <w:szCs w:val="20"/>
          <w:color w:val="auto"/>
        </w:rPr>
      </w:pPr>
      <w:r>
        <w:rPr>
          <w:rFonts w:ascii="Arial" w:cs="Arial" w:eastAsia="Arial" w:hAnsi="Arial"/>
          <w:sz w:val="14"/>
          <w:szCs w:val="14"/>
          <w:color w:val="auto"/>
        </w:rPr>
        <w:t>F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37" w:right="299" w:bottom="1440" w:gutter="0" w:footer="0" w:header="0"/>
        </w:sectPr>
      </w:pPr>
    </w:p>
    <w:bookmarkStart w:id="185" w:name="page186"/>
    <w:bookmarkEnd w:id="185"/>
    <w:p>
      <w:pPr>
        <w:jc w:val="center"/>
        <w:ind w:right="-19"/>
        <w:spacing w:after="0"/>
        <w:rPr>
          <w:sz w:val="20"/>
          <w:szCs w:val="20"/>
          <w:color w:val="auto"/>
        </w:rPr>
      </w:pPr>
      <w:r>
        <w:rPr>
          <w:rFonts w:ascii="Arial" w:cs="Arial" w:eastAsia="Arial" w:hAnsi="Arial"/>
          <w:sz w:val="18"/>
          <w:szCs w:val="18"/>
          <w:b w:val="1"/>
          <w:bCs w:val="1"/>
          <w:color w:val="auto"/>
        </w:rPr>
        <w:t>SOL-GEL TECHOLOGIES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9" w:lineRule="exact"/>
        <w:rPr>
          <w:sz w:val="20"/>
          <w:szCs w:val="20"/>
          <w:color w:val="auto"/>
        </w:rPr>
      </w:pPr>
    </w:p>
    <w:p>
      <w:pPr>
        <w:ind w:left="700" w:right="880"/>
        <w:spacing w:after="0" w:line="308" w:lineRule="auto"/>
        <w:rPr>
          <w:sz w:val="20"/>
          <w:szCs w:val="20"/>
          <w:color w:val="auto"/>
        </w:rPr>
      </w:pPr>
      <w:r>
        <w:rPr>
          <w:rFonts w:ascii="Arial" w:cs="Arial" w:eastAsia="Arial" w:hAnsi="Arial"/>
          <w:sz w:val="17"/>
          <w:szCs w:val="17"/>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147" w:lineRule="exact"/>
        <w:rPr>
          <w:sz w:val="20"/>
          <w:szCs w:val="20"/>
          <w:color w:val="auto"/>
        </w:rPr>
      </w:pPr>
    </w:p>
    <w:p>
      <w:pPr>
        <w:ind w:left="700" w:right="460"/>
        <w:spacing w:after="0" w:line="277" w:lineRule="auto"/>
        <w:rPr>
          <w:sz w:val="20"/>
          <w:szCs w:val="20"/>
          <w:color w:val="auto"/>
        </w:rPr>
      </w:pPr>
      <w:r>
        <w:rPr>
          <w:rFonts w:ascii="Arial" w:cs="Arial" w:eastAsia="Arial" w:hAnsi="Arial"/>
          <w:sz w:val="18"/>
          <w:szCs w:val="18"/>
          <w:color w:val="auto"/>
        </w:rPr>
        <w:t>The carrying amount of the cash and cash equivalents, bank deposits, restricted cash, restricted long term deposits, accrued expenses and other liabilities approximates their fair value.</w:t>
      </w:r>
    </w:p>
    <w:p>
      <w:pPr>
        <w:spacing w:after="0" w:line="166"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p.</w:t>
      </w:r>
      <w:r>
        <w:rPr>
          <w:sz w:val="20"/>
          <w:szCs w:val="20"/>
          <w:color w:val="auto"/>
        </w:rPr>
        <w:tab/>
      </w:r>
      <w:r>
        <w:rPr>
          <w:rFonts w:ascii="Arial" w:cs="Arial" w:eastAsia="Arial" w:hAnsi="Arial"/>
          <w:sz w:val="16"/>
          <w:szCs w:val="16"/>
          <w:b w:val="1"/>
          <w:bCs w:val="1"/>
          <w:color w:val="auto"/>
        </w:rPr>
        <w:t>Concentration of credit risks</w:t>
      </w:r>
    </w:p>
    <w:p>
      <w:pPr>
        <w:spacing w:after="0" w:line="229" w:lineRule="exact"/>
        <w:rPr>
          <w:sz w:val="20"/>
          <w:szCs w:val="20"/>
          <w:color w:val="auto"/>
        </w:rPr>
      </w:pPr>
    </w:p>
    <w:p>
      <w:pPr>
        <w:ind w:left="700" w:right="120"/>
        <w:spacing w:after="0" w:line="279" w:lineRule="auto"/>
        <w:rPr>
          <w:sz w:val="20"/>
          <w:szCs w:val="20"/>
          <w:color w:val="auto"/>
        </w:rPr>
      </w:pPr>
      <w:r>
        <w:rPr>
          <w:rFonts w:ascii="Arial" w:cs="Arial" w:eastAsia="Arial" w:hAnsi="Arial"/>
          <w:sz w:val="17"/>
          <w:szCs w:val="17"/>
          <w:color w:val="auto"/>
        </w:rPr>
        <w:t>Financial instruments that potentially subject the Company to concentration of credit risk consist principally of cash and cash equivalents, bank deposits and marketable securities and certain receivables. The Company deposits cash and cash equivalents with highly rated financial institutions (Israeli banks). In addition, all marketable securities carry a high rating or are government insured. The Company has not experienced any material credit losses in these accounts and does not believe it is exposed to significant credit risk on these instruments.</w:t>
      </w:r>
    </w:p>
    <w:p>
      <w:pPr>
        <w:spacing w:after="0" w:line="167" w:lineRule="exact"/>
        <w:rPr>
          <w:sz w:val="20"/>
          <w:szCs w:val="20"/>
          <w:color w:val="auto"/>
        </w:rPr>
      </w:pPr>
    </w:p>
    <w:p>
      <w:pPr>
        <w:ind w:left="660" w:hanging="301"/>
        <w:spacing w:after="0"/>
        <w:tabs>
          <w:tab w:leader="none" w:pos="660" w:val="left"/>
        </w:tabs>
        <w:numPr>
          <w:ilvl w:val="0"/>
          <w:numId w:val="145"/>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225"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45"/>
        </w:numPr>
        <w:rPr>
          <w:rFonts w:ascii="Arial" w:cs="Arial" w:eastAsia="Arial" w:hAnsi="Arial"/>
          <w:sz w:val="18"/>
          <w:szCs w:val="18"/>
          <w:color w:val="auto"/>
        </w:rPr>
      </w:pPr>
      <w:r>
        <w:rPr>
          <w:rFonts w:ascii="Arial" w:cs="Arial" w:eastAsia="Arial" w:hAnsi="Arial"/>
          <w:sz w:val="18"/>
          <w:szCs w:val="18"/>
          <w:b w:val="1"/>
          <w:bCs w:val="1"/>
          <w:color w:val="auto"/>
        </w:rPr>
        <w:t>Recently adopted accounting pronouncements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1540" w:hanging="492"/>
        <w:spacing w:after="0" w:line="255" w:lineRule="auto"/>
        <w:tabs>
          <w:tab w:leader="none" w:pos="1540" w:val="left"/>
        </w:tabs>
        <w:numPr>
          <w:ilvl w:val="2"/>
          <w:numId w:val="145"/>
        </w:numPr>
        <w:rPr>
          <w:rFonts w:ascii="Arial" w:cs="Arial" w:eastAsia="Arial" w:hAnsi="Arial"/>
          <w:sz w:val="18"/>
          <w:szCs w:val="18"/>
          <w:color w:val="auto"/>
        </w:rPr>
      </w:pPr>
      <w:r>
        <w:rPr>
          <w:rFonts w:ascii="Arial" w:cs="Arial" w:eastAsia="Arial" w:hAnsi="Arial"/>
          <w:sz w:val="18"/>
          <w:szCs w:val="18"/>
          <w:color w:val="auto"/>
        </w:rPr>
        <w:t>In November 2016, the FASB issued ASU 2016-18, Statement of Cash Flows (Topic 230): Restricted Cash (a Consensus of the FASB Emerging Issues Task Force) (“ASU 2016-18”), which requires entities to include amounts generally described as restricted cash and restricted cash equivalents in cash and cash equivalents when reconciling beginning-of-period and end-of-period total amounts shown on the statement of cash flows. ASU 2016-18 is effective for annual reporting periods (including interim periods within those annual reporting periods) beginning after December 15, 2017. This resulted in a decrease to net cash used in investing activities of $350 in 2018.</w:t>
      </w:r>
    </w:p>
    <w:p>
      <w:pPr>
        <w:spacing w:after="0" w:line="193" w:lineRule="exact"/>
        <w:rPr>
          <w:rFonts w:ascii="Arial" w:cs="Arial" w:eastAsia="Arial" w:hAnsi="Arial"/>
          <w:sz w:val="18"/>
          <w:szCs w:val="18"/>
          <w:color w:val="auto"/>
        </w:rPr>
      </w:pPr>
    </w:p>
    <w:p>
      <w:pPr>
        <w:ind w:left="1540" w:right="40" w:hanging="492"/>
        <w:spacing w:after="0" w:line="291" w:lineRule="auto"/>
        <w:tabs>
          <w:tab w:leader="none" w:pos="1540" w:val="left"/>
        </w:tabs>
        <w:numPr>
          <w:ilvl w:val="2"/>
          <w:numId w:val="145"/>
        </w:numPr>
        <w:rPr>
          <w:rFonts w:ascii="Arial" w:cs="Arial" w:eastAsia="Arial" w:hAnsi="Arial"/>
          <w:sz w:val="16"/>
          <w:szCs w:val="16"/>
          <w:color w:val="auto"/>
        </w:rPr>
      </w:pPr>
      <w:r>
        <w:rPr>
          <w:rFonts w:ascii="Arial" w:cs="Arial" w:eastAsia="Arial" w:hAnsi="Arial"/>
          <w:sz w:val="16"/>
          <w:szCs w:val="16"/>
          <w:color w:val="auto"/>
        </w:rPr>
        <w:t>In January 2016, the FASB issued ASU No. 2016-01, Financial Instruments—Overall (Subtopic 825-10), which addresses certain aspects of recognition, measurement, presentation, and disclosure of financial instruments. The amended guidance requires changes in the fair value of equity investments to be recognized through net income, rather than other comprehensive income. Adoption of the standard will be applied through a cumulative one-time adjustment to retained earnings. This standard was adopted on January 1, 2018 and its accumulative adjustment had no material impact on the Company's financial statements. In addition, in February 2018, the FASB issued ASU No. 2018-03 which includes technical corrections and improvements to clarify the guidance in ASU No. 2016-01. This standard, adopted as of January 1, 2018, had no material impact on the Company’s financial statements.</w:t>
      </w: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F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6" w:name="page187"/>
    <w:bookmarkEnd w:id="186"/>
    <w:p>
      <w:pPr>
        <w:jc w:val="center"/>
        <w:spacing w:after="0"/>
        <w:rPr>
          <w:sz w:val="20"/>
          <w:szCs w:val="20"/>
          <w:color w:val="auto"/>
        </w:rPr>
      </w:pPr>
      <w:r>
        <w:rPr>
          <w:rFonts w:ascii="Arial" w:cs="Arial" w:eastAsia="Arial" w:hAnsi="Arial"/>
          <w:sz w:val="18"/>
          <w:szCs w:val="18"/>
          <w:b w:val="1"/>
          <w:bCs w:val="1"/>
          <w:color w:val="auto"/>
        </w:rPr>
        <w:t>SOL-GEL TECHOLOGIES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1040" w:hanging="357"/>
        <w:spacing w:after="0"/>
        <w:tabs>
          <w:tab w:leader="none" w:pos="1040" w:val="left"/>
        </w:tabs>
        <w:numPr>
          <w:ilvl w:val="0"/>
          <w:numId w:val="146"/>
        </w:numPr>
        <w:rPr>
          <w:rFonts w:ascii="Arial" w:cs="Arial" w:eastAsia="Arial" w:hAnsi="Arial"/>
          <w:sz w:val="18"/>
          <w:szCs w:val="18"/>
          <w:color w:val="auto"/>
        </w:rPr>
      </w:pPr>
      <w:r>
        <w:rPr>
          <w:rFonts w:ascii="Arial" w:cs="Arial" w:eastAsia="Arial" w:hAnsi="Arial"/>
          <w:sz w:val="18"/>
          <w:szCs w:val="18"/>
          <w:b w:val="1"/>
          <w:bCs w:val="1"/>
          <w:color w:val="auto"/>
        </w:rPr>
        <w:t>Newly issued accounting pronouncements:</w:t>
      </w:r>
    </w:p>
    <w:p>
      <w:pPr>
        <w:spacing w:after="0" w:line="229" w:lineRule="exact"/>
        <w:rPr>
          <w:rFonts w:ascii="Arial" w:cs="Arial" w:eastAsia="Arial" w:hAnsi="Arial"/>
          <w:sz w:val="18"/>
          <w:szCs w:val="18"/>
          <w:color w:val="auto"/>
        </w:rPr>
      </w:pPr>
    </w:p>
    <w:p>
      <w:pPr>
        <w:ind w:left="1540" w:hanging="492"/>
        <w:spacing w:after="0" w:line="270" w:lineRule="auto"/>
        <w:tabs>
          <w:tab w:leader="none" w:pos="1540" w:val="left"/>
        </w:tabs>
        <w:numPr>
          <w:ilvl w:val="1"/>
          <w:numId w:val="146"/>
        </w:numPr>
        <w:rPr>
          <w:rFonts w:ascii="Arial" w:cs="Arial" w:eastAsia="Arial" w:hAnsi="Arial"/>
          <w:sz w:val="17"/>
          <w:szCs w:val="17"/>
          <w:color w:val="auto"/>
        </w:rPr>
      </w:pPr>
      <w:r>
        <w:rPr>
          <w:rFonts w:ascii="Arial" w:cs="Arial" w:eastAsia="Arial" w:hAnsi="Arial"/>
          <w:sz w:val="17"/>
          <w:szCs w:val="17"/>
          <w:color w:val="auto"/>
        </w:rPr>
        <w:t>In February 2016, the FASB issued ASU No. 2016-02, Leases (Topic 842), which supersedes the existing guidance for lease accounting, Leases (Topic 840). The new standard requires lessees to record assets and liabilities on the balance sheet for all leases with terms longer than 12 months. Leases will be classified as either finance or operating, with classification affecting the pattern of expense recognition in the income statement. The Company plans to adopt the standard as of January 1, 2019 on a modified retrospective basis and will not restate comparative periods. The Company will elect the package of practical expedients permitted under the transition guidance within the new standard, which among other things, allows the Company to carryforward the historical lease classification. The Company will make an accounting policy election to keep leases with an initial term of 12 months or less off of the balance sheet. The Company will recognize those lease payments in the Statements of Operations on a straight-line basis over the lease period. The Company expects that adoption of the standard will result in recognition of approximately $1,200 of lease assets and lease liabilities as of January 1, 2019 on the Company’s balance Sheets.</w:t>
      </w:r>
    </w:p>
    <w:p>
      <w:pPr>
        <w:spacing w:after="0" w:line="177" w:lineRule="exact"/>
        <w:rPr>
          <w:rFonts w:ascii="Arial" w:cs="Arial" w:eastAsia="Arial" w:hAnsi="Arial"/>
          <w:sz w:val="17"/>
          <w:szCs w:val="17"/>
          <w:color w:val="auto"/>
        </w:rPr>
      </w:pPr>
    </w:p>
    <w:p>
      <w:pPr>
        <w:ind w:left="1540" w:right="100" w:hanging="492"/>
        <w:spacing w:after="0" w:line="273" w:lineRule="auto"/>
        <w:tabs>
          <w:tab w:leader="none" w:pos="1540" w:val="left"/>
        </w:tabs>
        <w:numPr>
          <w:ilvl w:val="1"/>
          <w:numId w:val="146"/>
        </w:numPr>
        <w:rPr>
          <w:rFonts w:ascii="Arial" w:cs="Arial" w:eastAsia="Arial" w:hAnsi="Arial"/>
          <w:sz w:val="17"/>
          <w:szCs w:val="17"/>
          <w:color w:val="auto"/>
        </w:rPr>
      </w:pPr>
      <w:r>
        <w:rPr>
          <w:rFonts w:ascii="Arial" w:cs="Arial" w:eastAsia="Arial" w:hAnsi="Arial"/>
          <w:sz w:val="17"/>
          <w:szCs w:val="17"/>
          <w:color w:val="auto"/>
        </w:rPr>
        <w:t>In June 2018, the FASB issued ASU 2018-07, “Compensation – Stock Compensation (Topic 718): Improvements to Nonemployee Share-based Payment Accounting” that expands the scope of ASC Topic 718 to include share-based payment transactions for acquiring goods and services from nonemployees. An entity should apply the requirements of ASC Topic 718 to nonemployee awards except for certain exemptions specified in the amendment. The guidance is effective for fiscal years beginning after December 15, 2018, including interim reporting periods within that fiscal year. Early adoption is permitted, but no earlier than an entity’s adoption date of Topic 606. The Company does not expect to have a material impact on its financial statements.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0" w:type="dxa"/>
            <w:vAlign w:val="bottom"/>
            <w:gridSpan w:val="2"/>
          </w:tcPr>
          <w:p>
            <w:pPr>
              <w:spacing w:after="0"/>
              <w:rPr>
                <w:sz w:val="20"/>
                <w:szCs w:val="20"/>
                <w:color w:val="auto"/>
              </w:rPr>
            </w:pPr>
            <w:r>
              <w:rPr>
                <w:rFonts w:ascii="Arial" w:cs="Arial" w:eastAsia="Arial" w:hAnsi="Arial"/>
                <w:sz w:val="18"/>
                <w:szCs w:val="18"/>
                <w:b w:val="1"/>
                <w:bCs w:val="1"/>
                <w:color w:val="auto"/>
              </w:rPr>
              <w:t>NOTE 3 — MARKETABLE SECURITIES</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240" w:type="dxa"/>
            <w:vAlign w:val="bottom"/>
          </w:tcPr>
          <w:p>
            <w:pPr>
              <w:spacing w:after="0"/>
              <w:rPr>
                <w:sz w:val="24"/>
                <w:szCs w:val="24"/>
                <w:color w:val="auto"/>
              </w:rPr>
            </w:pPr>
          </w:p>
        </w:tc>
        <w:tc>
          <w:tcPr>
            <w:tcW w:w="9960" w:type="dxa"/>
            <w:vAlign w:val="bottom"/>
          </w:tcPr>
          <w:p>
            <w:pPr>
              <w:ind w:left="120"/>
              <w:spacing w:after="0"/>
              <w:rPr>
                <w:sz w:val="20"/>
                <w:szCs w:val="20"/>
                <w:color w:val="auto"/>
              </w:rPr>
            </w:pPr>
            <w:r>
              <w:rPr>
                <w:rFonts w:ascii="Arial" w:cs="Arial" w:eastAsia="Arial" w:hAnsi="Arial"/>
                <w:sz w:val="18"/>
                <w:szCs w:val="18"/>
                <w:color w:val="auto"/>
              </w:rPr>
              <w:t>The following table sets forth the Company’s marketable securities for the indicated period:</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240" w:type="dxa"/>
            <w:vAlign w:val="bottom"/>
          </w:tcPr>
          <w:p>
            <w:pPr>
              <w:spacing w:after="0"/>
              <w:rPr>
                <w:sz w:val="24"/>
                <w:szCs w:val="24"/>
                <w:color w:val="auto"/>
              </w:rPr>
            </w:pPr>
          </w:p>
        </w:tc>
        <w:tc>
          <w:tcPr>
            <w:tcW w:w="9960" w:type="dxa"/>
            <w:vAlign w:val="bottom"/>
          </w:tcPr>
          <w:p>
            <w:pPr>
              <w:spacing w:after="0"/>
              <w:rPr>
                <w:sz w:val="24"/>
                <w:szCs w:val="24"/>
                <w:color w:val="auto"/>
              </w:rPr>
            </w:pPr>
          </w:p>
        </w:tc>
        <w:tc>
          <w:tcPr>
            <w:tcW w:w="1220" w:type="dxa"/>
            <w:vAlign w:val="bottom"/>
            <w:gridSpan w:val="3"/>
          </w:tcPr>
          <w:p>
            <w:pPr>
              <w:ind w:left="60"/>
              <w:spacing w:after="0"/>
              <w:rPr>
                <w:sz w:val="20"/>
                <w:szCs w:val="20"/>
                <w:color w:val="auto"/>
              </w:rPr>
            </w:pPr>
            <w:r>
              <w:rPr>
                <w:rFonts w:ascii="Arial" w:cs="Arial" w:eastAsia="Arial" w:hAnsi="Arial"/>
                <w:sz w:val="18"/>
                <w:szCs w:val="18"/>
                <w:color w:val="auto"/>
              </w:rPr>
              <w:t>December 31,</w:t>
            </w:r>
          </w:p>
        </w:tc>
      </w:tr>
      <w:tr>
        <w:trPr>
          <w:trHeight w:val="237"/>
        </w:trPr>
        <w:tc>
          <w:tcPr>
            <w:tcW w:w="240" w:type="dxa"/>
            <w:vAlign w:val="bottom"/>
          </w:tcPr>
          <w:p>
            <w:pPr>
              <w:spacing w:after="0"/>
              <w:rPr>
                <w:sz w:val="20"/>
                <w:szCs w:val="20"/>
                <w:color w:val="auto"/>
              </w:rPr>
            </w:pPr>
          </w:p>
        </w:tc>
        <w:tc>
          <w:tcPr>
            <w:tcW w:w="99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r>
      <w:tr>
        <w:trPr>
          <w:trHeight w:val="216"/>
        </w:trPr>
        <w:tc>
          <w:tcPr>
            <w:tcW w:w="240" w:type="dxa"/>
            <w:vAlign w:val="bottom"/>
          </w:tcPr>
          <w:p>
            <w:pPr>
              <w:spacing w:after="0"/>
              <w:rPr>
                <w:sz w:val="18"/>
                <w:szCs w:val="18"/>
                <w:color w:val="auto"/>
              </w:rPr>
            </w:pPr>
          </w:p>
        </w:tc>
        <w:tc>
          <w:tcPr>
            <w:tcW w:w="9960" w:type="dxa"/>
            <w:vAlign w:val="bottom"/>
            <w:shd w:val="clear" w:color="auto" w:fill="CCEEFF"/>
          </w:tcPr>
          <w:p>
            <w:pPr>
              <w:spacing w:after="0"/>
              <w:rPr>
                <w:sz w:val="20"/>
                <w:szCs w:val="20"/>
                <w:color w:val="auto"/>
              </w:rPr>
            </w:pPr>
            <w:r>
              <w:rPr>
                <w:rFonts w:ascii="Arial" w:cs="Arial" w:eastAsia="Arial" w:hAnsi="Arial"/>
                <w:sz w:val="18"/>
                <w:szCs w:val="18"/>
                <w:color w:val="auto"/>
              </w:rPr>
              <w:t>Level 2 securities: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40" w:type="dxa"/>
            <w:vAlign w:val="bottom"/>
          </w:tcPr>
          <w:p>
            <w:pPr>
              <w:spacing w:after="0"/>
              <w:rPr>
                <w:sz w:val="18"/>
                <w:szCs w:val="18"/>
                <w:color w:val="auto"/>
              </w:rPr>
            </w:pPr>
          </w:p>
        </w:tc>
        <w:tc>
          <w:tcPr>
            <w:tcW w:w="9960" w:type="dxa"/>
            <w:vAlign w:val="bottom"/>
          </w:tcPr>
          <w:p>
            <w:pPr>
              <w:spacing w:after="0"/>
              <w:rPr>
                <w:sz w:val="20"/>
                <w:szCs w:val="20"/>
                <w:color w:val="auto"/>
              </w:rPr>
            </w:pPr>
            <w:r>
              <w:rPr>
                <w:rFonts w:ascii="Arial" w:cs="Arial" w:eastAsia="Arial" w:hAnsi="Arial"/>
                <w:sz w:val="18"/>
                <w:szCs w:val="18"/>
                <w:color w:val="auto"/>
              </w:rPr>
              <w:t>U.S government and agency bonds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7,933</w:t>
            </w:r>
          </w:p>
        </w:tc>
        <w:tc>
          <w:tcPr>
            <w:tcW w:w="100" w:type="dxa"/>
            <w:vAlign w:val="bottom"/>
          </w:tcPr>
          <w:p>
            <w:pPr>
              <w:spacing w:after="0"/>
              <w:rPr>
                <w:sz w:val="18"/>
                <w:szCs w:val="18"/>
                <w:color w:val="auto"/>
              </w:rPr>
            </w:pPr>
          </w:p>
        </w:tc>
      </w:tr>
      <w:tr>
        <w:trPr>
          <w:trHeight w:val="216"/>
        </w:trPr>
        <w:tc>
          <w:tcPr>
            <w:tcW w:w="240" w:type="dxa"/>
            <w:vAlign w:val="bottom"/>
          </w:tcPr>
          <w:p>
            <w:pPr>
              <w:spacing w:after="0"/>
              <w:rPr>
                <w:sz w:val="18"/>
                <w:szCs w:val="18"/>
                <w:color w:val="auto"/>
              </w:rPr>
            </w:pPr>
          </w:p>
        </w:tc>
        <w:tc>
          <w:tcPr>
            <w:tcW w:w="9960" w:type="dxa"/>
            <w:vAlign w:val="bottom"/>
            <w:shd w:val="clear" w:color="auto" w:fill="CCEEFF"/>
          </w:tcPr>
          <w:p>
            <w:pPr>
              <w:spacing w:after="0"/>
              <w:rPr>
                <w:sz w:val="20"/>
                <w:szCs w:val="20"/>
                <w:color w:val="auto"/>
              </w:rPr>
            </w:pPr>
            <w:r>
              <w:rPr>
                <w:rFonts w:ascii="Arial" w:cs="Arial" w:eastAsia="Arial" w:hAnsi="Arial"/>
                <w:sz w:val="18"/>
                <w:szCs w:val="18"/>
                <w:color w:val="auto"/>
              </w:rPr>
              <w:t>Canada government bonds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1,009</w:t>
            </w:r>
          </w:p>
        </w:tc>
        <w:tc>
          <w:tcPr>
            <w:tcW w:w="100" w:type="dxa"/>
            <w:vAlign w:val="bottom"/>
            <w:shd w:val="clear" w:color="auto" w:fill="CCEEFF"/>
          </w:tcPr>
          <w:p>
            <w:pPr>
              <w:spacing w:after="0"/>
              <w:rPr>
                <w:sz w:val="18"/>
                <w:szCs w:val="18"/>
                <w:color w:val="auto"/>
              </w:rPr>
            </w:pPr>
          </w:p>
        </w:tc>
      </w:tr>
      <w:tr>
        <w:trPr>
          <w:trHeight w:val="216"/>
        </w:trPr>
        <w:tc>
          <w:tcPr>
            <w:tcW w:w="240" w:type="dxa"/>
            <w:vAlign w:val="bottom"/>
          </w:tcPr>
          <w:p>
            <w:pPr>
              <w:spacing w:after="0"/>
              <w:rPr>
                <w:sz w:val="18"/>
                <w:szCs w:val="18"/>
                <w:color w:val="auto"/>
              </w:rPr>
            </w:pPr>
          </w:p>
        </w:tc>
        <w:tc>
          <w:tcPr>
            <w:tcW w:w="9960" w:type="dxa"/>
            <w:vAlign w:val="bottom"/>
          </w:tcPr>
          <w:p>
            <w:pPr>
              <w:spacing w:after="0"/>
              <w:rPr>
                <w:sz w:val="20"/>
                <w:szCs w:val="20"/>
                <w:color w:val="auto"/>
              </w:rPr>
            </w:pPr>
            <w:r>
              <w:rPr>
                <w:rFonts w:ascii="Arial" w:cs="Arial" w:eastAsia="Arial" w:hAnsi="Arial"/>
                <w:sz w:val="18"/>
                <w:szCs w:val="18"/>
                <w:color w:val="auto"/>
              </w:rPr>
              <w:t>Other foreign government bonds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5,259</w:t>
            </w:r>
          </w:p>
        </w:tc>
        <w:tc>
          <w:tcPr>
            <w:tcW w:w="100" w:type="dxa"/>
            <w:vAlign w:val="bottom"/>
          </w:tcPr>
          <w:p>
            <w:pPr>
              <w:spacing w:after="0"/>
              <w:rPr>
                <w:sz w:val="18"/>
                <w:szCs w:val="18"/>
                <w:color w:val="auto"/>
              </w:rPr>
            </w:pPr>
          </w:p>
        </w:tc>
      </w:tr>
      <w:tr>
        <w:trPr>
          <w:trHeight w:val="223"/>
        </w:trPr>
        <w:tc>
          <w:tcPr>
            <w:tcW w:w="240" w:type="dxa"/>
            <w:vAlign w:val="bottom"/>
          </w:tcPr>
          <w:p>
            <w:pPr>
              <w:spacing w:after="0"/>
              <w:rPr>
                <w:sz w:val="19"/>
                <w:szCs w:val="19"/>
                <w:color w:val="auto"/>
              </w:rPr>
            </w:pPr>
          </w:p>
        </w:tc>
        <w:tc>
          <w:tcPr>
            <w:tcW w:w="9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Corporate bonds*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42,461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240" w:type="dxa"/>
            <w:vAlign w:val="bottom"/>
          </w:tcPr>
          <w:p>
            <w:pPr>
              <w:spacing w:after="0"/>
              <w:rPr>
                <w:sz w:val="18"/>
                <w:szCs w:val="18"/>
                <w:color w:val="auto"/>
              </w:rPr>
            </w:pPr>
          </w:p>
        </w:tc>
        <w:tc>
          <w:tcPr>
            <w:tcW w:w="9960" w:type="dxa"/>
            <w:vAlign w:val="bottom"/>
          </w:tcPr>
          <w:p>
            <w:pPr>
              <w:spacing w:after="0"/>
              <w:rPr>
                <w:sz w:val="20"/>
                <w:szCs w:val="20"/>
                <w:color w:val="auto"/>
              </w:rPr>
            </w:pPr>
            <w:r>
              <w:rPr>
                <w:rFonts w:ascii="Arial" w:cs="Arial" w:eastAsia="Arial" w:hAnsi="Arial"/>
                <w:sz w:val="18"/>
                <w:szCs w:val="18"/>
                <w:color w:val="auto"/>
              </w:rPr>
              <w:t>Total</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56,662</w:t>
            </w:r>
          </w:p>
        </w:tc>
        <w:tc>
          <w:tcPr>
            <w:tcW w:w="100" w:type="dxa"/>
            <w:vAlign w:val="bottom"/>
          </w:tcPr>
          <w:p>
            <w:pPr>
              <w:spacing w:after="0"/>
              <w:rPr>
                <w:sz w:val="18"/>
                <w:szCs w:val="18"/>
                <w:color w:val="auto"/>
              </w:rPr>
            </w:pPr>
          </w:p>
        </w:tc>
      </w:tr>
      <w:tr>
        <w:trPr>
          <w:trHeight w:val="21"/>
        </w:trPr>
        <w:tc>
          <w:tcPr>
            <w:tcW w:w="240" w:type="dxa"/>
            <w:vAlign w:val="bottom"/>
          </w:tcPr>
          <w:p>
            <w:pPr>
              <w:spacing w:after="0" w:line="20" w:lineRule="exact"/>
              <w:rPr>
                <w:sz w:val="1"/>
                <w:szCs w:val="1"/>
                <w:color w:val="auto"/>
              </w:rPr>
            </w:pPr>
          </w:p>
        </w:tc>
        <w:tc>
          <w:tcPr>
            <w:tcW w:w="99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 Investments in Corporate bonds rated A or higher.</w:t>
      </w:r>
    </w:p>
    <w:p>
      <w:pPr>
        <w:spacing w:after="0" w:line="225" w:lineRule="exact"/>
        <w:rPr>
          <w:sz w:val="20"/>
          <w:szCs w:val="20"/>
          <w:color w:val="auto"/>
        </w:rPr>
      </w:pPr>
    </w:p>
    <w:p>
      <w:pPr>
        <w:ind w:left="360" w:right="140"/>
        <w:spacing w:after="0" w:line="342" w:lineRule="auto"/>
        <w:rPr>
          <w:sz w:val="20"/>
          <w:szCs w:val="20"/>
          <w:color w:val="auto"/>
        </w:rPr>
      </w:pPr>
      <w:r>
        <w:rPr>
          <w:rFonts w:ascii="Arial" w:cs="Arial" w:eastAsia="Arial" w:hAnsi="Arial"/>
          <w:sz w:val="16"/>
          <w:szCs w:val="16"/>
          <w:color w:val="auto"/>
        </w:rPr>
        <w:t>The Company’s debt securities are traded in markets that are not considered to be active, but are valued based on quoted market prices, broker or dealer quotations, or alternative pricing sources with reasonable levels of price transparency. Accordingly, these assets are categorized as Level 2.</w:t>
      </w: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7" w:name="page188"/>
    <w:bookmarkEnd w:id="187"/>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3 — MARKETABLE SECURITIES </w:t>
      </w:r>
      <w:r>
        <w:rPr>
          <w:rFonts w:ascii="Arial" w:cs="Arial" w:eastAsia="Arial" w:hAnsi="Arial"/>
          <w:sz w:val="18"/>
          <w:szCs w:val="18"/>
          <w:color w:val="auto"/>
        </w:rPr>
        <w:t>(continued)</w:t>
      </w:r>
    </w:p>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The table below sets forth a summary of the changes in the fair value of the Company’s marketable securities for the year ended December 31, 2018:</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40" w:type="dxa"/>
            <w:vAlign w:val="bottom"/>
          </w:tcPr>
          <w:p>
            <w:pPr>
              <w:spacing w:after="0"/>
              <w:rPr>
                <w:sz w:val="18"/>
                <w:szCs w:val="18"/>
                <w:color w:val="auto"/>
              </w:rPr>
            </w:pPr>
          </w:p>
        </w:tc>
        <w:tc>
          <w:tcPr>
            <w:tcW w:w="7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5"/>
              </w:rPr>
              <w:t>Marketable</w:t>
            </w:r>
          </w:p>
        </w:tc>
        <w:tc>
          <w:tcPr>
            <w:tcW w:w="0" w:type="dxa"/>
            <w:vAlign w:val="bottom"/>
          </w:tcPr>
          <w:p>
            <w:pPr>
              <w:spacing w:after="0"/>
              <w:rPr>
                <w:sz w:val="1"/>
                <w:szCs w:val="1"/>
                <w:color w:val="auto"/>
              </w:rPr>
            </w:pPr>
          </w:p>
        </w:tc>
      </w:tr>
      <w:tr>
        <w:trPr>
          <w:trHeight w:val="241"/>
        </w:trPr>
        <w:tc>
          <w:tcPr>
            <w:tcW w:w="240" w:type="dxa"/>
            <w:vAlign w:val="bottom"/>
          </w:tcPr>
          <w:p>
            <w:pPr>
              <w:spacing w:after="0"/>
              <w:rPr>
                <w:sz w:val="20"/>
                <w:szCs w:val="20"/>
                <w:color w:val="auto"/>
              </w:rPr>
            </w:pPr>
          </w:p>
        </w:tc>
        <w:tc>
          <w:tcPr>
            <w:tcW w:w="7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5"/>
              </w:rPr>
              <w:t>securities</w:t>
            </w:r>
          </w:p>
        </w:tc>
        <w:tc>
          <w:tcPr>
            <w:tcW w:w="10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40" w:type="dxa"/>
            <w:vAlign w:val="bottom"/>
            <w:vMerge w:val="restart"/>
          </w:tcPr>
          <w:p>
            <w:pPr>
              <w:spacing w:after="0"/>
              <w:rPr>
                <w:sz w:val="18"/>
                <w:szCs w:val="18"/>
                <w:color w:val="auto"/>
              </w:rPr>
            </w:pPr>
          </w:p>
        </w:tc>
        <w:tc>
          <w:tcPr>
            <w:tcW w:w="7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gridSpan w:val="2"/>
          </w:tcPr>
          <w:p>
            <w:pPr>
              <w:spacing w:after="0"/>
              <w:rPr>
                <w:sz w:val="18"/>
                <w:szCs w:val="18"/>
                <w:color w:val="auto"/>
              </w:rPr>
            </w:pPr>
          </w:p>
        </w:tc>
        <w:tc>
          <w:tcPr>
            <w:tcW w:w="104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vMerge w:val="continue"/>
          </w:tcPr>
          <w:p>
            <w:pPr>
              <w:spacing w:after="0"/>
              <w:rPr>
                <w:sz w:val="18"/>
                <w:szCs w:val="18"/>
                <w:color w:val="auto"/>
              </w:rPr>
            </w:pPr>
          </w:p>
        </w:tc>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the year</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tcPr>
          <w:p>
            <w:pPr>
              <w:spacing w:after="0"/>
              <w:rPr>
                <w:sz w:val="20"/>
                <w:szCs w:val="20"/>
                <w:color w:val="auto"/>
              </w:rPr>
            </w:pPr>
            <w:r>
              <w:rPr>
                <w:rFonts w:ascii="Arial" w:cs="Arial" w:eastAsia="Arial" w:hAnsi="Arial"/>
                <w:sz w:val="18"/>
                <w:szCs w:val="18"/>
                <w:color w:val="auto"/>
              </w:rPr>
              <w:t>Additions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71,783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Sale or maturity</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(15,092)</w:t>
            </w:r>
          </w:p>
        </w:tc>
        <w:tc>
          <w:tcPr>
            <w:tcW w:w="0" w:type="dxa"/>
            <w:vAlign w:val="bottom"/>
          </w:tcPr>
          <w:p>
            <w:pPr>
              <w:spacing w:after="0"/>
              <w:rPr>
                <w:sz w:val="1"/>
                <w:szCs w:val="1"/>
                <w:color w:val="auto"/>
              </w:rPr>
            </w:pPr>
          </w:p>
        </w:tc>
      </w:tr>
      <w:tr>
        <w:trPr>
          <w:trHeight w:val="223"/>
        </w:trPr>
        <w:tc>
          <w:tcPr>
            <w:tcW w:w="240" w:type="dxa"/>
            <w:vAlign w:val="bottom"/>
          </w:tcPr>
          <w:p>
            <w:pPr>
              <w:spacing w:after="0"/>
              <w:rPr>
                <w:sz w:val="19"/>
                <w:szCs w:val="19"/>
                <w:color w:val="auto"/>
              </w:rPr>
            </w:pPr>
          </w:p>
        </w:tc>
        <w:tc>
          <w:tcPr>
            <w:tcW w:w="7640" w:type="dxa"/>
            <w:vAlign w:val="bottom"/>
          </w:tcPr>
          <w:p>
            <w:pPr>
              <w:spacing w:after="0"/>
              <w:rPr>
                <w:sz w:val="20"/>
                <w:szCs w:val="20"/>
                <w:color w:val="auto"/>
              </w:rPr>
            </w:pPr>
            <w:r>
              <w:rPr>
                <w:rFonts w:ascii="Arial" w:cs="Arial" w:eastAsia="Arial" w:hAnsi="Arial"/>
                <w:sz w:val="18"/>
                <w:szCs w:val="18"/>
                <w:color w:val="auto"/>
              </w:rPr>
              <w:t>Changes in fair value during the year</w:t>
            </w:r>
          </w:p>
        </w:tc>
        <w:tc>
          <w:tcPr>
            <w:tcW w:w="9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57"/>
        </w:trPr>
        <w:tc>
          <w:tcPr>
            <w:tcW w:w="240" w:type="dxa"/>
            <w:vAlign w:val="bottom"/>
          </w:tcPr>
          <w:p>
            <w:pPr>
              <w:spacing w:after="0"/>
              <w:rPr>
                <w:sz w:val="22"/>
                <w:szCs w:val="22"/>
                <w:color w:val="auto"/>
              </w:rPr>
            </w:pPr>
          </w:p>
        </w:tc>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Balance at end of the period</w:t>
            </w:r>
          </w:p>
        </w:tc>
        <w:tc>
          <w:tcPr>
            <w:tcW w:w="98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56,662</w:t>
            </w:r>
          </w:p>
        </w:tc>
        <w:tc>
          <w:tcPr>
            <w:tcW w:w="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426"/>
        </w:trPr>
        <w:tc>
          <w:tcPr>
            <w:tcW w:w="240" w:type="dxa"/>
            <w:vAlign w:val="bottom"/>
          </w:tcPr>
          <w:p>
            <w:pPr>
              <w:spacing w:after="0"/>
              <w:rPr>
                <w:sz w:val="24"/>
                <w:szCs w:val="24"/>
                <w:color w:val="auto"/>
              </w:rPr>
            </w:pPr>
          </w:p>
        </w:tc>
        <w:tc>
          <w:tcPr>
            <w:tcW w:w="7640" w:type="dxa"/>
            <w:vAlign w:val="bottom"/>
            <w:tcBorders>
              <w:top w:val="single" w:sz="8" w:color="CCEEFF"/>
            </w:tcBorders>
          </w:tcPr>
          <w:p>
            <w:pPr>
              <w:ind w:left="120"/>
              <w:spacing w:after="0"/>
              <w:rPr>
                <w:sz w:val="20"/>
                <w:szCs w:val="20"/>
                <w:color w:val="auto"/>
              </w:rPr>
            </w:pPr>
            <w:r>
              <w:rPr>
                <w:rFonts w:ascii="Arial" w:cs="Arial" w:eastAsia="Arial" w:hAnsi="Arial"/>
                <w:sz w:val="18"/>
                <w:szCs w:val="18"/>
                <w:color w:val="auto"/>
              </w:rPr>
              <w:t>As of December 31, 2018, the Company’s debt securities had the following maturity dates:</w:t>
            </w:r>
          </w:p>
        </w:tc>
        <w:tc>
          <w:tcPr>
            <w:tcW w:w="980" w:type="dxa"/>
            <w:vAlign w:val="bottom"/>
            <w:tcBorders>
              <w:top w:val="single" w:sz="8" w:color="CCEEFF"/>
            </w:tcBorders>
          </w:tcPr>
          <w:p>
            <w:pPr>
              <w:spacing w:after="0"/>
              <w:rPr>
                <w:sz w:val="24"/>
                <w:szCs w:val="24"/>
                <w:color w:val="auto"/>
              </w:rPr>
            </w:pPr>
          </w:p>
        </w:tc>
        <w:tc>
          <w:tcPr>
            <w:tcW w:w="240" w:type="dxa"/>
            <w:vAlign w:val="bottom"/>
            <w:tcBorders>
              <w:top w:val="single" w:sz="8" w:color="CCEEFF"/>
            </w:tcBorders>
          </w:tcPr>
          <w:p>
            <w:pPr>
              <w:spacing w:after="0"/>
              <w:rPr>
                <w:sz w:val="24"/>
                <w:szCs w:val="24"/>
                <w:color w:val="auto"/>
              </w:rPr>
            </w:pPr>
          </w:p>
        </w:tc>
        <w:tc>
          <w:tcPr>
            <w:tcW w:w="880" w:type="dxa"/>
            <w:vAlign w:val="bottom"/>
            <w:tcBorders>
              <w:top w:val="single" w:sz="8" w:color="CCEEFF"/>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2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40" w:type="dxa"/>
            <w:vAlign w:val="bottom"/>
          </w:tcPr>
          <w:p>
            <w:pPr>
              <w:spacing w:after="0"/>
              <w:rPr>
                <w:sz w:val="24"/>
                <w:szCs w:val="24"/>
                <w:color w:val="auto"/>
              </w:rPr>
            </w:pPr>
          </w:p>
        </w:tc>
        <w:tc>
          <w:tcPr>
            <w:tcW w:w="76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rPr>
              <w:t>Market</w:t>
            </w:r>
          </w:p>
        </w:tc>
        <w:tc>
          <w:tcPr>
            <w:tcW w:w="0" w:type="dxa"/>
            <w:vAlign w:val="bottom"/>
          </w:tcPr>
          <w:p>
            <w:pPr>
              <w:spacing w:after="0"/>
              <w:rPr>
                <w:sz w:val="1"/>
                <w:szCs w:val="1"/>
                <w:color w:val="auto"/>
              </w:rPr>
            </w:pPr>
          </w:p>
        </w:tc>
      </w:tr>
      <w:tr>
        <w:trPr>
          <w:trHeight w:val="241"/>
        </w:trPr>
        <w:tc>
          <w:tcPr>
            <w:tcW w:w="240" w:type="dxa"/>
            <w:vAlign w:val="bottom"/>
          </w:tcPr>
          <w:p>
            <w:pPr>
              <w:spacing w:after="0"/>
              <w:rPr>
                <w:sz w:val="20"/>
                <w:szCs w:val="20"/>
                <w:color w:val="auto"/>
              </w:rPr>
            </w:pPr>
          </w:p>
        </w:tc>
        <w:tc>
          <w:tcPr>
            <w:tcW w:w="7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6"/>
              </w:rPr>
              <w:t>value</w:t>
            </w:r>
          </w:p>
        </w:tc>
        <w:tc>
          <w:tcPr>
            <w:tcW w:w="0" w:type="dxa"/>
            <w:vAlign w:val="bottom"/>
          </w:tcPr>
          <w:p>
            <w:pPr>
              <w:spacing w:after="0"/>
              <w:rPr>
                <w:sz w:val="1"/>
                <w:szCs w:val="1"/>
                <w:color w:val="auto"/>
              </w:rPr>
            </w:pPr>
          </w:p>
        </w:tc>
      </w:tr>
      <w:tr>
        <w:trPr>
          <w:trHeight w:val="198"/>
        </w:trPr>
        <w:tc>
          <w:tcPr>
            <w:tcW w:w="240" w:type="dxa"/>
            <w:vAlign w:val="bottom"/>
          </w:tcPr>
          <w:p>
            <w:pPr>
              <w:spacing w:after="0"/>
              <w:rPr>
                <w:sz w:val="17"/>
                <w:szCs w:val="17"/>
                <w:color w:val="auto"/>
              </w:rPr>
            </w:pPr>
          </w:p>
        </w:tc>
        <w:tc>
          <w:tcPr>
            <w:tcW w:w="7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ind w:right="10"/>
              <w:spacing w:after="0" w:line="198" w:lineRule="exact"/>
              <w:rPr>
                <w:sz w:val="20"/>
                <w:szCs w:val="20"/>
                <w:color w:val="auto"/>
              </w:rPr>
            </w:pPr>
            <w:r>
              <w:rPr>
                <w:rFonts w:ascii="Arial" w:cs="Arial" w:eastAsia="Arial" w:hAnsi="Arial"/>
                <w:sz w:val="18"/>
                <w:szCs w:val="18"/>
                <w:b w:val="1"/>
                <w:bCs w:val="1"/>
                <w:color w:val="auto"/>
              </w:rPr>
              <w:t>December</w:t>
            </w: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ind w:left="340"/>
              <w:spacing w:after="0"/>
              <w:rPr>
                <w:sz w:val="20"/>
                <w:szCs w:val="20"/>
                <w:color w:val="auto"/>
              </w:rPr>
            </w:pPr>
            <w:r>
              <w:rPr>
                <w:rFonts w:ascii="Arial" w:cs="Arial" w:eastAsia="Arial" w:hAnsi="Arial"/>
                <w:sz w:val="18"/>
                <w:szCs w:val="18"/>
                <w:b w:val="1"/>
                <w:bCs w:val="1"/>
                <w:color w:val="auto"/>
              </w:rPr>
              <w:t>31,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40" w:type="dxa"/>
            <w:vAlign w:val="bottom"/>
          </w:tcPr>
          <w:p>
            <w:pPr>
              <w:spacing w:after="0"/>
              <w:rPr>
                <w:sz w:val="20"/>
                <w:szCs w:val="20"/>
                <w:color w:val="auto"/>
              </w:rPr>
            </w:pPr>
          </w:p>
        </w:tc>
        <w:tc>
          <w:tcPr>
            <w:tcW w:w="7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ind w:left="340"/>
              <w:spacing w:after="0"/>
              <w:rPr>
                <w:sz w:val="20"/>
                <w:szCs w:val="20"/>
                <w:color w:val="auto"/>
              </w:rPr>
            </w:pPr>
            <w:r>
              <w:rPr>
                <w:rFonts w:ascii="Arial" w:cs="Arial" w:eastAsia="Arial" w:hAnsi="Arial"/>
                <w:sz w:val="18"/>
                <w:szCs w:val="18"/>
                <w:b w:val="1"/>
                <w:bCs w:val="1"/>
                <w:color w:val="auto"/>
              </w:rPr>
              <w:t>2018</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Due within one year</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54,151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40" w:type="dxa"/>
            <w:vAlign w:val="bottom"/>
          </w:tcPr>
          <w:p>
            <w:pPr>
              <w:spacing w:after="0"/>
              <w:rPr>
                <w:sz w:val="19"/>
                <w:szCs w:val="19"/>
                <w:color w:val="auto"/>
              </w:rPr>
            </w:pPr>
          </w:p>
        </w:tc>
        <w:tc>
          <w:tcPr>
            <w:tcW w:w="7640" w:type="dxa"/>
            <w:vAlign w:val="bottom"/>
          </w:tcPr>
          <w:p>
            <w:pPr>
              <w:ind w:left="480"/>
              <w:spacing w:after="0"/>
              <w:rPr>
                <w:sz w:val="20"/>
                <w:szCs w:val="20"/>
                <w:color w:val="auto"/>
              </w:rPr>
            </w:pPr>
            <w:r>
              <w:rPr>
                <w:rFonts w:ascii="Arial" w:cs="Arial" w:eastAsia="Arial" w:hAnsi="Arial"/>
                <w:sz w:val="18"/>
                <w:szCs w:val="18"/>
                <w:color w:val="auto"/>
              </w:rPr>
              <w:t>1 to 2 years</w:t>
            </w:r>
          </w:p>
        </w:tc>
        <w:tc>
          <w:tcPr>
            <w:tcW w:w="9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2,511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40" w:type="dxa"/>
            <w:vAlign w:val="bottom"/>
          </w:tcPr>
          <w:p>
            <w:pPr>
              <w:spacing w:after="0"/>
              <w:rPr>
                <w:sz w:val="22"/>
                <w:szCs w:val="22"/>
                <w:color w:val="auto"/>
              </w:rPr>
            </w:pPr>
          </w:p>
        </w:tc>
        <w:tc>
          <w:tcPr>
            <w:tcW w:w="764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w:t>
            </w:r>
          </w:p>
        </w:tc>
        <w:tc>
          <w:tcPr>
            <w:tcW w:w="9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56,662</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642"/>
        </w:trPr>
        <w:tc>
          <w:tcPr>
            <w:tcW w:w="7880" w:type="dxa"/>
            <w:vAlign w:val="bottom"/>
            <w:gridSpan w:val="2"/>
          </w:tcPr>
          <w:p>
            <w:pPr>
              <w:spacing w:after="0"/>
              <w:rPr>
                <w:sz w:val="20"/>
                <w:szCs w:val="20"/>
                <w:color w:val="auto"/>
              </w:rPr>
            </w:pPr>
            <w:r>
              <w:rPr>
                <w:rFonts w:ascii="Arial" w:cs="Arial" w:eastAsia="Arial" w:hAnsi="Arial"/>
                <w:sz w:val="18"/>
                <w:szCs w:val="18"/>
                <w:b w:val="1"/>
                <w:bCs w:val="1"/>
                <w:color w:val="auto"/>
              </w:rPr>
              <w:t>NOTE 4 — PROPERTY AND EQUIPMENT</w:t>
            </w: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240" w:type="dxa"/>
            <w:vAlign w:val="bottom"/>
          </w:tcPr>
          <w:p>
            <w:pPr>
              <w:spacing w:after="0"/>
              <w:rPr>
                <w:sz w:val="24"/>
                <w:szCs w:val="24"/>
                <w:color w:val="auto"/>
              </w:rPr>
            </w:pPr>
          </w:p>
        </w:tc>
        <w:tc>
          <w:tcPr>
            <w:tcW w:w="76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20" w:type="dxa"/>
            <w:vAlign w:val="bottom"/>
            <w:gridSpan w:val="7"/>
          </w:tcPr>
          <w:p>
            <w:pPr>
              <w:ind w:left="4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240" w:type="dxa"/>
            <w:vAlign w:val="bottom"/>
          </w:tcPr>
          <w:p>
            <w:pPr>
              <w:spacing w:after="0"/>
              <w:rPr>
                <w:sz w:val="19"/>
                <w:szCs w:val="19"/>
                <w:color w:val="auto"/>
              </w:rPr>
            </w:pPr>
          </w:p>
        </w:tc>
        <w:tc>
          <w:tcPr>
            <w:tcW w:w="76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8"/>
                <w:szCs w:val="18"/>
                <w:b w:val="1"/>
                <w:bCs w:val="1"/>
                <w:color w:val="auto"/>
              </w:rPr>
              <w:t>2017</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2018</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Cost:</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tcPr>
          <w:p>
            <w:pPr>
              <w:ind w:left="160"/>
              <w:spacing w:after="0"/>
              <w:rPr>
                <w:sz w:val="20"/>
                <w:szCs w:val="20"/>
                <w:color w:val="auto"/>
              </w:rPr>
            </w:pPr>
            <w:r>
              <w:rPr>
                <w:rFonts w:ascii="Arial" w:cs="Arial" w:eastAsia="Arial" w:hAnsi="Arial"/>
                <w:sz w:val="18"/>
                <w:szCs w:val="18"/>
                <w:color w:val="auto"/>
              </w:rPr>
              <w:t>Laboratory equipment</w:t>
            </w:r>
          </w:p>
        </w:tc>
        <w:tc>
          <w:tcPr>
            <w:tcW w:w="12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tcPr>
          <w:p>
            <w:pPr>
              <w:ind w:left="480"/>
              <w:spacing w:after="0"/>
              <w:rPr>
                <w:sz w:val="20"/>
                <w:szCs w:val="20"/>
                <w:color w:val="auto"/>
              </w:rPr>
            </w:pPr>
            <w:r>
              <w:rPr>
                <w:rFonts w:ascii="Arial" w:cs="Arial" w:eastAsia="Arial" w:hAnsi="Arial"/>
                <w:sz w:val="18"/>
                <w:szCs w:val="18"/>
                <w:color w:val="auto"/>
                <w:w w:val="84"/>
              </w:rPr>
              <w:t>2,247</w:t>
            </w:r>
          </w:p>
        </w:tc>
        <w:tc>
          <w:tcPr>
            <w:tcW w:w="14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2,829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Office equipment and furniture</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tcPr>
          <w:p>
            <w:pPr>
              <w:ind w:left="160"/>
              <w:spacing w:after="0"/>
              <w:rPr>
                <w:sz w:val="20"/>
                <w:szCs w:val="20"/>
                <w:color w:val="auto"/>
              </w:rPr>
            </w:pPr>
            <w:r>
              <w:rPr>
                <w:rFonts w:ascii="Arial" w:cs="Arial" w:eastAsia="Arial" w:hAnsi="Arial"/>
                <w:sz w:val="18"/>
                <w:szCs w:val="18"/>
                <w:color w:val="auto"/>
              </w:rPr>
              <w:t>Computers and software</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364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410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40" w:type="dxa"/>
            <w:vAlign w:val="bottom"/>
          </w:tcPr>
          <w:p>
            <w:pPr>
              <w:spacing w:after="0"/>
              <w:rPr>
                <w:sz w:val="19"/>
                <w:szCs w:val="19"/>
                <w:color w:val="auto"/>
              </w:rPr>
            </w:pPr>
          </w:p>
        </w:tc>
        <w:tc>
          <w:tcPr>
            <w:tcW w:w="76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Leasehold improvements</w:t>
            </w:r>
          </w:p>
        </w:tc>
        <w:tc>
          <w:tcPr>
            <w:tcW w:w="9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ind w:left="480"/>
              <w:spacing w:after="0"/>
              <w:rPr>
                <w:sz w:val="20"/>
                <w:szCs w:val="20"/>
                <w:color w:val="auto"/>
              </w:rPr>
            </w:pPr>
            <w:r>
              <w:rPr>
                <w:rFonts w:ascii="Arial" w:cs="Arial" w:eastAsia="Arial" w:hAnsi="Arial"/>
                <w:sz w:val="18"/>
                <w:szCs w:val="18"/>
                <w:color w:val="auto"/>
                <w:w w:val="84"/>
              </w:rPr>
              <w:t>1,429</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1,849</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ind w:left="480"/>
              <w:spacing w:after="0"/>
              <w:rPr>
                <w:sz w:val="20"/>
                <w:szCs w:val="20"/>
                <w:color w:val="auto"/>
              </w:rPr>
            </w:pPr>
            <w:r>
              <w:rPr>
                <w:rFonts w:ascii="Arial" w:cs="Arial" w:eastAsia="Arial" w:hAnsi="Arial"/>
                <w:sz w:val="18"/>
                <w:szCs w:val="18"/>
                <w:color w:val="auto"/>
                <w:w w:val="84"/>
              </w:rPr>
              <w:t>4,294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5,346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764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40" w:type="dxa"/>
            <w:vAlign w:val="bottom"/>
          </w:tcPr>
          <w:p>
            <w:pPr>
              <w:spacing w:after="0"/>
              <w:rPr>
                <w:sz w:val="19"/>
                <w:szCs w:val="19"/>
                <w:color w:val="auto"/>
              </w:rPr>
            </w:pPr>
          </w:p>
        </w:tc>
        <w:tc>
          <w:tcPr>
            <w:tcW w:w="7640" w:type="dxa"/>
            <w:vAlign w:val="bottom"/>
          </w:tcPr>
          <w:p>
            <w:pPr>
              <w:ind w:left="160"/>
              <w:spacing w:after="0"/>
              <w:rPr>
                <w:sz w:val="20"/>
                <w:szCs w:val="20"/>
                <w:color w:val="auto"/>
              </w:rPr>
            </w:pPr>
            <w:r>
              <w:rPr>
                <w:rFonts w:ascii="Arial" w:cs="Arial" w:eastAsia="Arial" w:hAnsi="Arial"/>
                <w:sz w:val="18"/>
                <w:szCs w:val="18"/>
                <w:color w:val="auto"/>
              </w:rPr>
              <w:t>Accumulated depreciation and amortization</w:t>
            </w:r>
          </w:p>
        </w:tc>
        <w:tc>
          <w:tcPr>
            <w:tcW w:w="9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(1,980)</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(2,742)</w:t>
            </w:r>
          </w:p>
        </w:tc>
        <w:tc>
          <w:tcPr>
            <w:tcW w:w="0" w:type="dxa"/>
            <w:vAlign w:val="bottom"/>
          </w:tcPr>
          <w:p>
            <w:pPr>
              <w:spacing w:after="0"/>
              <w:rPr>
                <w:sz w:val="1"/>
                <w:szCs w:val="1"/>
                <w:color w:val="auto"/>
              </w:rPr>
            </w:pPr>
          </w:p>
        </w:tc>
      </w:tr>
      <w:tr>
        <w:trPr>
          <w:trHeight w:val="257"/>
        </w:trPr>
        <w:tc>
          <w:tcPr>
            <w:tcW w:w="240" w:type="dxa"/>
            <w:vAlign w:val="bottom"/>
          </w:tcPr>
          <w:p>
            <w:pPr>
              <w:spacing w:after="0"/>
              <w:rPr>
                <w:sz w:val="22"/>
                <w:szCs w:val="22"/>
                <w:color w:val="auto"/>
              </w:rPr>
            </w:pPr>
          </w:p>
        </w:tc>
        <w:tc>
          <w:tcPr>
            <w:tcW w:w="76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Property and equipment, net</w:t>
            </w:r>
          </w:p>
        </w:tc>
        <w:tc>
          <w:tcPr>
            <w:tcW w:w="9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ind w:left="480"/>
              <w:spacing w:after="0"/>
              <w:rPr>
                <w:sz w:val="20"/>
                <w:szCs w:val="20"/>
                <w:color w:val="auto"/>
              </w:rPr>
            </w:pPr>
            <w:r>
              <w:rPr>
                <w:rFonts w:ascii="Arial" w:cs="Arial" w:eastAsia="Arial" w:hAnsi="Arial"/>
                <w:sz w:val="18"/>
                <w:szCs w:val="18"/>
                <w:color w:val="auto"/>
                <w:w w:val="84"/>
              </w:rPr>
              <w:t>2,314</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2,604</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Depreciation and amortization expense totaled $359, $471 and $762 for the years ended December 31, 2016, 2017 and 2018, respectively.</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88" w:name="page189"/>
    <w:bookmarkEnd w:id="188"/>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EMPLOYEE SEVERANCE BENEFITS</w:t>
      </w:r>
    </w:p>
    <w:p>
      <w:pPr>
        <w:spacing w:after="0" w:line="229" w:lineRule="exact"/>
        <w:rPr>
          <w:sz w:val="20"/>
          <w:szCs w:val="20"/>
          <w:color w:val="auto"/>
        </w:rPr>
      </w:pPr>
    </w:p>
    <w:p>
      <w:pPr>
        <w:jc w:val="both"/>
        <w:ind w:left="360" w:right="40"/>
        <w:spacing w:after="0" w:line="259" w:lineRule="auto"/>
        <w:rPr>
          <w:sz w:val="20"/>
          <w:szCs w:val="20"/>
          <w:color w:val="auto"/>
        </w:rPr>
      </w:pPr>
      <w:r>
        <w:rPr>
          <w:rFonts w:ascii="Arial" w:cs="Arial" w:eastAsia="Arial" w:hAnsi="Arial"/>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were payable at each balance sheet date on an undiscounted basis.</w:t>
      </w:r>
    </w:p>
    <w:p>
      <w:pPr>
        <w:spacing w:after="0" w:line="187" w:lineRule="exact"/>
        <w:rPr>
          <w:sz w:val="20"/>
          <w:szCs w:val="20"/>
          <w:color w:val="auto"/>
        </w:rPr>
      </w:pPr>
    </w:p>
    <w:p>
      <w:pPr>
        <w:ind w:left="360" w:right="60"/>
        <w:spacing w:after="0" w:line="293" w:lineRule="auto"/>
        <w:rPr>
          <w:sz w:val="20"/>
          <w:szCs w:val="20"/>
          <w:color w:val="auto"/>
        </w:rPr>
      </w:pPr>
      <w:r>
        <w:rPr>
          <w:rFonts w:ascii="Arial" w:cs="Arial" w:eastAsia="Arial" w:hAnsi="Arial"/>
          <w:sz w:val="16"/>
          <w:szCs w:val="16"/>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 funded are not under the control and management of the Company and the pension or severance pay risks have been irrevocably transferred to the applicable insurance companies (the “Contribution Plan”).</w:t>
      </w:r>
    </w:p>
    <w:p>
      <w:pPr>
        <w:spacing w:after="0" w:line="165" w:lineRule="exact"/>
        <w:rPr>
          <w:sz w:val="20"/>
          <w:szCs w:val="20"/>
          <w:color w:val="auto"/>
        </w:rPr>
      </w:pPr>
    </w:p>
    <w:p>
      <w:pPr>
        <w:ind w:left="360" w:right="220"/>
        <w:spacing w:after="0" w:line="264" w:lineRule="auto"/>
        <w:rPr>
          <w:sz w:val="20"/>
          <w:szCs w:val="20"/>
          <w:color w:val="auto"/>
        </w:rPr>
      </w:pPr>
      <w:r>
        <w:rPr>
          <w:rFonts w:ascii="Arial" w:cs="Arial" w:eastAsia="Arial" w:hAnsi="Arial"/>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81" w:lineRule="exact"/>
        <w:rPr>
          <w:sz w:val="20"/>
          <w:szCs w:val="20"/>
          <w:color w:val="auto"/>
        </w:rPr>
      </w:pPr>
    </w:p>
    <w:p>
      <w:pPr>
        <w:ind w:left="360" w:right="120"/>
        <w:spacing w:after="0" w:line="308" w:lineRule="auto"/>
        <w:rPr>
          <w:sz w:val="20"/>
          <w:szCs w:val="20"/>
          <w:color w:val="auto"/>
        </w:rPr>
      </w:pPr>
      <w:r>
        <w:rPr>
          <w:rFonts w:ascii="Arial" w:cs="Arial" w:eastAsia="Arial" w:hAnsi="Arial"/>
          <w:sz w:val="17"/>
          <w:szCs w:val="17"/>
          <w:color w:val="auto"/>
        </w:rPr>
        <w:t>The amounts of severance payment expenses were $261, $275 and $431 for the years ended December 31, 2016, 2017 and 2018, respectively, of which $185, $257 and $292 in the years ended December, 2016, 2017 and 2018, respectively, were in respect of the Contribution Plan.</w:t>
      </w:r>
    </w:p>
    <w:p>
      <w:pPr>
        <w:spacing w:after="0" w:line="147" w:lineRule="exact"/>
        <w:rPr>
          <w:sz w:val="20"/>
          <w:szCs w:val="20"/>
          <w:color w:val="auto"/>
        </w:rPr>
      </w:pPr>
    </w:p>
    <w:p>
      <w:pPr>
        <w:ind w:left="360" w:right="160"/>
        <w:spacing w:after="0" w:line="277" w:lineRule="auto"/>
        <w:rPr>
          <w:sz w:val="20"/>
          <w:szCs w:val="20"/>
          <w:color w:val="auto"/>
        </w:rPr>
      </w:pPr>
      <w:r>
        <w:rPr>
          <w:rFonts w:ascii="Arial" w:cs="Arial" w:eastAsia="Arial" w:hAnsi="Arial"/>
          <w:sz w:val="18"/>
          <w:szCs w:val="18"/>
          <w:color w:val="auto"/>
        </w:rPr>
        <w:t>The Company expects to contribute approximately $308 in the year ending December 31, 2019 to insurance companies in connection with its expected severance liabilities for that year.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COMMITMENTS:</w:t>
      </w:r>
    </w:p>
    <w:p>
      <w:pPr>
        <w:spacing w:after="0" w:line="225" w:lineRule="exact"/>
        <w:rPr>
          <w:sz w:val="20"/>
          <w:szCs w:val="20"/>
          <w:color w:val="auto"/>
        </w:rPr>
      </w:pPr>
    </w:p>
    <w:p>
      <w:pPr>
        <w:ind w:left="660" w:hanging="301"/>
        <w:spacing w:after="0"/>
        <w:tabs>
          <w:tab w:leader="none" w:pos="660" w:val="left"/>
        </w:tabs>
        <w:numPr>
          <w:ilvl w:val="0"/>
          <w:numId w:val="147"/>
        </w:numPr>
        <w:rPr>
          <w:rFonts w:ascii="Arial" w:cs="Arial" w:eastAsia="Arial" w:hAnsi="Arial"/>
          <w:sz w:val="18"/>
          <w:szCs w:val="18"/>
          <w:b w:val="1"/>
          <w:bCs w:val="1"/>
          <w:color w:val="auto"/>
        </w:rPr>
      </w:pPr>
      <w:r>
        <w:rPr>
          <w:rFonts w:ascii="Arial" w:cs="Arial" w:eastAsia="Arial" w:hAnsi="Arial"/>
          <w:sz w:val="18"/>
          <w:szCs w:val="18"/>
          <w:b w:val="1"/>
          <w:bCs w:val="1"/>
          <w:color w:val="auto"/>
        </w:rPr>
        <w:t>Royalty Commitments:</w:t>
      </w:r>
    </w:p>
    <w:p>
      <w:pPr>
        <w:spacing w:after="0" w:line="229" w:lineRule="exact"/>
        <w:rPr>
          <w:rFonts w:ascii="Arial" w:cs="Arial" w:eastAsia="Arial" w:hAnsi="Arial"/>
          <w:sz w:val="18"/>
          <w:szCs w:val="18"/>
          <w:b w:val="1"/>
          <w:bCs w:val="1"/>
          <w:color w:val="auto"/>
        </w:rPr>
      </w:pPr>
    </w:p>
    <w:p>
      <w:pPr>
        <w:ind w:left="1040" w:hanging="357"/>
        <w:spacing w:after="0" w:line="277" w:lineRule="auto"/>
        <w:tabs>
          <w:tab w:leader="none" w:pos="1040" w:val="left"/>
        </w:tabs>
        <w:numPr>
          <w:ilvl w:val="1"/>
          <w:numId w:val="147"/>
        </w:numPr>
        <w:rPr>
          <w:rFonts w:ascii="Arial" w:cs="Arial" w:eastAsia="Arial" w:hAnsi="Arial"/>
          <w:sz w:val="18"/>
          <w:szCs w:val="18"/>
          <w:color w:val="auto"/>
        </w:rPr>
      </w:pPr>
      <w:r>
        <w:rPr>
          <w:rFonts w:ascii="Arial" w:cs="Arial" w:eastAsia="Arial" w:hAnsi="Arial"/>
          <w:sz w:val="18"/>
          <w:szCs w:val="18"/>
          <w:color w:val="auto"/>
        </w:rPr>
        <w:t>The Company is obligated to pay royalties to the IIA on proceeds from the sale of products developed from research and development activities that were funded, partially, by grants from the IIA.</w:t>
      </w:r>
    </w:p>
    <w:p>
      <w:pPr>
        <w:spacing w:after="0" w:line="170" w:lineRule="exact"/>
        <w:rPr>
          <w:rFonts w:ascii="Arial" w:cs="Arial" w:eastAsia="Arial" w:hAnsi="Arial"/>
          <w:sz w:val="18"/>
          <w:szCs w:val="18"/>
          <w:color w:val="auto"/>
        </w:rPr>
      </w:pPr>
    </w:p>
    <w:p>
      <w:pPr>
        <w:ind w:left="1040" w:right="20"/>
        <w:spacing w:after="0" w:line="264" w:lineRule="auto"/>
        <w:rPr>
          <w:rFonts w:ascii="Arial" w:cs="Arial" w:eastAsia="Arial" w:hAnsi="Arial"/>
          <w:sz w:val="18"/>
          <w:szCs w:val="18"/>
          <w:color w:val="auto"/>
        </w:rPr>
      </w:pPr>
      <w:r>
        <w:rPr>
          <w:rFonts w:ascii="Arial" w:cs="Arial" w:eastAsia="Arial" w:hAnsi="Arial"/>
          <w:sz w:val="18"/>
          <w:szCs w:val="18"/>
          <w:color w:val="auto"/>
        </w:rPr>
        <w:t>Under the specific terms of the funding arrangements with the IIA, royalties of 3.5% to 25% are payable on the sale of products developed with funding received from the IIA, which payments shall not exceed, in the aggregate, 300% of the amount of the grant received (dollar linked), plus interest at annual rate based on LIBOR.</w:t>
      </w:r>
    </w:p>
    <w:p>
      <w:pPr>
        <w:spacing w:after="0" w:line="181" w:lineRule="exact"/>
        <w:rPr>
          <w:rFonts w:ascii="Arial" w:cs="Arial" w:eastAsia="Arial" w:hAnsi="Arial"/>
          <w:sz w:val="18"/>
          <w:szCs w:val="18"/>
          <w:color w:val="auto"/>
        </w:rPr>
      </w:pPr>
    </w:p>
    <w:p>
      <w:pPr>
        <w:ind w:left="1040" w:right="260"/>
        <w:spacing w:after="0" w:line="264" w:lineRule="auto"/>
        <w:rPr>
          <w:rFonts w:ascii="Arial" w:cs="Arial" w:eastAsia="Arial" w:hAnsi="Arial"/>
          <w:sz w:val="18"/>
          <w:szCs w:val="18"/>
          <w:color w:val="auto"/>
        </w:rPr>
      </w:pPr>
      <w:r>
        <w:rPr>
          <w:rFonts w:ascii="Arial" w:cs="Arial" w:eastAsia="Arial" w:hAnsi="Arial"/>
          <w:sz w:val="18"/>
          <w:szCs w:val="18"/>
          <w:color w:val="auto"/>
        </w:rPr>
        <w:t>Up to December 31, 2018, the Company had recognized and received grants from the IIA in the amount of $1,431. Through December 31, 2018, the Company recorded an accumulated royalty expense of $2,029 as royalties to the IIA with respect to revenue recognized until 2018 ($32 were recorded in 2018 as an expense).</w:t>
      </w:r>
    </w:p>
    <w:p>
      <w:pPr>
        <w:spacing w:after="0" w:line="181"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The Company did not receive any grants from the IIA for the years ended December 31, 2016, 2017 and 2018.</w:t>
      </w:r>
    </w:p>
    <w:p>
      <w:pPr>
        <w:spacing w:after="0" w:line="200" w:lineRule="exact"/>
        <w:rPr>
          <w:sz w:val="20"/>
          <w:szCs w:val="20"/>
          <w:color w:val="auto"/>
        </w:rPr>
      </w:pP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F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38" w:right="259" w:bottom="1440" w:gutter="0" w:footer="0" w:header="0"/>
        </w:sectPr>
      </w:pPr>
    </w:p>
    <w:bookmarkStart w:id="189" w:name="page190"/>
    <w:bookmarkEnd w:id="189"/>
    <w:p>
      <w:pPr>
        <w:jc w:val="center"/>
        <w:ind w:left="680"/>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76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6 — COMMITMENTS </w:t>
      </w:r>
      <w:r>
        <w:rPr>
          <w:rFonts w:ascii="Arial" w:cs="Arial" w:eastAsia="Arial" w:hAnsi="Arial"/>
          <w:sz w:val="18"/>
          <w:szCs w:val="18"/>
          <w:color w:val="auto"/>
        </w:rPr>
        <w:t>(continued):</w:t>
      </w:r>
    </w:p>
    <w:p>
      <w:pPr>
        <w:spacing w:after="0" w:line="229" w:lineRule="exact"/>
        <w:rPr>
          <w:sz w:val="20"/>
          <w:szCs w:val="20"/>
          <w:color w:val="auto"/>
        </w:rPr>
      </w:pPr>
    </w:p>
    <w:p>
      <w:pPr>
        <w:ind w:left="1040" w:right="100" w:hanging="357"/>
        <w:spacing w:after="0" w:line="277" w:lineRule="auto"/>
        <w:tabs>
          <w:tab w:leader="none" w:pos="104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The Company has an agreement, that was amended several times (hereafter — the agreements) with Yissum Research Development Company (hereafter — “Yissum”), the technology-licensing arm of the Hebrew University of Jerusalem.</w:t>
      </w:r>
    </w:p>
    <w:p>
      <w:pPr>
        <w:spacing w:after="0" w:line="170" w:lineRule="exact"/>
        <w:rPr>
          <w:rFonts w:ascii="Arial" w:cs="Arial" w:eastAsia="Arial" w:hAnsi="Arial"/>
          <w:sz w:val="18"/>
          <w:szCs w:val="18"/>
          <w:color w:val="auto"/>
        </w:rPr>
      </w:pPr>
    </w:p>
    <w:p>
      <w:pPr>
        <w:ind w:left="1020"/>
        <w:spacing w:after="0" w:line="277" w:lineRule="auto"/>
        <w:rPr>
          <w:rFonts w:ascii="Arial" w:cs="Arial" w:eastAsia="Arial" w:hAnsi="Arial"/>
          <w:sz w:val="18"/>
          <w:szCs w:val="18"/>
          <w:color w:val="auto"/>
        </w:rPr>
      </w:pPr>
      <w:r>
        <w:rPr>
          <w:rFonts w:ascii="Arial" w:cs="Arial" w:eastAsia="Arial" w:hAnsi="Arial"/>
          <w:sz w:val="18"/>
          <w:szCs w:val="18"/>
          <w:color w:val="auto"/>
        </w:rPr>
        <w:t>According to the agreements, the Company received from Yissum an exclusive and a non-exclusive license for the commercialization of certain Yissum patents. According to the agreements the Company shall pay Yissum:</w:t>
      </w:r>
    </w:p>
    <w:p>
      <w:pPr>
        <w:spacing w:after="0" w:line="170" w:lineRule="exact"/>
        <w:rPr>
          <w:rFonts w:ascii="Arial" w:cs="Arial" w:eastAsia="Arial" w:hAnsi="Arial"/>
          <w:sz w:val="18"/>
          <w:szCs w:val="18"/>
          <w:color w:val="auto"/>
        </w:rPr>
      </w:pPr>
    </w:p>
    <w:p>
      <w:pPr>
        <w:ind w:left="1540" w:hanging="492"/>
        <w:spacing w:after="0"/>
        <w:tabs>
          <w:tab w:leader="none" w:pos="1540" w:val="left"/>
        </w:tabs>
        <w:numPr>
          <w:ilvl w:val="1"/>
          <w:numId w:val="148"/>
        </w:numPr>
        <w:rPr>
          <w:rFonts w:ascii="Arial" w:cs="Arial" w:eastAsia="Arial" w:hAnsi="Arial"/>
          <w:sz w:val="18"/>
          <w:szCs w:val="18"/>
          <w:color w:val="auto"/>
        </w:rPr>
      </w:pPr>
      <w:r>
        <w:rPr>
          <w:rFonts w:ascii="Arial" w:cs="Arial" w:eastAsia="Arial" w:hAnsi="Arial"/>
          <w:sz w:val="18"/>
          <w:szCs w:val="18"/>
          <w:color w:val="auto"/>
        </w:rPr>
        <w:t>Royalties of 1.5% of net sales related to certain patents.</w:t>
      </w:r>
    </w:p>
    <w:p>
      <w:pPr>
        <w:spacing w:after="0" w:line="225" w:lineRule="exact"/>
        <w:rPr>
          <w:rFonts w:ascii="Arial" w:cs="Arial" w:eastAsia="Arial" w:hAnsi="Arial"/>
          <w:sz w:val="18"/>
          <w:szCs w:val="18"/>
          <w:color w:val="auto"/>
        </w:rPr>
      </w:pPr>
    </w:p>
    <w:p>
      <w:pPr>
        <w:ind w:left="1540" w:hanging="492"/>
        <w:spacing w:after="0"/>
        <w:tabs>
          <w:tab w:leader="none" w:pos="1540" w:val="left"/>
        </w:tabs>
        <w:numPr>
          <w:ilvl w:val="1"/>
          <w:numId w:val="148"/>
        </w:numPr>
        <w:rPr>
          <w:rFonts w:ascii="Arial" w:cs="Arial" w:eastAsia="Arial" w:hAnsi="Arial"/>
          <w:sz w:val="18"/>
          <w:szCs w:val="18"/>
          <w:color w:val="auto"/>
        </w:rPr>
      </w:pPr>
      <w:r>
        <w:rPr>
          <w:rFonts w:ascii="Arial" w:cs="Arial" w:eastAsia="Arial" w:hAnsi="Arial"/>
          <w:sz w:val="18"/>
          <w:szCs w:val="18"/>
          <w:color w:val="auto"/>
        </w:rPr>
        <w:t>1.5% – 8% of proceeds received by the Company for the sub-license or license of certain patents.</w:t>
      </w:r>
    </w:p>
    <w:p>
      <w:pPr>
        <w:spacing w:after="0" w:line="225" w:lineRule="exact"/>
        <w:rPr>
          <w:sz w:val="20"/>
          <w:szCs w:val="20"/>
          <w:color w:val="auto"/>
        </w:rPr>
      </w:pPr>
    </w:p>
    <w:p>
      <w:pPr>
        <w:ind w:left="1040" w:right="420"/>
        <w:spacing w:after="0" w:line="277" w:lineRule="auto"/>
        <w:rPr>
          <w:sz w:val="20"/>
          <w:szCs w:val="20"/>
          <w:color w:val="auto"/>
        </w:rPr>
      </w:pPr>
      <w:r>
        <w:rPr>
          <w:rFonts w:ascii="Arial" w:cs="Arial" w:eastAsia="Arial" w:hAnsi="Arial"/>
          <w:sz w:val="18"/>
          <w:szCs w:val="18"/>
          <w:color w:val="auto"/>
        </w:rPr>
        <w:t>According to the agreements, the Company may continue commercial use of certain Yissum’s patents in connection with the products and subject to the obligation to pay Yissum the royalties and the sub-license fees.</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The Company granted rights to a third party for use and commercialization of certain Yissum patents.</w:t>
      </w:r>
    </w:p>
    <w:p>
      <w:pPr>
        <w:spacing w:after="0" w:line="221" w:lineRule="exact"/>
        <w:rPr>
          <w:sz w:val="20"/>
          <w:szCs w:val="20"/>
          <w:color w:val="auto"/>
        </w:rPr>
      </w:pPr>
    </w:p>
    <w:p>
      <w:pPr>
        <w:ind w:left="660" w:hanging="301"/>
        <w:spacing w:after="0"/>
        <w:tabs>
          <w:tab w:leader="none" w:pos="660" w:val="left"/>
        </w:tabs>
        <w:numPr>
          <w:ilvl w:val="0"/>
          <w:numId w:val="149"/>
        </w:numPr>
        <w:rPr>
          <w:rFonts w:ascii="Arial" w:cs="Arial" w:eastAsia="Arial" w:hAnsi="Arial"/>
          <w:sz w:val="18"/>
          <w:szCs w:val="18"/>
          <w:b w:val="1"/>
          <w:bCs w:val="1"/>
          <w:color w:val="auto"/>
        </w:rPr>
      </w:pPr>
      <w:r>
        <w:rPr>
          <w:rFonts w:ascii="Arial" w:cs="Arial" w:eastAsia="Arial" w:hAnsi="Arial"/>
          <w:sz w:val="18"/>
          <w:szCs w:val="18"/>
          <w:b w:val="1"/>
          <w:bCs w:val="1"/>
          <w:color w:val="auto"/>
        </w:rPr>
        <w:t>Lease Agreements</w:t>
      </w:r>
    </w:p>
    <w:p>
      <w:pPr>
        <w:spacing w:after="0" w:line="229" w:lineRule="exact"/>
        <w:rPr>
          <w:sz w:val="20"/>
          <w:szCs w:val="20"/>
          <w:color w:val="auto"/>
        </w:rPr>
      </w:pPr>
    </w:p>
    <w:p>
      <w:pPr>
        <w:ind w:left="700" w:right="140"/>
        <w:spacing w:after="0" w:line="277" w:lineRule="auto"/>
        <w:rPr>
          <w:sz w:val="20"/>
          <w:szCs w:val="20"/>
          <w:color w:val="auto"/>
        </w:rPr>
      </w:pPr>
      <w:r>
        <w:rPr>
          <w:rFonts w:ascii="Arial" w:cs="Arial" w:eastAsia="Arial" w:hAnsi="Arial"/>
          <w:sz w:val="18"/>
          <w:szCs w:val="18"/>
          <w:color w:val="auto"/>
        </w:rPr>
        <w:t>The Company leases office spaces and research and development facilities under several agreements. These agreements are linked to the change in the Israeli consumer price index and expire in December 2020.</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annual lease expenses for the years ended December 31, 2016, 2017 and 2018 were approximately $316, $464 and $477, respectively.</w:t>
      </w:r>
    </w:p>
    <w:p>
      <w:pPr>
        <w:spacing w:after="0" w:line="23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As of December 31, 2018, future minimum lease commitments under these operating lease agreements are as follows:</w:t>
      </w:r>
    </w:p>
    <w:p>
      <w:pPr>
        <w:spacing w:after="0" w:line="221" w:lineRule="exact"/>
        <w:rPr>
          <w:sz w:val="20"/>
          <w:szCs w:val="20"/>
          <w:color w:val="auto"/>
        </w:rPr>
      </w:pPr>
    </w:p>
    <w:tbl>
      <w:tblPr>
        <w:tblLayout w:type="fixed"/>
        <w:tblInd w:w="2860" w:type="dxa"/>
        <w:tblCellMar>
          <w:top w:w="0" w:type="dxa"/>
          <w:left w:w="0" w:type="dxa"/>
          <w:bottom w:w="0" w:type="dxa"/>
          <w:right w:w="0" w:type="dxa"/>
        </w:tblCellMar>
      </w:tblPr>
      <w:tr>
        <w:trPr>
          <w:trHeight w:val="241"/>
        </w:trPr>
        <w:tc>
          <w:tcPr>
            <w:tcW w:w="33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Year</w:t>
            </w:r>
          </w:p>
        </w:tc>
        <w:tc>
          <w:tcPr>
            <w:tcW w:w="1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Amount</w:t>
            </w:r>
          </w:p>
        </w:tc>
        <w:tc>
          <w:tcPr>
            <w:tcW w:w="2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8"/>
                <w:szCs w:val="18"/>
                <w:color w:val="auto"/>
              </w:rPr>
              <w:t>2019</w:t>
            </w: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2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2020</w:t>
            </w:r>
          </w:p>
        </w:tc>
        <w:tc>
          <w:tcPr>
            <w:tcW w:w="16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477</w:t>
            </w:r>
          </w:p>
        </w:tc>
        <w:tc>
          <w:tcPr>
            <w:tcW w:w="200" w:type="dxa"/>
            <w:vAlign w:val="bottom"/>
          </w:tcPr>
          <w:p>
            <w:pPr>
              <w:spacing w:after="0"/>
              <w:rPr>
                <w:sz w:val="19"/>
                <w:szCs w:val="19"/>
                <w:color w:val="auto"/>
              </w:rPr>
            </w:pPr>
          </w:p>
        </w:tc>
      </w:tr>
      <w:tr>
        <w:trPr>
          <w:trHeight w:val="257"/>
        </w:trPr>
        <w:tc>
          <w:tcPr>
            <w:tcW w:w="20" w:type="dxa"/>
            <w:vAlign w:val="bottom"/>
          </w:tcPr>
          <w:p>
            <w:pPr>
              <w:spacing w:after="0"/>
              <w:rPr>
                <w:sz w:val="22"/>
                <w:szCs w:val="22"/>
                <w:color w:val="auto"/>
              </w:rPr>
            </w:pPr>
          </w:p>
        </w:tc>
        <w:tc>
          <w:tcPr>
            <w:tcW w:w="3360" w:type="dxa"/>
            <w:vAlign w:val="bottom"/>
            <w:tcBorders>
              <w:bottom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shd w:val="clear" w:color="auto" w:fill="CCEEFF"/>
              </w:rPr>
              <w:t>Total</w:t>
            </w:r>
          </w:p>
        </w:tc>
        <w:tc>
          <w:tcPr>
            <w:tcW w:w="16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954</w:t>
            </w:r>
          </w:p>
        </w:tc>
        <w:tc>
          <w:tcPr>
            <w:tcW w:w="200" w:type="dxa"/>
            <w:vAlign w:val="bottom"/>
            <w:tcBorders>
              <w:bottom w:val="single" w:sz="8" w:color="CCEEFF"/>
            </w:tcBorders>
            <w:shd w:val="clear" w:color="auto" w:fill="CCEEFF"/>
          </w:tcPr>
          <w:p>
            <w:pPr>
              <w:spacing w:after="0"/>
              <w:rPr>
                <w:sz w:val="22"/>
                <w:szCs w:val="22"/>
                <w:color w:val="auto"/>
              </w:rPr>
            </w:pPr>
          </w:p>
        </w:tc>
      </w:tr>
    </w:tbl>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As security for its obligation under the lease agreements the Company deposited $112 which are classified as restricted long-term deposits.</w:t>
      </w:r>
    </w:p>
    <w:p>
      <w:pPr>
        <w:spacing w:after="0" w:line="221" w:lineRule="exact"/>
        <w:rPr>
          <w:sz w:val="20"/>
          <w:szCs w:val="20"/>
          <w:color w:val="auto"/>
        </w:rPr>
      </w:pPr>
    </w:p>
    <w:p>
      <w:pPr>
        <w:ind w:left="660" w:hanging="301"/>
        <w:spacing w:after="0"/>
        <w:tabs>
          <w:tab w:leader="none" w:pos="660" w:val="left"/>
        </w:tabs>
        <w:numPr>
          <w:ilvl w:val="0"/>
          <w:numId w:val="150"/>
        </w:numPr>
        <w:rPr>
          <w:rFonts w:ascii="Arial" w:cs="Arial" w:eastAsia="Arial" w:hAnsi="Arial"/>
          <w:sz w:val="18"/>
          <w:szCs w:val="18"/>
          <w:b w:val="1"/>
          <w:bCs w:val="1"/>
          <w:color w:val="auto"/>
        </w:rPr>
      </w:pPr>
      <w:r>
        <w:rPr>
          <w:rFonts w:ascii="Arial" w:cs="Arial" w:eastAsia="Arial" w:hAnsi="Arial"/>
          <w:sz w:val="18"/>
          <w:szCs w:val="18"/>
          <w:b w:val="1"/>
          <w:bCs w:val="1"/>
          <w:color w:val="auto"/>
        </w:rPr>
        <w:t>Vehicle Lease Agreements</w:t>
      </w:r>
    </w:p>
    <w:p>
      <w:pPr>
        <w:spacing w:after="0" w:line="229" w:lineRule="exact"/>
        <w:rPr>
          <w:sz w:val="20"/>
          <w:szCs w:val="20"/>
          <w:color w:val="auto"/>
        </w:rPr>
      </w:pPr>
    </w:p>
    <w:p>
      <w:pPr>
        <w:ind w:left="700" w:right="100"/>
        <w:spacing w:after="0" w:line="277" w:lineRule="auto"/>
        <w:rPr>
          <w:sz w:val="20"/>
          <w:szCs w:val="20"/>
          <w:color w:val="auto"/>
        </w:rPr>
      </w:pPr>
      <w:r>
        <w:rPr>
          <w:rFonts w:ascii="Arial" w:cs="Arial" w:eastAsia="Arial" w:hAnsi="Arial"/>
          <w:sz w:val="18"/>
          <w:szCs w:val="18"/>
          <w:color w:val="auto"/>
        </w:rPr>
        <w:t>The Company has entered into operating lease agreements for vehicles used by its employees for a period of 3 years. The annual lease expenses for the years ended December 31, 2016, 2017 and 2018 were $156, $187 and $226, respectively.</w:t>
      </w:r>
    </w:p>
    <w:p>
      <w:pPr>
        <w:spacing w:after="0" w:line="170" w:lineRule="exact"/>
        <w:rPr>
          <w:sz w:val="20"/>
          <w:szCs w:val="20"/>
          <w:color w:val="auto"/>
        </w:rPr>
      </w:pPr>
    </w:p>
    <w:p>
      <w:pPr>
        <w:ind w:left="700" w:right="100"/>
        <w:spacing w:after="0" w:line="277" w:lineRule="auto"/>
        <w:rPr>
          <w:sz w:val="20"/>
          <w:szCs w:val="20"/>
          <w:color w:val="auto"/>
        </w:rPr>
      </w:pPr>
      <w:r>
        <w:rPr>
          <w:rFonts w:ascii="Arial" w:cs="Arial" w:eastAsia="Arial" w:hAnsi="Arial"/>
          <w:sz w:val="18"/>
          <w:szCs w:val="18"/>
          <w:color w:val="auto"/>
        </w:rPr>
        <w:t>The expected annual lease payments under this agreement for the next three years are $185, $136 and $28 for the years ending December 31, 2019, 2020 and 2021, respectively.</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As security for its obligation under the lease agreements the Company deposited $47.</w:t>
      </w:r>
    </w:p>
    <w:p>
      <w:pPr>
        <w:spacing w:after="0" w:line="200" w:lineRule="exact"/>
        <w:rPr>
          <w:sz w:val="20"/>
          <w:szCs w:val="20"/>
          <w:color w:val="auto"/>
        </w:rPr>
      </w:pP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F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190" w:name="page191"/>
    <w:bookmarkEnd w:id="190"/>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6 — COMMITMENTS </w:t>
      </w:r>
      <w:r>
        <w:rPr>
          <w:rFonts w:ascii="Arial" w:cs="Arial" w:eastAsia="Arial" w:hAnsi="Arial"/>
          <w:sz w:val="18"/>
          <w:szCs w:val="18"/>
          <w:color w:val="auto"/>
        </w:rPr>
        <w:t>(continued):</w:t>
      </w:r>
    </w:p>
    <w:p>
      <w:pPr>
        <w:spacing w:after="0" w:line="229" w:lineRule="exact"/>
        <w:rPr>
          <w:sz w:val="20"/>
          <w:szCs w:val="20"/>
          <w:color w:val="auto"/>
        </w:rPr>
      </w:pPr>
    </w:p>
    <w:p>
      <w:pPr>
        <w:ind w:left="660" w:right="160" w:hanging="301"/>
        <w:spacing w:after="0" w:line="257" w:lineRule="auto"/>
        <w:tabs>
          <w:tab w:leader="none" w:pos="660" w:val="left"/>
        </w:tabs>
        <w:numPr>
          <w:ilvl w:val="0"/>
          <w:numId w:val="151"/>
        </w:numPr>
        <w:rPr>
          <w:rFonts w:ascii="Arial" w:cs="Arial" w:eastAsia="Arial" w:hAnsi="Arial"/>
          <w:sz w:val="18"/>
          <w:szCs w:val="18"/>
          <w:b w:val="1"/>
          <w:bCs w:val="1"/>
          <w:color w:val="auto"/>
        </w:rPr>
      </w:pPr>
      <w:r>
        <w:rPr>
          <w:rFonts w:ascii="Arial" w:cs="Arial" w:eastAsia="Arial" w:hAnsi="Arial"/>
          <w:sz w:val="18"/>
          <w:szCs w:val="18"/>
          <w:color w:val="auto"/>
        </w:rPr>
        <w:t>In June 2008, the Company entered into a Master Clinical Trial Services Agreement with a third party, which was later amended in April 2016, to retain its services as a clinical research organization for certain product candidate subject to task work orders to be issued by the Company. During 2018, the Company entered into six additional task orders. As consideration for its services the Company will pay a total amount of approximately $14,343 during the term of the engagement and based on achievement of certain milestones, out of which $1,803 were recognized as an expense until December 31, 2018.</w:t>
      </w:r>
    </w:p>
    <w:p>
      <w:pPr>
        <w:spacing w:after="0" w:line="188" w:lineRule="exact"/>
        <w:rPr>
          <w:rFonts w:ascii="Arial" w:cs="Arial" w:eastAsia="Arial" w:hAnsi="Arial"/>
          <w:sz w:val="18"/>
          <w:szCs w:val="18"/>
          <w:b w:val="1"/>
          <w:bCs w:val="1"/>
          <w:color w:val="auto"/>
        </w:rPr>
      </w:pPr>
    </w:p>
    <w:p>
      <w:pPr>
        <w:ind w:left="660" w:hanging="301"/>
        <w:spacing w:after="0" w:line="290" w:lineRule="auto"/>
        <w:tabs>
          <w:tab w:leader="none" w:pos="660" w:val="left"/>
        </w:tabs>
        <w:numPr>
          <w:ilvl w:val="0"/>
          <w:numId w:val="151"/>
        </w:numPr>
        <w:rPr>
          <w:rFonts w:ascii="Arial" w:cs="Arial" w:eastAsia="Arial" w:hAnsi="Arial"/>
          <w:sz w:val="16"/>
          <w:szCs w:val="16"/>
          <w:b w:val="1"/>
          <w:bCs w:val="1"/>
          <w:color w:val="auto"/>
        </w:rPr>
      </w:pPr>
      <w:r>
        <w:rPr>
          <w:rFonts w:ascii="Arial" w:cs="Arial" w:eastAsia="Arial" w:hAnsi="Arial"/>
          <w:sz w:val="16"/>
          <w:szCs w:val="16"/>
          <w:color w:val="auto"/>
        </w:rPr>
        <w:t>In April 2015, the Company entered into a development, manufacturing and commercialization agreement, as amended on October 26, 2015, with a third party, to work towards the objective of obtaining all the U.S. Food and Drug Administration (hereafter-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(hereafter- ANDA), with the FDA and gain regulatory approval. As soon as 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w:t>
      </w:r>
    </w:p>
    <w:p>
      <w:pPr>
        <w:spacing w:after="0" w:line="166" w:lineRule="exact"/>
        <w:rPr>
          <w:rFonts w:ascii="Arial" w:cs="Arial" w:eastAsia="Arial" w:hAnsi="Arial"/>
          <w:sz w:val="16"/>
          <w:szCs w:val="16"/>
          <w:b w:val="1"/>
          <w:bCs w:val="1"/>
          <w:color w:val="auto"/>
        </w:rPr>
      </w:pPr>
    </w:p>
    <w:p>
      <w:pPr>
        <w:ind w:left="660" w:right="20"/>
        <w:spacing w:after="0" w:line="291" w:lineRule="auto"/>
        <w:rPr>
          <w:rFonts w:ascii="Arial" w:cs="Arial" w:eastAsia="Arial" w:hAnsi="Arial"/>
          <w:sz w:val="16"/>
          <w:szCs w:val="16"/>
          <w:b w:val="1"/>
          <w:bCs w:val="1"/>
          <w:color w:val="auto"/>
        </w:rPr>
      </w:pPr>
      <w:r>
        <w:rPr>
          <w:rFonts w:ascii="Arial" w:cs="Arial" w:eastAsia="Arial" w:hAnsi="Arial"/>
          <w:sz w:val="16"/>
          <w:szCs w:val="16"/>
          <w:color w:val="auto"/>
        </w:rPr>
        <w:t>Each party is responsible for its own costs in relation to performance under the agreement. The Company will finance all out-of-pocket clinical trial expenses (including materials), and the third party will reimburse the Company for 40% of the out-of-pocket clinical trial expenses as follows (a) in case of success of obtaining the FDA approval, by financing the Company's share in the out-of-pocket litigation expenses (and by a cash payment if such financing is less than the reimbursement owed to the Company) , or (b) in case of failure to obtain the required FDA approval for the commercialization of the product candidate, by paying back the Company an amount equal to 40% of its out-of-pocket expenses. In 2017, the Company recognized the third party's obligation as a long term receivable. As of December 31, 2018, the third party obligation is in the amount of $1,562 and classified as other receivables under the other current assets. The total amount was paid in January 2019.</w:t>
      </w:r>
    </w:p>
    <w:p>
      <w:pPr>
        <w:spacing w:after="0" w:line="167" w:lineRule="exact"/>
        <w:rPr>
          <w:rFonts w:ascii="Arial" w:cs="Arial" w:eastAsia="Arial" w:hAnsi="Arial"/>
          <w:sz w:val="16"/>
          <w:szCs w:val="16"/>
          <w:b w:val="1"/>
          <w:bCs w:val="1"/>
          <w:color w:val="auto"/>
        </w:rPr>
      </w:pPr>
    </w:p>
    <w:p>
      <w:pPr>
        <w:ind w:left="660" w:right="340" w:hanging="301"/>
        <w:spacing w:after="0" w:line="297" w:lineRule="auto"/>
        <w:tabs>
          <w:tab w:leader="none" w:pos="660" w:val="left"/>
        </w:tabs>
        <w:numPr>
          <w:ilvl w:val="0"/>
          <w:numId w:val="151"/>
        </w:numPr>
        <w:rPr>
          <w:rFonts w:ascii="Arial" w:cs="Arial" w:eastAsia="Arial" w:hAnsi="Arial"/>
          <w:sz w:val="16"/>
          <w:szCs w:val="16"/>
          <w:b w:val="1"/>
          <w:bCs w:val="1"/>
          <w:color w:val="auto"/>
        </w:rPr>
      </w:pPr>
      <w:r>
        <w:rPr>
          <w:rFonts w:ascii="Arial" w:cs="Arial" w:eastAsia="Arial" w:hAnsi="Arial"/>
          <w:sz w:val="16"/>
          <w:szCs w:val="16"/>
          <w:color w:val="auto"/>
        </w:rPr>
        <w:t>In 2016 through 2018, the Company entered into six collaboration agreements with two third parties for the development, manufacturing and commercialization of six product candidates (including an agreement assumed by the Company in August 2017, following the transfer of an in-process research and development product candidate from a related party). Under these agreements, the third parties are obligated to conduct all regulatory, scientific, clinical and technical activities necessary to develop the product and prepare and file ANDA, with the FDA and gain regulatory approval. The Company is obligated for sourcing the active pharmaceutical ingredient (API) during the development phase.</w:t>
      </w:r>
    </w:p>
    <w:p>
      <w:pPr>
        <w:spacing w:after="0" w:line="158" w:lineRule="exact"/>
        <w:rPr>
          <w:rFonts w:ascii="Arial" w:cs="Arial" w:eastAsia="Arial" w:hAnsi="Arial"/>
          <w:sz w:val="16"/>
          <w:szCs w:val="16"/>
          <w:b w:val="1"/>
          <w:bCs w:val="1"/>
          <w:color w:val="auto"/>
        </w:rPr>
      </w:pPr>
    </w:p>
    <w:p>
      <w:pPr>
        <w:ind w:left="660" w:right="60"/>
        <w:spacing w:after="0" w:line="259" w:lineRule="auto"/>
        <w:rPr>
          <w:rFonts w:ascii="Arial" w:cs="Arial" w:eastAsia="Arial" w:hAnsi="Arial"/>
          <w:sz w:val="16"/>
          <w:szCs w:val="16"/>
          <w:b w:val="1"/>
          <w:bCs w:val="1"/>
          <w:color w:val="auto"/>
        </w:rPr>
      </w:pPr>
      <w:r>
        <w:rPr>
          <w:rFonts w:ascii="Arial" w:cs="Arial" w:eastAsia="Arial" w:hAnsi="Arial"/>
          <w:sz w:val="18"/>
          <w:szCs w:val="18"/>
          <w:color w:val="auto"/>
        </w:rPr>
        <w:t>Upon FDA approval, the third parties have exclusive rights and are required to use diligent efforts to commercialize this product in territories defined under the agreements, including all required sales, marketing and distributing activities associated with the agreements. The Company is entitled to 50% of the third party’s gross profits related to the sale of these products, as such term is defined in the agreements. In January 2019, one of these product candidates received final approval from the FDA. See also note 12.</w:t>
      </w:r>
    </w:p>
    <w:p>
      <w:pPr>
        <w:spacing w:after="0" w:line="186" w:lineRule="exact"/>
        <w:rPr>
          <w:rFonts w:ascii="Arial" w:cs="Arial" w:eastAsia="Arial" w:hAnsi="Arial"/>
          <w:sz w:val="16"/>
          <w:szCs w:val="16"/>
          <w:b w:val="1"/>
          <w:bCs w:val="1"/>
          <w:color w:val="auto"/>
        </w:rPr>
      </w:pPr>
    </w:p>
    <w:p>
      <w:pPr>
        <w:ind w:left="660" w:right="80" w:hanging="301"/>
        <w:spacing w:after="0" w:line="259" w:lineRule="auto"/>
        <w:tabs>
          <w:tab w:leader="none" w:pos="660" w:val="left"/>
        </w:tabs>
        <w:numPr>
          <w:ilvl w:val="0"/>
          <w:numId w:val="151"/>
        </w:numPr>
        <w:rPr>
          <w:rFonts w:ascii="Arial" w:cs="Arial" w:eastAsia="Arial" w:hAnsi="Arial"/>
          <w:sz w:val="18"/>
          <w:szCs w:val="18"/>
          <w:b w:val="1"/>
          <w:bCs w:val="1"/>
          <w:color w:val="auto"/>
        </w:rPr>
      </w:pPr>
      <w:r>
        <w:rPr>
          <w:rFonts w:ascii="Arial" w:cs="Arial" w:eastAsia="Arial" w:hAnsi="Arial"/>
          <w:sz w:val="18"/>
          <w:szCs w:val="18"/>
          <w:color w:val="auto"/>
        </w:rPr>
        <w:t>In October 2017, the Company entered into a Clinical Development Master Services Agreement with a third party, to retain it as clinical research organization for certain product candidate, subject to task work orders to be issued by the Company. As consideration for its services the Company will pay a total amount of approximately $12,927, during the term of the engagement and based on achievement of certain milestones, out of which $6,299 were recognized as an expense until December 31, 2018.</w:t>
      </w:r>
    </w:p>
    <w:p>
      <w:pPr>
        <w:spacing w:after="0" w:line="372"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F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191" w:name="page192"/>
    <w:bookmarkEnd w:id="191"/>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6 — COMMITMENTS </w:t>
      </w:r>
      <w:r>
        <w:rPr>
          <w:rFonts w:ascii="Arial" w:cs="Arial" w:eastAsia="Arial" w:hAnsi="Arial"/>
          <w:sz w:val="18"/>
          <w:szCs w:val="18"/>
          <w:color w:val="auto"/>
        </w:rPr>
        <w:t>(continued):</w:t>
      </w:r>
    </w:p>
    <w:p>
      <w:pPr>
        <w:spacing w:after="0" w:line="229" w:lineRule="exact"/>
        <w:rPr>
          <w:sz w:val="20"/>
          <w:szCs w:val="20"/>
          <w:color w:val="auto"/>
        </w:rPr>
      </w:pPr>
    </w:p>
    <w:p>
      <w:pPr>
        <w:ind w:left="660" w:right="40" w:hanging="301"/>
        <w:spacing w:after="0" w:line="259" w:lineRule="auto"/>
        <w:tabs>
          <w:tab w:leader="none" w:pos="660" w:val="left"/>
        </w:tabs>
        <w:numPr>
          <w:ilvl w:val="0"/>
          <w:numId w:val="152"/>
        </w:numPr>
        <w:rPr>
          <w:rFonts w:ascii="Arial" w:cs="Arial" w:eastAsia="Arial" w:hAnsi="Arial"/>
          <w:sz w:val="18"/>
          <w:szCs w:val="18"/>
          <w:b w:val="1"/>
          <w:bCs w:val="1"/>
          <w:color w:val="auto"/>
        </w:rPr>
      </w:pPr>
      <w:r>
        <w:rPr>
          <w:rFonts w:ascii="Arial" w:cs="Arial" w:eastAsia="Arial" w:hAnsi="Arial"/>
          <w:sz w:val="18"/>
          <w:szCs w:val="18"/>
          <w:color w:val="auto"/>
        </w:rPr>
        <w:t>In July 2018, the Company signed on a Master Services Agreement to receive certain clinical research services for certain product candidate subject to task work orders to be issued by the Company. As consideration for the services in the first work order the Company will pay a total amount of approximately $2,099 during the term of the engagement and based on achievement of certain milestones, $1,044 of which were recognized as an expense until December 31, 2018.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LOANS FROM THE CONTROLLING SHAREHOLDER</w:t>
      </w:r>
    </w:p>
    <w:p>
      <w:pPr>
        <w:spacing w:after="0" w:line="229" w:lineRule="exact"/>
        <w:rPr>
          <w:sz w:val="20"/>
          <w:szCs w:val="20"/>
          <w:color w:val="auto"/>
        </w:rPr>
      </w:pPr>
    </w:p>
    <w:p>
      <w:pPr>
        <w:ind w:left="360" w:right="120"/>
        <w:spacing w:after="0" w:line="277" w:lineRule="auto"/>
        <w:rPr>
          <w:sz w:val="20"/>
          <w:szCs w:val="20"/>
          <w:color w:val="auto"/>
        </w:rPr>
      </w:pPr>
      <w:r>
        <w:rPr>
          <w:rFonts w:ascii="Arial" w:cs="Arial" w:eastAsia="Arial" w:hAnsi="Arial"/>
          <w:sz w:val="18"/>
          <w:szCs w:val="18"/>
          <w:color w:val="auto"/>
        </w:rPr>
        <w:t>Until December 31, 2017, the Company received loans from its Controlling Shareholder in the aggregated amount of $65,338, including loans received during the years ended December 31, 2016 and 2017 in the amounts of $20,000 and $28,000, respectively.</w:t>
      </w:r>
    </w:p>
    <w:p>
      <w:pPr>
        <w:spacing w:after="0" w:line="170" w:lineRule="exact"/>
        <w:rPr>
          <w:sz w:val="20"/>
          <w:szCs w:val="20"/>
          <w:color w:val="auto"/>
        </w:rPr>
      </w:pPr>
    </w:p>
    <w:p>
      <w:pPr>
        <w:ind w:left="360" w:right="100"/>
        <w:spacing w:after="0" w:line="277" w:lineRule="auto"/>
        <w:rPr>
          <w:sz w:val="20"/>
          <w:szCs w:val="20"/>
          <w:color w:val="auto"/>
        </w:rPr>
      </w:pPr>
      <w:r>
        <w:rPr>
          <w:rFonts w:ascii="Arial" w:cs="Arial" w:eastAsia="Arial" w:hAnsi="Arial"/>
          <w:sz w:val="18"/>
          <w:szCs w:val="18"/>
          <w:color w:val="auto"/>
        </w:rPr>
        <w:t>The loans were classified as a current liability and denominated in U.S. dollars, bear no interest and were backed by a promissory note. The promissory note was unsecured note, had no repayment date and was subject to acceleration in certain events of default.</w:t>
      </w:r>
    </w:p>
    <w:p>
      <w:pPr>
        <w:spacing w:after="0" w:line="170" w:lineRule="exact"/>
        <w:rPr>
          <w:sz w:val="20"/>
          <w:szCs w:val="20"/>
          <w:color w:val="auto"/>
        </w:rPr>
      </w:pPr>
    </w:p>
    <w:p>
      <w:pPr>
        <w:ind w:left="360" w:right="160"/>
        <w:spacing w:after="0" w:line="276" w:lineRule="auto"/>
        <w:rPr>
          <w:sz w:val="20"/>
          <w:szCs w:val="20"/>
          <w:color w:val="auto"/>
        </w:rPr>
      </w:pPr>
      <w:r>
        <w:rPr>
          <w:rFonts w:ascii="Arial" w:cs="Arial" w:eastAsia="Arial" w:hAnsi="Arial"/>
          <w:sz w:val="17"/>
          <w:szCs w:val="17"/>
          <w:color w:val="auto"/>
        </w:rPr>
        <w:t>On August 22, 2017, the Company amended the loan to automatically convert the principal amount into a number of the Company's ordinary shares in connection with an initial public offering. The number of ordinary shares to be issued upon the automatic conversion will be equal to the principal amount divided by the price per ordinary share paid by investors in the initial public offering. In January 2018, the Company completed an IPO on the NASDAQ Stock Market. Immediately prior to the closing of the IPO, the outstanding promissory note was automatically converted into 5,444,825 Ordinary shares of the Company based on the IPO price of $12 per ordinary share. See also note 8.</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SHARE CAPITAL</w:t>
      </w:r>
    </w:p>
    <w:p>
      <w:pPr>
        <w:spacing w:after="0" w:line="225" w:lineRule="exact"/>
        <w:rPr>
          <w:sz w:val="20"/>
          <w:szCs w:val="20"/>
          <w:color w:val="auto"/>
        </w:rPr>
      </w:pPr>
    </w:p>
    <w:p>
      <w:pPr>
        <w:ind w:left="660" w:hanging="301"/>
        <w:spacing w:after="0"/>
        <w:tabs>
          <w:tab w:leader="none" w:pos="660" w:val="left"/>
        </w:tabs>
        <w:numPr>
          <w:ilvl w:val="0"/>
          <w:numId w:val="153"/>
        </w:numPr>
        <w:rPr>
          <w:rFonts w:ascii="Arial" w:cs="Arial" w:eastAsia="Arial" w:hAnsi="Arial"/>
          <w:sz w:val="18"/>
          <w:szCs w:val="18"/>
          <w:b w:val="1"/>
          <w:bCs w:val="1"/>
          <w:color w:val="auto"/>
        </w:rPr>
      </w:pPr>
      <w:r>
        <w:rPr>
          <w:rFonts w:ascii="Arial" w:cs="Arial" w:eastAsia="Arial" w:hAnsi="Arial"/>
          <w:sz w:val="18"/>
          <w:szCs w:val="18"/>
          <w:b w:val="1"/>
          <w:bCs w:val="1"/>
          <w:color w:val="auto"/>
        </w:rPr>
        <w:t>Ordinary shares</w:t>
      </w:r>
    </w:p>
    <w:p>
      <w:pPr>
        <w:spacing w:after="0" w:line="225"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53"/>
        </w:numPr>
        <w:rPr>
          <w:rFonts w:ascii="Arial" w:cs="Arial" w:eastAsia="Arial" w:hAnsi="Arial"/>
          <w:sz w:val="18"/>
          <w:szCs w:val="18"/>
          <w:color w:val="auto"/>
        </w:rPr>
      </w:pPr>
      <w:r>
        <w:rPr>
          <w:rFonts w:ascii="Arial" w:cs="Arial" w:eastAsia="Arial" w:hAnsi="Arial"/>
          <w:sz w:val="18"/>
          <w:szCs w:val="18"/>
          <w:b w:val="1"/>
          <w:bCs w:val="1"/>
          <w:color w:val="auto"/>
        </w:rPr>
        <w:t>Rights of the Company’s ordinary shares</w:t>
      </w:r>
    </w:p>
    <w:p>
      <w:pPr>
        <w:spacing w:after="0" w:line="229" w:lineRule="exact"/>
        <w:rPr>
          <w:rFonts w:ascii="Arial" w:cs="Arial" w:eastAsia="Arial" w:hAnsi="Arial"/>
          <w:sz w:val="18"/>
          <w:szCs w:val="18"/>
          <w:color w:val="auto"/>
        </w:rPr>
      </w:pPr>
    </w:p>
    <w:p>
      <w:pPr>
        <w:ind w:left="1040" w:right="260"/>
        <w:spacing w:after="0" w:line="308" w:lineRule="auto"/>
        <w:rPr>
          <w:rFonts w:ascii="Arial" w:cs="Arial" w:eastAsia="Arial" w:hAnsi="Arial"/>
          <w:sz w:val="18"/>
          <w:szCs w:val="18"/>
          <w:color w:val="auto"/>
        </w:rPr>
      </w:pPr>
      <w:r>
        <w:rPr>
          <w:rFonts w:ascii="Arial" w:cs="Arial" w:eastAsia="Arial" w:hAnsi="Arial"/>
          <w:sz w:val="17"/>
          <w:szCs w:val="17"/>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46" w:lineRule="exact"/>
        <w:rPr>
          <w:rFonts w:ascii="Arial" w:cs="Arial" w:eastAsia="Arial" w:hAnsi="Arial"/>
          <w:sz w:val="18"/>
          <w:szCs w:val="18"/>
          <w:color w:val="auto"/>
        </w:rPr>
      </w:pPr>
    </w:p>
    <w:p>
      <w:pPr>
        <w:ind w:left="1040" w:hanging="357"/>
        <w:spacing w:after="0"/>
        <w:tabs>
          <w:tab w:leader="none" w:pos="1040" w:val="left"/>
        </w:tabs>
        <w:numPr>
          <w:ilvl w:val="1"/>
          <w:numId w:val="153"/>
        </w:numPr>
        <w:rPr>
          <w:rFonts w:ascii="Arial" w:cs="Arial" w:eastAsia="Arial" w:hAnsi="Arial"/>
          <w:sz w:val="18"/>
          <w:szCs w:val="18"/>
          <w:color w:val="auto"/>
        </w:rPr>
      </w:pPr>
      <w:r>
        <w:rPr>
          <w:rFonts w:ascii="Arial" w:cs="Arial" w:eastAsia="Arial" w:hAnsi="Arial"/>
          <w:sz w:val="18"/>
          <w:szCs w:val="18"/>
          <w:color w:val="auto"/>
        </w:rPr>
        <w:t>On October 2, 2017, the Company increased its authorized share capital to 50,000,000 shares, NIS 0.1 par value.</w:t>
      </w:r>
    </w:p>
    <w:p>
      <w:pPr>
        <w:spacing w:after="0" w:line="225" w:lineRule="exact"/>
        <w:rPr>
          <w:rFonts w:ascii="Arial" w:cs="Arial" w:eastAsia="Arial" w:hAnsi="Arial"/>
          <w:sz w:val="18"/>
          <w:szCs w:val="18"/>
          <w:color w:val="auto"/>
        </w:rPr>
      </w:pPr>
    </w:p>
    <w:p>
      <w:pPr>
        <w:ind w:left="1040"/>
        <w:spacing w:after="0" w:line="255" w:lineRule="auto"/>
        <w:rPr>
          <w:rFonts w:ascii="Arial" w:cs="Arial" w:eastAsia="Arial" w:hAnsi="Arial"/>
          <w:sz w:val="18"/>
          <w:szCs w:val="18"/>
          <w:color w:val="auto"/>
        </w:rPr>
      </w:pPr>
      <w:r>
        <w:rPr>
          <w:rFonts w:ascii="Arial" w:cs="Arial" w:eastAsia="Arial" w:hAnsi="Arial"/>
          <w:sz w:val="18"/>
          <w:szCs w:val="18"/>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4"/>
          <w:szCs w:val="14"/>
          <w:color w:val="auto"/>
        </w:rPr>
        <w:t>F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192" w:name="page193"/>
    <w:bookmarkEnd w:id="192"/>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SHARE CAPITAL (</w:t>
      </w:r>
      <w:r>
        <w:rPr>
          <w:rFonts w:ascii="Arial" w:cs="Arial" w:eastAsia="Arial" w:hAnsi="Arial"/>
          <w:sz w:val="18"/>
          <w:szCs w:val="18"/>
          <w:color w:val="auto"/>
        </w:rPr>
        <w:t>continued)</w:t>
      </w:r>
    </w:p>
    <w:p>
      <w:pPr>
        <w:spacing w:after="0" w:line="229" w:lineRule="exact"/>
        <w:rPr>
          <w:sz w:val="20"/>
          <w:szCs w:val="20"/>
          <w:color w:val="auto"/>
        </w:rPr>
      </w:pPr>
    </w:p>
    <w:p>
      <w:pPr>
        <w:ind w:left="660" w:right="60"/>
        <w:spacing w:after="0" w:line="259" w:lineRule="auto"/>
        <w:rPr>
          <w:sz w:val="20"/>
          <w:szCs w:val="20"/>
          <w:color w:val="auto"/>
        </w:rPr>
      </w:pPr>
      <w:r>
        <w:rPr>
          <w:rFonts w:ascii="Arial" w:cs="Arial" w:eastAsia="Arial" w:hAnsi="Arial"/>
          <w:sz w:val="18"/>
          <w:szCs w:val="18"/>
          <w:color w:val="auto"/>
        </w:rPr>
        <w:t>In January 2018, the Company completed an IPO on the NASDAQ Stock Market, in which it issued 6,250,000 Ordinary shares at a price per share of $12. During February 2018 the underwriters exercised their green shoe option and purchased additional 937,500 ordinary shares at the same price per share. The net proceeds received from the IPO were approximately $78,800, after deducting underwriting discounts, commissions and other offering expenses in a total amount of approximately $7,450.</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Immediately prior to the closing of the IPO, the outstanding promissory note were automatically converted into Company's shares. See also note 7.</w:t>
      </w:r>
    </w:p>
    <w:p>
      <w:pPr>
        <w:spacing w:after="0" w:line="244" w:lineRule="exact"/>
        <w:rPr>
          <w:sz w:val="20"/>
          <w:szCs w:val="20"/>
          <w:color w:val="auto"/>
        </w:rPr>
      </w:pPr>
    </w:p>
    <w:p>
      <w:pPr>
        <w:ind w:left="660" w:hanging="301"/>
        <w:spacing w:after="0"/>
        <w:tabs>
          <w:tab w:leader="none" w:pos="660" w:val="left"/>
        </w:tabs>
        <w:numPr>
          <w:ilvl w:val="0"/>
          <w:numId w:val="154"/>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225"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54"/>
        </w:numPr>
        <w:rPr>
          <w:rFonts w:ascii="Arial" w:cs="Arial" w:eastAsia="Arial" w:hAnsi="Arial"/>
          <w:sz w:val="18"/>
          <w:szCs w:val="18"/>
          <w:color w:val="auto"/>
        </w:rPr>
      </w:pPr>
      <w:r>
        <w:rPr>
          <w:rFonts w:ascii="Arial" w:cs="Arial" w:eastAsia="Arial" w:hAnsi="Arial"/>
          <w:sz w:val="18"/>
          <w:szCs w:val="18"/>
          <w:b w:val="1"/>
          <w:bCs w:val="1"/>
          <w:color w:val="auto"/>
        </w:rPr>
        <w:t>Option plan</w:t>
      </w:r>
    </w:p>
    <w:p>
      <w:pPr>
        <w:spacing w:after="0" w:line="229" w:lineRule="exact"/>
        <w:rPr>
          <w:rFonts w:ascii="Arial" w:cs="Arial" w:eastAsia="Arial" w:hAnsi="Arial"/>
          <w:sz w:val="18"/>
          <w:szCs w:val="18"/>
          <w:color w:val="auto"/>
        </w:rPr>
      </w:pPr>
    </w:p>
    <w:p>
      <w:pPr>
        <w:ind w:left="1040" w:right="20"/>
        <w:spacing w:after="0" w:line="302" w:lineRule="auto"/>
        <w:rPr>
          <w:rFonts w:ascii="Arial" w:cs="Arial" w:eastAsia="Arial" w:hAnsi="Arial"/>
          <w:sz w:val="18"/>
          <w:szCs w:val="18"/>
          <w:color w:val="auto"/>
        </w:rPr>
      </w:pPr>
      <w:r>
        <w:rPr>
          <w:rFonts w:ascii="Arial" w:cs="Arial" w:eastAsia="Arial" w:hAnsi="Arial"/>
          <w:sz w:val="16"/>
          <w:szCs w:val="16"/>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154" w:lineRule="exact"/>
        <w:rPr>
          <w:rFonts w:ascii="Arial" w:cs="Arial" w:eastAsia="Arial" w:hAnsi="Arial"/>
          <w:sz w:val="18"/>
          <w:szCs w:val="18"/>
          <w:color w:val="auto"/>
        </w:rPr>
      </w:pPr>
    </w:p>
    <w:p>
      <w:pPr>
        <w:ind w:left="1040" w:right="200"/>
        <w:spacing w:after="0" w:line="264" w:lineRule="auto"/>
        <w:rPr>
          <w:rFonts w:ascii="Arial" w:cs="Arial" w:eastAsia="Arial" w:hAnsi="Arial"/>
          <w:sz w:val="18"/>
          <w:szCs w:val="18"/>
          <w:color w:val="auto"/>
        </w:rPr>
      </w:pPr>
      <w:r>
        <w:rPr>
          <w:rFonts w:ascii="Arial" w:cs="Arial" w:eastAsia="Arial" w:hAnsi="Arial"/>
          <w:sz w:val="18"/>
          <w:szCs w:val="18"/>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w:t>
      </w:r>
    </w:p>
    <w:p>
      <w:pPr>
        <w:spacing w:after="0" w:line="181" w:lineRule="exact"/>
        <w:rPr>
          <w:rFonts w:ascii="Arial" w:cs="Arial" w:eastAsia="Arial" w:hAnsi="Arial"/>
          <w:sz w:val="18"/>
          <w:szCs w:val="18"/>
          <w:color w:val="auto"/>
        </w:rPr>
      </w:pPr>
    </w:p>
    <w:p>
      <w:pPr>
        <w:jc w:val="both"/>
        <w:ind w:left="1040" w:right="280"/>
        <w:spacing w:after="0" w:line="312" w:lineRule="auto"/>
        <w:rPr>
          <w:rFonts w:ascii="Arial" w:cs="Arial" w:eastAsia="Arial" w:hAnsi="Arial"/>
          <w:sz w:val="18"/>
          <w:szCs w:val="18"/>
          <w:color w:val="auto"/>
        </w:rPr>
      </w:pPr>
      <w:r>
        <w:rPr>
          <w:rFonts w:ascii="Arial" w:cs="Arial" w:eastAsia="Arial" w:hAnsi="Arial"/>
          <w:sz w:val="16"/>
          <w:szCs w:val="16"/>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146" w:lineRule="exact"/>
        <w:rPr>
          <w:rFonts w:ascii="Arial" w:cs="Arial" w:eastAsia="Arial" w:hAnsi="Arial"/>
          <w:sz w:val="18"/>
          <w:szCs w:val="18"/>
          <w:color w:val="auto"/>
        </w:rPr>
      </w:pPr>
    </w:p>
    <w:p>
      <w:pPr>
        <w:ind w:left="1040" w:right="480"/>
        <w:spacing w:after="0" w:line="277" w:lineRule="auto"/>
        <w:rPr>
          <w:rFonts w:ascii="Arial" w:cs="Arial" w:eastAsia="Arial" w:hAnsi="Arial"/>
          <w:sz w:val="18"/>
          <w:szCs w:val="18"/>
          <w:color w:val="auto"/>
        </w:rPr>
      </w:pPr>
      <w:r>
        <w:rPr>
          <w:rFonts w:ascii="Arial" w:cs="Arial" w:eastAsia="Arial" w:hAnsi="Arial"/>
          <w:sz w:val="18"/>
          <w:szCs w:val="18"/>
          <w:color w:val="auto"/>
        </w:rPr>
        <w:t>The risk-free interest rate assumption is based on observed interest rates appropriate for the expected term of the options granted in dollar terms. The expected term of the options is estimated based on the simplified method.</w:t>
      </w:r>
    </w:p>
    <w:p>
      <w:pPr>
        <w:spacing w:after="0" w:line="170" w:lineRule="exact"/>
        <w:rPr>
          <w:rFonts w:ascii="Arial" w:cs="Arial" w:eastAsia="Arial" w:hAnsi="Arial"/>
          <w:sz w:val="18"/>
          <w:szCs w:val="18"/>
          <w:color w:val="auto"/>
        </w:rPr>
      </w:pPr>
    </w:p>
    <w:p>
      <w:pPr>
        <w:ind w:left="1040" w:right="120"/>
        <w:spacing w:after="0" w:line="308" w:lineRule="auto"/>
        <w:rPr>
          <w:rFonts w:ascii="Arial" w:cs="Arial" w:eastAsia="Arial" w:hAnsi="Arial"/>
          <w:sz w:val="18"/>
          <w:szCs w:val="18"/>
          <w:color w:val="auto"/>
        </w:rPr>
      </w:pPr>
      <w:r>
        <w:rPr>
          <w:rFonts w:ascii="Arial" w:cs="Arial" w:eastAsia="Arial" w:hAnsi="Arial"/>
          <w:sz w:val="17"/>
          <w:szCs w:val="17"/>
          <w:color w:val="auto"/>
        </w:rPr>
        <w:t>On July 13, 2017 the Company’s Board of Directors approved an increase of the ordinary shares that may be issued under the Company’s Plan by reserving an additional amount of 720,975 ordinary shares of the Company with a value of NIS 0.1 per share.</w:t>
      </w:r>
    </w:p>
    <w:p>
      <w:pPr>
        <w:spacing w:after="0" w:line="146"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As of December 31, 2018, 139,935 ordinary shares remain available for future grants under the Plan.</w:t>
      </w:r>
    </w:p>
    <w:p>
      <w:pPr>
        <w:spacing w:after="0" w:line="221" w:lineRule="exact"/>
        <w:rPr>
          <w:rFonts w:ascii="Arial" w:cs="Arial" w:eastAsia="Arial" w:hAnsi="Arial"/>
          <w:sz w:val="18"/>
          <w:szCs w:val="18"/>
          <w:color w:val="auto"/>
        </w:rPr>
      </w:pPr>
    </w:p>
    <w:p>
      <w:pPr>
        <w:ind w:left="1040" w:hanging="357"/>
        <w:spacing w:after="0"/>
        <w:tabs>
          <w:tab w:leader="none" w:pos="1040" w:val="left"/>
        </w:tabs>
        <w:numPr>
          <w:ilvl w:val="1"/>
          <w:numId w:val="154"/>
        </w:numPr>
        <w:rPr>
          <w:rFonts w:ascii="Arial" w:cs="Arial" w:eastAsia="Arial" w:hAnsi="Arial"/>
          <w:sz w:val="18"/>
          <w:szCs w:val="18"/>
          <w:color w:val="auto"/>
        </w:rPr>
      </w:pPr>
      <w:r>
        <w:rPr>
          <w:rFonts w:ascii="Arial" w:cs="Arial" w:eastAsia="Arial" w:hAnsi="Arial"/>
          <w:sz w:val="18"/>
          <w:szCs w:val="18"/>
          <w:b w:val="1"/>
          <w:bCs w:val="1"/>
          <w:color w:val="auto"/>
        </w:rPr>
        <w:t>Options grants</w:t>
      </w:r>
    </w:p>
    <w:p>
      <w:pPr>
        <w:spacing w:after="0" w:line="229"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a.</w:t>
      </w:r>
      <w:r>
        <w:rPr>
          <w:rFonts w:ascii="Arial" w:cs="Arial" w:eastAsia="Arial" w:hAnsi="Arial"/>
          <w:sz w:val="16"/>
          <w:szCs w:val="16"/>
          <w:color w:val="auto"/>
        </w:rPr>
        <w:t>Option granted to employees and directors</w:t>
      </w:r>
    </w:p>
    <w:p>
      <w:pPr>
        <w:spacing w:after="0" w:line="225" w:lineRule="exact"/>
        <w:rPr>
          <w:rFonts w:ascii="Arial" w:cs="Arial" w:eastAsia="Arial" w:hAnsi="Arial"/>
          <w:sz w:val="18"/>
          <w:szCs w:val="18"/>
          <w:color w:val="auto"/>
        </w:rPr>
      </w:pPr>
    </w:p>
    <w:p>
      <w:pPr>
        <w:ind w:left="1920" w:hanging="386"/>
        <w:spacing w:after="0" w:line="264" w:lineRule="auto"/>
        <w:tabs>
          <w:tab w:leader="none" w:pos="1920" w:val="left"/>
        </w:tabs>
        <w:numPr>
          <w:ilvl w:val="3"/>
          <w:numId w:val="154"/>
        </w:numPr>
        <w:rPr>
          <w:rFonts w:ascii="Arial" w:cs="Arial" w:eastAsia="Arial" w:hAnsi="Arial"/>
          <w:sz w:val="18"/>
          <w:szCs w:val="18"/>
          <w:color w:val="auto"/>
        </w:rPr>
      </w:pPr>
      <w:r>
        <w:rPr>
          <w:rFonts w:ascii="Arial" w:cs="Arial" w:eastAsia="Arial" w:hAnsi="Arial"/>
          <w:sz w:val="18"/>
          <w:szCs w:val="18"/>
          <w:color w:val="auto"/>
        </w:rPr>
        <w:t>In March 2018, the board of directors approved and recommended the Company shareholders to approve a grant of 105,471 options to the Company CEO to purchase ordinary shares at an exercise price of $11.21 per share. The Company's shareholders approved the grant in May 2018.</w:t>
      </w:r>
    </w:p>
    <w:p>
      <w:pPr>
        <w:spacing w:after="0" w:line="181" w:lineRule="exact"/>
        <w:rPr>
          <w:rFonts w:ascii="Arial" w:cs="Arial" w:eastAsia="Arial" w:hAnsi="Arial"/>
          <w:sz w:val="18"/>
          <w:szCs w:val="18"/>
          <w:color w:val="auto"/>
        </w:rPr>
      </w:pPr>
    </w:p>
    <w:p>
      <w:pPr>
        <w:ind w:left="1920" w:right="40" w:hanging="386"/>
        <w:spacing w:after="0" w:line="277" w:lineRule="auto"/>
        <w:tabs>
          <w:tab w:leader="none" w:pos="1920" w:val="left"/>
        </w:tabs>
        <w:numPr>
          <w:ilvl w:val="3"/>
          <w:numId w:val="154"/>
        </w:numPr>
        <w:rPr>
          <w:rFonts w:ascii="Arial" w:cs="Arial" w:eastAsia="Arial" w:hAnsi="Arial"/>
          <w:sz w:val="18"/>
          <w:szCs w:val="18"/>
          <w:color w:val="auto"/>
        </w:rPr>
      </w:pPr>
      <w:r>
        <w:rPr>
          <w:rFonts w:ascii="Arial" w:cs="Arial" w:eastAsia="Arial" w:hAnsi="Arial"/>
          <w:sz w:val="18"/>
          <w:szCs w:val="18"/>
          <w:color w:val="auto"/>
        </w:rPr>
        <w:t>In March 2018, the Company granted a total of 20,138 options to two employees to purchase ordinary shares at an exercise price of $11.21 per share.</w:t>
      </w:r>
    </w:p>
    <w:p>
      <w:pPr>
        <w:spacing w:after="0" w:line="170" w:lineRule="exact"/>
        <w:rPr>
          <w:rFonts w:ascii="Arial" w:cs="Arial" w:eastAsia="Arial" w:hAnsi="Arial"/>
          <w:sz w:val="18"/>
          <w:szCs w:val="18"/>
          <w:color w:val="auto"/>
        </w:rPr>
      </w:pPr>
    </w:p>
    <w:p>
      <w:pPr>
        <w:ind w:left="1920" w:right="180" w:hanging="386"/>
        <w:spacing w:after="0" w:line="277" w:lineRule="auto"/>
        <w:tabs>
          <w:tab w:leader="none" w:pos="1920" w:val="left"/>
        </w:tabs>
        <w:numPr>
          <w:ilvl w:val="3"/>
          <w:numId w:val="154"/>
        </w:numPr>
        <w:rPr>
          <w:rFonts w:ascii="Arial" w:cs="Arial" w:eastAsia="Arial" w:hAnsi="Arial"/>
          <w:sz w:val="18"/>
          <w:szCs w:val="18"/>
          <w:color w:val="auto"/>
        </w:rPr>
      </w:pPr>
      <w:r>
        <w:rPr>
          <w:rFonts w:ascii="Arial" w:cs="Arial" w:eastAsia="Arial" w:hAnsi="Arial"/>
          <w:sz w:val="18"/>
          <w:szCs w:val="18"/>
          <w:color w:val="auto"/>
        </w:rPr>
        <w:t>In August 2018, the Company granted a total of 10,069 options to an Executive Officer to purchase ordinary shares at an exercise price of $6.78 per share.</w:t>
      </w: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F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3" w:name="page194"/>
    <w:bookmarkEnd w:id="193"/>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SHARE CAPITAL (</w:t>
      </w:r>
      <w:r>
        <w:rPr>
          <w:rFonts w:ascii="Arial" w:cs="Arial" w:eastAsia="Arial" w:hAnsi="Arial"/>
          <w:sz w:val="18"/>
          <w:szCs w:val="18"/>
          <w:color w:val="auto"/>
        </w:rPr>
        <w:t>continued)</w:t>
      </w:r>
    </w:p>
    <w:p>
      <w:pPr>
        <w:spacing w:after="0" w:line="229" w:lineRule="exact"/>
        <w:rPr>
          <w:sz w:val="20"/>
          <w:szCs w:val="20"/>
          <w:color w:val="auto"/>
        </w:rPr>
      </w:pPr>
    </w:p>
    <w:p>
      <w:pPr>
        <w:ind w:left="360" w:right="500"/>
        <w:spacing w:after="0" w:line="308" w:lineRule="auto"/>
        <w:rPr>
          <w:sz w:val="20"/>
          <w:szCs w:val="20"/>
          <w:color w:val="auto"/>
        </w:rPr>
      </w:pPr>
      <w:r>
        <w:rPr>
          <w:rFonts w:ascii="Arial" w:cs="Arial" w:eastAsia="Arial" w:hAnsi="Arial"/>
          <w:sz w:val="17"/>
          <w:szCs w:val="17"/>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147" w:lineRule="exact"/>
        <w:rPr>
          <w:sz w:val="20"/>
          <w:szCs w:val="20"/>
          <w:color w:val="auto"/>
        </w:rPr>
      </w:pPr>
    </w:p>
    <w:p>
      <w:pPr>
        <w:ind w:left="360"/>
        <w:spacing w:after="0" w:line="277" w:lineRule="auto"/>
        <w:rPr>
          <w:sz w:val="20"/>
          <w:szCs w:val="20"/>
          <w:color w:val="auto"/>
        </w:rPr>
      </w:pPr>
      <w:r>
        <w:rPr>
          <w:rFonts w:ascii="Arial" w:cs="Arial" w:eastAsia="Arial" w:hAnsi="Arial"/>
          <w:sz w:val="18"/>
          <w:szCs w:val="18"/>
          <w:color w:val="auto"/>
        </w:rPr>
        <w:t>The fair value of options granted to employees and directors in 2016, 2017 and 2018 were $986, $9,841 and $878, respectively. The underlying data used for computing the fair value of the options are as follows:</w:t>
      </w:r>
    </w:p>
    <w:p>
      <w:pPr>
        <w:spacing w:after="0" w:line="166" w:lineRule="exact"/>
        <w:rPr>
          <w:sz w:val="20"/>
          <w:szCs w:val="20"/>
          <w:color w:val="auto"/>
        </w:rPr>
      </w:pPr>
    </w:p>
    <w:tbl>
      <w:tblPr>
        <w:tblLayout w:type="fixed"/>
        <w:tblInd w:w="580" w:type="dxa"/>
        <w:tblCellMar>
          <w:top w:w="0" w:type="dxa"/>
          <w:left w:w="0" w:type="dxa"/>
          <w:bottom w:w="0" w:type="dxa"/>
          <w:right w:w="0" w:type="dxa"/>
        </w:tblCellMar>
      </w:tblPr>
      <w:tr>
        <w:trPr>
          <w:trHeight w:val="241"/>
        </w:trPr>
        <w:tc>
          <w:tcPr>
            <w:tcW w:w="460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1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280" w:type="dxa"/>
            <w:vAlign w:val="bottom"/>
          </w:tcPr>
          <w:p>
            <w:pPr>
              <w:spacing w:after="0"/>
              <w:rPr>
                <w:sz w:val="20"/>
                <w:szCs w:val="20"/>
                <w:color w:val="auto"/>
              </w:rPr>
            </w:pPr>
          </w:p>
        </w:tc>
        <w:tc>
          <w:tcPr>
            <w:tcW w:w="1080" w:type="dxa"/>
            <w:vAlign w:val="bottom"/>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60" w:type="dxa"/>
            <w:vAlign w:val="bottom"/>
          </w:tcPr>
          <w:p>
            <w:pPr>
              <w:spacing w:after="0"/>
              <w:rPr>
                <w:sz w:val="20"/>
                <w:szCs w:val="20"/>
                <w:color w:val="auto"/>
              </w:rPr>
            </w:pPr>
          </w:p>
        </w:tc>
      </w:tr>
      <w:tr>
        <w:trPr>
          <w:trHeight w:val="257"/>
        </w:trPr>
        <w:tc>
          <w:tcPr>
            <w:tcW w:w="46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Value of one ordinary share</w:t>
            </w:r>
          </w:p>
        </w:tc>
        <w:tc>
          <w:tcPr>
            <w:tcW w:w="22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11.99</w:t>
            </w:r>
          </w:p>
        </w:tc>
        <w:tc>
          <w:tcPr>
            <w:tcW w:w="2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$ 20.47-</w:t>
            </w:r>
            <w:r>
              <w:rPr>
                <w:rFonts w:ascii="Arial" w:cs="Arial" w:eastAsia="Arial" w:hAnsi="Arial"/>
                <w:sz w:val="18"/>
                <w:szCs w:val="18"/>
                <w:u w:val="single" w:color="auto"/>
                <w:color w:val="auto"/>
                <w:w w:val="90"/>
              </w:rPr>
              <w:t>$</w:t>
            </w:r>
            <w:r>
              <w:rPr>
                <w:rFonts w:ascii="Arial" w:cs="Arial" w:eastAsia="Arial" w:hAnsi="Arial"/>
                <w:sz w:val="18"/>
                <w:szCs w:val="18"/>
                <w:color w:val="auto"/>
                <w:w w:val="90"/>
              </w:rPr>
              <w:t>24.37</w:t>
            </w:r>
          </w:p>
        </w:tc>
        <w:tc>
          <w:tcPr>
            <w:tcW w:w="280" w:type="dxa"/>
            <w:vAlign w:val="bottom"/>
            <w:tcBorders>
              <w:bottom w:val="single" w:sz="8" w:color="CCEEFF"/>
              <w:right w:val="single" w:sz="8" w:color="CCEEFF"/>
            </w:tcBorders>
            <w:shd w:val="clear" w:color="auto" w:fill="CCEEFF"/>
          </w:tcPr>
          <w:p>
            <w:pPr>
              <w:spacing w:after="0"/>
              <w:rPr>
                <w:sz w:val="22"/>
                <w:szCs w:val="22"/>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6.24-</w:t>
            </w:r>
            <w:r>
              <w:rPr>
                <w:rFonts w:ascii="Arial" w:cs="Arial" w:eastAsia="Arial" w:hAnsi="Arial"/>
                <w:sz w:val="18"/>
                <w:szCs w:val="18"/>
                <w:u w:val="single" w:color="auto"/>
                <w:color w:val="auto"/>
                <w:w w:val="91"/>
              </w:rPr>
              <w:t>$</w:t>
            </w:r>
            <w:r>
              <w:rPr>
                <w:rFonts w:ascii="Arial" w:cs="Arial" w:eastAsia="Arial" w:hAnsi="Arial"/>
                <w:sz w:val="18"/>
                <w:szCs w:val="18"/>
                <w:color w:val="auto"/>
                <w:w w:val="91"/>
              </w:rPr>
              <w:t>10.40</w:t>
            </w:r>
          </w:p>
        </w:tc>
        <w:tc>
          <w:tcPr>
            <w:tcW w:w="160" w:type="dxa"/>
            <w:vAlign w:val="bottom"/>
            <w:tcBorders>
              <w:bottom w:val="single" w:sz="8" w:color="CCEEFF"/>
            </w:tcBorders>
            <w:shd w:val="clear" w:color="auto" w:fill="CCEEFF"/>
          </w:tcPr>
          <w:p>
            <w:pPr>
              <w:spacing w:after="0"/>
              <w:rPr>
                <w:sz w:val="22"/>
                <w:szCs w:val="22"/>
                <w:color w:val="auto"/>
              </w:rPr>
            </w:pPr>
          </w:p>
        </w:tc>
      </w:tr>
      <w:tr>
        <w:trPr>
          <w:trHeight w:val="210"/>
        </w:trPr>
        <w:tc>
          <w:tcPr>
            <w:tcW w:w="4600" w:type="dxa"/>
            <w:vAlign w:val="bottom"/>
          </w:tcPr>
          <w:p>
            <w:pPr>
              <w:ind w:left="360"/>
              <w:spacing w:after="0"/>
              <w:rPr>
                <w:sz w:val="20"/>
                <w:szCs w:val="20"/>
                <w:color w:val="auto"/>
              </w:rPr>
            </w:pPr>
            <w:r>
              <w:rPr>
                <w:rFonts w:ascii="Arial" w:cs="Arial" w:eastAsia="Arial" w:hAnsi="Arial"/>
                <w:sz w:val="18"/>
                <w:szCs w:val="18"/>
                <w:color w:val="auto"/>
              </w:rPr>
              <w:t>Dividend yield</w:t>
            </w:r>
          </w:p>
        </w:tc>
        <w:tc>
          <w:tcPr>
            <w:tcW w:w="2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0%</w:t>
            </w: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0%</w:t>
            </w: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0%</w:t>
            </w:r>
          </w:p>
        </w:tc>
      </w:tr>
      <w:tr>
        <w:trPr>
          <w:trHeight w:val="21"/>
        </w:trPr>
        <w:tc>
          <w:tcPr>
            <w:tcW w:w="46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5"/>
        </w:trPr>
        <w:tc>
          <w:tcPr>
            <w:tcW w:w="4600" w:type="dxa"/>
            <w:vAlign w:val="bottom"/>
            <w:shd w:val="clear" w:color="auto" w:fill="CCEEFF"/>
          </w:tcPr>
          <w:p>
            <w:pPr>
              <w:ind w:left="360"/>
              <w:spacing w:after="0" w:line="195" w:lineRule="exact"/>
              <w:rPr>
                <w:sz w:val="20"/>
                <w:szCs w:val="20"/>
                <w:color w:val="auto"/>
              </w:rPr>
            </w:pPr>
            <w:r>
              <w:rPr>
                <w:rFonts w:ascii="Arial" w:cs="Arial" w:eastAsia="Arial" w:hAnsi="Arial"/>
                <w:sz w:val="18"/>
                <w:szCs w:val="18"/>
                <w:color w:val="auto"/>
              </w:rPr>
              <w:t>Expected volatility</w:t>
            </w:r>
          </w:p>
        </w:tc>
        <w:tc>
          <w:tcPr>
            <w:tcW w:w="22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tcBorders>
              <w:right w:val="single" w:sz="8" w:color="CCEEFF"/>
            </w:tcBorders>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280" w:type="dxa"/>
            <w:vAlign w:val="bottom"/>
            <w:tcBorders>
              <w:right w:val="single" w:sz="8" w:color="CCEEFF"/>
            </w:tcBorders>
            <w:shd w:val="clear" w:color="auto" w:fill="CCEEFF"/>
          </w:tcPr>
          <w:p>
            <w:pPr>
              <w:spacing w:after="0"/>
              <w:rPr>
                <w:sz w:val="16"/>
                <w:szCs w:val="16"/>
                <w:color w:val="auto"/>
              </w:rPr>
            </w:pPr>
          </w:p>
        </w:tc>
        <w:tc>
          <w:tcPr>
            <w:tcW w:w="1080" w:type="dxa"/>
            <w:vAlign w:val="bottom"/>
            <w:shd w:val="clear" w:color="auto" w:fill="CCEEFF"/>
          </w:tcPr>
          <w:p>
            <w:pPr>
              <w:jc w:val="right"/>
              <w:spacing w:after="0" w:line="195" w:lineRule="exact"/>
              <w:rPr>
                <w:sz w:val="20"/>
                <w:szCs w:val="20"/>
                <w:color w:val="auto"/>
              </w:rPr>
            </w:pPr>
            <w:r>
              <w:rPr>
                <w:rFonts w:ascii="Arial" w:cs="Arial" w:eastAsia="Arial" w:hAnsi="Arial"/>
                <w:sz w:val="18"/>
                <w:szCs w:val="18"/>
                <w:color w:val="auto"/>
              </w:rPr>
              <w:t>70.43</w:t>
            </w:r>
          </w:p>
        </w:tc>
        <w:tc>
          <w:tcPr>
            <w:tcW w:w="160" w:type="dxa"/>
            <w:vAlign w:val="bottom"/>
            <w:shd w:val="clear" w:color="auto" w:fill="CCEEFF"/>
          </w:tcPr>
          <w:p>
            <w:pPr>
              <w:spacing w:after="0"/>
              <w:rPr>
                <w:sz w:val="16"/>
                <w:szCs w:val="16"/>
                <w:color w:val="auto"/>
              </w:rPr>
            </w:pPr>
          </w:p>
        </w:tc>
      </w:tr>
      <w:tr>
        <w:trPr>
          <w:trHeight w:val="251"/>
        </w:trPr>
        <w:tc>
          <w:tcPr>
            <w:tcW w:w="4600" w:type="dxa"/>
            <w:vAlign w:val="bottom"/>
            <w:shd w:val="clear" w:color="auto" w:fill="CCEEFF"/>
          </w:tcPr>
          <w:p>
            <w:pPr>
              <w:spacing w:after="0"/>
              <w:rPr>
                <w:sz w:val="21"/>
                <w:szCs w:val="21"/>
                <w:color w:val="auto"/>
              </w:rPr>
            </w:pPr>
          </w:p>
        </w:tc>
        <w:tc>
          <w:tcPr>
            <w:tcW w:w="22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68.46%-79.1%</w:t>
            </w:r>
          </w:p>
        </w:tc>
        <w:tc>
          <w:tcPr>
            <w:tcW w:w="14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72.91%-78.71%</w:t>
            </w:r>
          </w:p>
        </w:tc>
        <w:tc>
          <w:tcPr>
            <w:tcW w:w="1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%-73.35%</w:t>
            </w:r>
          </w:p>
        </w:tc>
      </w:tr>
      <w:tr>
        <w:trPr>
          <w:trHeight w:val="20"/>
        </w:trPr>
        <w:tc>
          <w:tcPr>
            <w:tcW w:w="4600" w:type="dxa"/>
            <w:vAlign w:val="bottom"/>
            <w:tcBorders>
              <w:top w:val="single" w:sz="8" w:color="CCEEFF"/>
            </w:tcBorders>
            <w:shd w:val="clear" w:color="auto" w:fill="CCEEFF"/>
          </w:tcPr>
          <w:p>
            <w:pPr>
              <w:spacing w:after="0" w:line="20" w:lineRule="exact"/>
              <w:rPr>
                <w:sz w:val="1"/>
                <w:szCs w:val="1"/>
                <w:color w:val="auto"/>
              </w:rPr>
            </w:pPr>
          </w:p>
        </w:tc>
        <w:tc>
          <w:tcPr>
            <w:tcW w:w="2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r>
        <w:trPr>
          <w:trHeight w:val="210"/>
        </w:trPr>
        <w:tc>
          <w:tcPr>
            <w:tcW w:w="4600" w:type="dxa"/>
            <w:vAlign w:val="bottom"/>
          </w:tcPr>
          <w:p>
            <w:pPr>
              <w:ind w:left="360"/>
              <w:spacing w:after="0"/>
              <w:rPr>
                <w:sz w:val="20"/>
                <w:szCs w:val="20"/>
                <w:color w:val="auto"/>
              </w:rPr>
            </w:pPr>
            <w:r>
              <w:rPr>
                <w:rFonts w:ascii="Arial" w:cs="Arial" w:eastAsia="Arial" w:hAnsi="Arial"/>
                <w:sz w:val="18"/>
                <w:szCs w:val="18"/>
                <w:color w:val="auto"/>
              </w:rPr>
              <w:t>Risk-free interest rate</w:t>
            </w:r>
          </w:p>
        </w:tc>
        <w:tc>
          <w:tcPr>
            <w:tcW w:w="2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0.95%-1.34%</w:t>
            </w: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1.57%-2.23%</w:t>
            </w: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2.67%-2.83%</w:t>
            </w:r>
          </w:p>
        </w:tc>
      </w:tr>
      <w:tr>
        <w:trPr>
          <w:trHeight w:val="21"/>
        </w:trPr>
        <w:tc>
          <w:tcPr>
            <w:tcW w:w="46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95"/>
        </w:trPr>
        <w:tc>
          <w:tcPr>
            <w:tcW w:w="4600" w:type="dxa"/>
            <w:vAlign w:val="bottom"/>
            <w:shd w:val="clear" w:color="auto" w:fill="CCEEFF"/>
          </w:tcPr>
          <w:p>
            <w:pPr>
              <w:ind w:left="360"/>
              <w:spacing w:after="0" w:line="195" w:lineRule="exact"/>
              <w:rPr>
                <w:sz w:val="20"/>
                <w:szCs w:val="20"/>
                <w:color w:val="auto"/>
              </w:rPr>
            </w:pPr>
            <w:r>
              <w:rPr>
                <w:rFonts w:ascii="Arial" w:cs="Arial" w:eastAsia="Arial" w:hAnsi="Arial"/>
                <w:sz w:val="18"/>
                <w:szCs w:val="18"/>
                <w:color w:val="auto"/>
              </w:rPr>
              <w:t>Expected term</w:t>
            </w:r>
          </w:p>
        </w:tc>
        <w:tc>
          <w:tcPr>
            <w:tcW w:w="22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tcBorders>
              <w:right w:val="single" w:sz="8" w:color="CCEEFF"/>
            </w:tcBorders>
            <w:shd w:val="clear" w:color="auto" w:fill="CCEEFF"/>
          </w:tcPr>
          <w:p>
            <w:pPr>
              <w:jc w:val="right"/>
              <w:spacing w:after="0" w:line="195" w:lineRule="exact"/>
              <w:rPr>
                <w:sz w:val="20"/>
                <w:szCs w:val="20"/>
                <w:color w:val="auto"/>
              </w:rPr>
            </w:pPr>
            <w:r>
              <w:rPr>
                <w:rFonts w:ascii="Arial" w:cs="Arial" w:eastAsia="Arial" w:hAnsi="Arial"/>
                <w:sz w:val="18"/>
                <w:szCs w:val="18"/>
                <w:color w:val="auto"/>
              </w:rPr>
              <w:t>5-6.71</w:t>
            </w:r>
          </w:p>
        </w:tc>
        <w:tc>
          <w:tcPr>
            <w:tcW w:w="26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280" w:type="dxa"/>
            <w:vAlign w:val="bottom"/>
            <w:tcBorders>
              <w:right w:val="single" w:sz="8" w:color="CCEEFF"/>
            </w:tcBorders>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r>
      <w:tr>
        <w:trPr>
          <w:trHeight w:val="251"/>
        </w:trPr>
        <w:tc>
          <w:tcPr>
            <w:tcW w:w="4600" w:type="dxa"/>
            <w:vAlign w:val="bottom"/>
            <w:shd w:val="clear" w:color="auto" w:fill="CCEEFF"/>
          </w:tcPr>
          <w:p>
            <w:pPr>
              <w:spacing w:after="0"/>
              <w:rPr>
                <w:sz w:val="21"/>
                <w:szCs w:val="21"/>
                <w:color w:val="auto"/>
              </w:rPr>
            </w:pPr>
          </w:p>
        </w:tc>
        <w:tc>
          <w:tcPr>
            <w:tcW w:w="22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years</w:t>
            </w:r>
          </w:p>
        </w:tc>
        <w:tc>
          <w:tcPr>
            <w:tcW w:w="1400" w:type="dxa"/>
            <w:vAlign w:val="bottom"/>
            <w:tcBorders>
              <w:right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5-7 years</w:t>
            </w: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5.50-7 years</w:t>
            </w:r>
          </w:p>
        </w:tc>
      </w:tr>
      <w:tr>
        <w:trPr>
          <w:trHeight w:val="20"/>
        </w:trPr>
        <w:tc>
          <w:tcPr>
            <w:tcW w:w="4600" w:type="dxa"/>
            <w:vAlign w:val="bottom"/>
            <w:tcBorders>
              <w:top w:val="single" w:sz="8" w:color="CCEEFF"/>
            </w:tcBorders>
            <w:shd w:val="clear" w:color="auto" w:fill="CCEEFF"/>
          </w:tcPr>
          <w:p>
            <w:pPr>
              <w:spacing w:after="0" w:line="20" w:lineRule="exact"/>
              <w:rPr>
                <w:sz w:val="1"/>
                <w:szCs w:val="1"/>
                <w:color w:val="auto"/>
              </w:rPr>
            </w:pPr>
          </w:p>
        </w:tc>
        <w:tc>
          <w:tcPr>
            <w:tcW w:w="2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ind w:left="360" w:right="80"/>
        <w:spacing w:after="0" w:line="277" w:lineRule="auto"/>
        <w:rPr>
          <w:sz w:val="20"/>
          <w:szCs w:val="20"/>
          <w:color w:val="auto"/>
        </w:rPr>
      </w:pPr>
      <w:r>
        <w:rPr>
          <w:rFonts w:ascii="Arial" w:cs="Arial" w:eastAsia="Arial" w:hAnsi="Arial"/>
          <w:sz w:val="18"/>
          <w:szCs w:val="18"/>
          <w:color w:val="auto"/>
        </w:rPr>
        <w:t>The total unrecognized compensation cost of employee options at December 31, 2018 is $2,927, which is expected to be recognized over a period of 3.6 years.</w:t>
      </w:r>
    </w:p>
    <w:p>
      <w:pPr>
        <w:spacing w:after="0" w:line="170" w:lineRule="exact"/>
        <w:rPr>
          <w:sz w:val="20"/>
          <w:szCs w:val="20"/>
          <w:color w:val="auto"/>
        </w:rPr>
      </w:pPr>
    </w:p>
    <w:p>
      <w:pPr>
        <w:ind w:left="360" w:right="40"/>
        <w:spacing w:after="0" w:line="277" w:lineRule="auto"/>
        <w:rPr>
          <w:sz w:val="20"/>
          <w:szCs w:val="20"/>
          <w:color w:val="auto"/>
        </w:rPr>
      </w:pPr>
      <w:r>
        <w:rPr>
          <w:rFonts w:ascii="Arial" w:cs="Arial" w:eastAsia="Arial" w:hAnsi="Arial"/>
          <w:sz w:val="18"/>
          <w:szCs w:val="18"/>
          <w:color w:val="auto"/>
        </w:rPr>
        <w:t>The following table summarizes the number of options granted to employees under the Plan for the years ended December 31, 2016, 2017 and 2018, and related information:</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280" w:type="dxa"/>
            <w:vAlign w:val="bottom"/>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360" w:type="dxa"/>
            <w:vAlign w:val="bottom"/>
            <w:tcBorders>
              <w:bottom w:val="single" w:sz="8" w:color="auto"/>
            </w:tcBorders>
            <w:gridSpan w:val="7"/>
          </w:tcPr>
          <w:p>
            <w:pPr>
              <w:jc w:val="right"/>
              <w:ind w:right="900"/>
              <w:spacing w:after="0"/>
              <w:rPr>
                <w:sz w:val="20"/>
                <w:szCs w:val="20"/>
                <w:color w:val="auto"/>
              </w:rPr>
            </w:pPr>
            <w:r>
              <w:rPr>
                <w:rFonts w:ascii="Arial" w:cs="Arial" w:eastAsia="Arial" w:hAnsi="Arial"/>
                <w:sz w:val="18"/>
                <w:szCs w:val="18"/>
                <w:b w:val="1"/>
                <w:bCs w:val="1"/>
                <w:color w:val="auto"/>
              </w:rPr>
              <w:t>Year ended December 31</w:t>
            </w:r>
          </w:p>
        </w:tc>
        <w:tc>
          <w:tcPr>
            <w:tcW w:w="9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128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2016</w:t>
            </w:r>
          </w:p>
        </w:tc>
        <w:tc>
          <w:tcPr>
            <w:tcW w:w="2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2017</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2018</w:t>
            </w:r>
          </w:p>
        </w:tc>
        <w:tc>
          <w:tcPr>
            <w:tcW w:w="2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12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100" w:type="dxa"/>
            <w:vAlign w:val="bottom"/>
          </w:tcPr>
          <w:p>
            <w:pPr>
              <w:spacing w:after="0"/>
              <w:rPr>
                <w:sz w:val="17"/>
                <w:szCs w:val="17"/>
                <w:color w:val="auto"/>
              </w:rPr>
            </w:pPr>
          </w:p>
        </w:tc>
      </w:tr>
      <w:tr>
        <w:trPr>
          <w:trHeight w:val="216"/>
        </w:trPr>
        <w:tc>
          <w:tcPr>
            <w:tcW w:w="1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Weighted</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Weighted</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average</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Weighted</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average</w:t>
            </w:r>
          </w:p>
        </w:tc>
      </w:tr>
      <w:tr>
        <w:trPr>
          <w:trHeight w:val="216"/>
        </w:trPr>
        <w:tc>
          <w:tcPr>
            <w:tcW w:w="1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remaining</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remaining</w:t>
            </w:r>
          </w:p>
        </w:tc>
      </w:tr>
      <w:tr>
        <w:trPr>
          <w:trHeight w:val="216"/>
        </w:trPr>
        <w:tc>
          <w:tcPr>
            <w:tcW w:w="128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contractual</w:t>
            </w:r>
          </w:p>
        </w:tc>
      </w:tr>
      <w:tr>
        <w:trPr>
          <w:trHeight w:val="241"/>
        </w:trPr>
        <w:tc>
          <w:tcPr>
            <w:tcW w:w="1280" w:type="dxa"/>
            <w:vAlign w:val="bottom"/>
          </w:tcPr>
          <w:p>
            <w:pPr>
              <w:spacing w:after="0"/>
              <w:rPr>
                <w:sz w:val="20"/>
                <w:szCs w:val="20"/>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life</w:t>
            </w:r>
          </w:p>
        </w:tc>
      </w:tr>
      <w:tr>
        <w:trPr>
          <w:trHeight w:val="202"/>
        </w:trPr>
        <w:tc>
          <w:tcPr>
            <w:tcW w:w="128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the</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beginning of</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year</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312,194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9.25</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402,955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8.55</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849,780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3.45</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8.63</w:t>
            </w:r>
          </w:p>
        </w:tc>
      </w:tr>
      <w:tr>
        <w:trPr>
          <w:trHeight w:val="243"/>
        </w:trPr>
        <w:tc>
          <w:tcPr>
            <w:tcW w:w="1280" w:type="dxa"/>
            <w:vAlign w:val="bottom"/>
          </w:tcPr>
          <w:p>
            <w:pPr>
              <w:ind w:left="180"/>
              <w:spacing w:after="0"/>
              <w:rPr>
                <w:sz w:val="20"/>
                <w:szCs w:val="20"/>
                <w:color w:val="auto"/>
              </w:rPr>
            </w:pPr>
            <w:r>
              <w:rPr>
                <w:rFonts w:ascii="Arial" w:cs="Arial" w:eastAsia="Arial" w:hAnsi="Arial"/>
                <w:sz w:val="18"/>
                <w:szCs w:val="18"/>
                <w:color w:val="auto"/>
              </w:rPr>
              <w:t>Granted</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90,761</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tcPr>
          <w:p>
            <w:pPr>
              <w:jc w:val="right"/>
              <w:ind w:right="240"/>
              <w:spacing w:after="0"/>
              <w:rPr>
                <w:sz w:val="20"/>
                <w:szCs w:val="20"/>
                <w:color w:val="auto"/>
              </w:rPr>
            </w:pPr>
            <w:r>
              <w:rPr>
                <w:rFonts w:ascii="Arial" w:cs="Arial" w:eastAsia="Arial" w:hAnsi="Arial"/>
                <w:sz w:val="18"/>
                <w:szCs w:val="18"/>
                <w:color w:val="auto"/>
              </w:rPr>
              <w:t>9.59</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468,572</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4.99</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9.52</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135,678</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10.88</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9.41</w:t>
            </w:r>
          </w:p>
        </w:tc>
      </w:tr>
      <w:tr>
        <w:trPr>
          <w:trHeight w:val="216"/>
        </w:trPr>
        <w:tc>
          <w:tcPr>
            <w:tcW w:w="12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Exercised</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(27,399)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1.59</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1280" w:type="dxa"/>
            <w:vAlign w:val="bottom"/>
          </w:tcPr>
          <w:p>
            <w:pPr>
              <w:ind w:left="180"/>
              <w:spacing w:after="0"/>
              <w:rPr>
                <w:sz w:val="20"/>
                <w:szCs w:val="20"/>
                <w:color w:val="auto"/>
              </w:rPr>
            </w:pPr>
            <w:r>
              <w:rPr>
                <w:rFonts w:ascii="Arial" w:cs="Arial" w:eastAsia="Arial" w:hAnsi="Arial"/>
                <w:sz w:val="18"/>
                <w:szCs w:val="18"/>
                <w:color w:val="auto"/>
              </w:rPr>
              <w:t>Expired</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(1,350)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5.57</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Forfeited</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(21,747)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2.25</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7.87</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(18,619)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8.62</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1280" w:type="dxa"/>
            <w:vAlign w:val="bottom"/>
            <w:tcBorders>
              <w:top w:val="single" w:sz="8" w:color="CCEEFF"/>
            </w:tcBorders>
          </w:tcPr>
          <w:p>
            <w:pPr>
              <w:ind w:left="180"/>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1280" w:type="dxa"/>
            <w:vAlign w:val="bottom"/>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280" w:type="dxa"/>
            <w:vAlign w:val="bottom"/>
          </w:tcPr>
          <w:p>
            <w:pPr>
              <w:ind w:left="180"/>
              <w:spacing w:after="0"/>
              <w:rPr>
                <w:sz w:val="20"/>
                <w:szCs w:val="20"/>
                <w:color w:val="auto"/>
              </w:rPr>
            </w:pPr>
            <w:r>
              <w:rPr>
                <w:rFonts w:ascii="Arial" w:cs="Arial" w:eastAsia="Arial" w:hAnsi="Arial"/>
                <w:sz w:val="18"/>
                <w:szCs w:val="18"/>
                <w:color w:val="auto"/>
              </w:rPr>
              <w:t>at the end of</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1280" w:type="dxa"/>
            <w:vAlign w:val="bottom"/>
          </w:tcPr>
          <w:p>
            <w:pPr>
              <w:ind w:left="180"/>
              <w:spacing w:after="0"/>
              <w:rPr>
                <w:sz w:val="20"/>
                <w:szCs w:val="20"/>
                <w:color w:val="auto"/>
              </w:rPr>
            </w:pPr>
            <w:r>
              <w:rPr>
                <w:rFonts w:ascii="Arial" w:cs="Arial" w:eastAsia="Arial" w:hAnsi="Arial"/>
                <w:sz w:val="18"/>
                <w:szCs w:val="18"/>
                <w:color w:val="auto"/>
              </w:rPr>
              <w:t>the year</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402,955</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tcPr>
          <w:p>
            <w:pPr>
              <w:jc w:val="right"/>
              <w:ind w:right="240"/>
              <w:spacing w:after="0"/>
              <w:rPr>
                <w:sz w:val="20"/>
                <w:szCs w:val="20"/>
                <w:color w:val="auto"/>
              </w:rPr>
            </w:pPr>
            <w:r>
              <w:rPr>
                <w:rFonts w:ascii="Arial" w:cs="Arial" w:eastAsia="Arial" w:hAnsi="Arial"/>
                <w:sz w:val="18"/>
                <w:szCs w:val="18"/>
                <w:color w:val="auto"/>
              </w:rPr>
              <w:t>8.55</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849,780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3.45</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8.63</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938,090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4.47</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7.89</w:t>
            </w:r>
          </w:p>
        </w:tc>
      </w:tr>
      <w:tr>
        <w:trPr>
          <w:trHeight w:val="21"/>
        </w:trPr>
        <w:tc>
          <w:tcPr>
            <w:tcW w:w="128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5"/>
        </w:trPr>
        <w:tc>
          <w:tcPr>
            <w:tcW w:w="1280" w:type="dxa"/>
            <w:vAlign w:val="bottom"/>
            <w:shd w:val="clear" w:color="auto" w:fill="CCEEFF"/>
          </w:tcPr>
          <w:p>
            <w:pPr>
              <w:ind w:left="180"/>
              <w:spacing w:after="0" w:line="195" w:lineRule="exact"/>
              <w:rPr>
                <w:sz w:val="20"/>
                <w:szCs w:val="20"/>
                <w:color w:val="auto"/>
              </w:rPr>
            </w:pPr>
            <w:r>
              <w:rPr>
                <w:rFonts w:ascii="Arial" w:cs="Arial" w:eastAsia="Arial" w:hAnsi="Arial"/>
                <w:sz w:val="18"/>
                <w:szCs w:val="18"/>
                <w:color w:val="auto"/>
              </w:rPr>
              <w:t>Options</w:t>
            </w:r>
          </w:p>
        </w:tc>
        <w:tc>
          <w:tcPr>
            <w:tcW w:w="9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7"/>
              </w:rPr>
              <w:t>exercisable at</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8"/>
              </w:rPr>
              <w:t>the end of the</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51"/>
        </w:trPr>
        <w:tc>
          <w:tcPr>
            <w:tcW w:w="1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year</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192,338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9.59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297,420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7.49</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519,084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2.53</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6.74</w:t>
            </w:r>
          </w:p>
        </w:tc>
      </w:tr>
      <w:tr>
        <w:trPr>
          <w:trHeight w:val="20"/>
        </w:trPr>
        <w:tc>
          <w:tcPr>
            <w:tcW w:w="128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562"/>
        </w:trPr>
        <w:tc>
          <w:tcPr>
            <w:tcW w:w="1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4"/>
                <w:szCs w:val="14"/>
                <w:color w:val="auto"/>
              </w:rPr>
              <w:t>F - 20</w:t>
            </w: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60"/>
        </w:trPr>
        <w:tc>
          <w:tcPr>
            <w:tcW w:w="128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338" w:right="239" w:bottom="1440" w:gutter="0" w:footer="0" w:header="0"/>
        </w:sectPr>
      </w:pPr>
    </w:p>
    <w:bookmarkStart w:id="194" w:name="page195"/>
    <w:bookmarkEnd w:id="194"/>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SHARE CAPITAL </w:t>
      </w:r>
      <w:r>
        <w:rPr>
          <w:rFonts w:ascii="Arial" w:cs="Arial" w:eastAsia="Arial" w:hAnsi="Arial"/>
          <w:sz w:val="18"/>
          <w:szCs w:val="18"/>
          <w:color w:val="auto"/>
        </w:rPr>
        <w:t>(continued)</w:t>
      </w:r>
    </w:p>
    <w:p>
      <w:pPr>
        <w:spacing w:after="0" w:line="229" w:lineRule="exact"/>
        <w:rPr>
          <w:sz w:val="20"/>
          <w:szCs w:val="20"/>
          <w:color w:val="auto"/>
        </w:rPr>
      </w:pPr>
    </w:p>
    <w:p>
      <w:pPr>
        <w:ind w:left="1540" w:hanging="492"/>
        <w:spacing w:after="0"/>
        <w:tabs>
          <w:tab w:leader="none" w:pos="154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Option granted to non-employees</w:t>
      </w:r>
    </w:p>
    <w:p>
      <w:pPr>
        <w:spacing w:after="0" w:line="225" w:lineRule="exact"/>
        <w:rPr>
          <w:rFonts w:ascii="Arial" w:cs="Arial" w:eastAsia="Arial" w:hAnsi="Arial"/>
          <w:sz w:val="18"/>
          <w:szCs w:val="18"/>
          <w:color w:val="auto"/>
        </w:rPr>
      </w:pPr>
    </w:p>
    <w:p>
      <w:pPr>
        <w:ind w:left="1540" w:right="120"/>
        <w:spacing w:after="0" w:line="277" w:lineRule="auto"/>
        <w:rPr>
          <w:rFonts w:ascii="Arial" w:cs="Arial" w:eastAsia="Arial" w:hAnsi="Arial"/>
          <w:sz w:val="18"/>
          <w:szCs w:val="18"/>
          <w:color w:val="auto"/>
        </w:rPr>
      </w:pPr>
      <w:r>
        <w:rPr>
          <w:rFonts w:ascii="Arial" w:cs="Arial" w:eastAsia="Arial" w:hAnsi="Arial"/>
          <w:sz w:val="18"/>
          <w:szCs w:val="18"/>
          <w:color w:val="auto"/>
        </w:rPr>
        <w:t>In March 2018, the Company granted a total of 76,895 options to several consultants to purchase ordinary shares at an exercise price of $11.21 per share.</w:t>
      </w:r>
    </w:p>
    <w:p>
      <w:pPr>
        <w:spacing w:after="0" w:line="170" w:lineRule="exact"/>
        <w:rPr>
          <w:rFonts w:ascii="Arial" w:cs="Arial" w:eastAsia="Arial" w:hAnsi="Arial"/>
          <w:sz w:val="18"/>
          <w:szCs w:val="18"/>
          <w:color w:val="auto"/>
        </w:rPr>
      </w:pPr>
    </w:p>
    <w:p>
      <w:pPr>
        <w:ind w:left="1540" w:right="240"/>
        <w:spacing w:after="0" w:line="264" w:lineRule="auto"/>
        <w:rPr>
          <w:rFonts w:ascii="Arial" w:cs="Arial" w:eastAsia="Arial" w:hAnsi="Arial"/>
          <w:sz w:val="18"/>
          <w:szCs w:val="18"/>
          <w:color w:val="auto"/>
        </w:rPr>
      </w:pPr>
      <w:r>
        <w:rPr>
          <w:rFonts w:ascii="Arial" w:cs="Arial" w:eastAsia="Arial" w:hAnsi="Arial"/>
          <w:sz w:val="18"/>
          <w:szCs w:val="18"/>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181" w:lineRule="exact"/>
        <w:rPr>
          <w:rFonts w:ascii="Arial" w:cs="Arial" w:eastAsia="Arial" w:hAnsi="Arial"/>
          <w:sz w:val="18"/>
          <w:szCs w:val="18"/>
          <w:color w:val="auto"/>
        </w:rPr>
      </w:pPr>
    </w:p>
    <w:p>
      <w:pPr>
        <w:ind w:left="1540" w:right="120"/>
        <w:spacing w:after="0" w:line="277" w:lineRule="auto"/>
        <w:rPr>
          <w:rFonts w:ascii="Arial" w:cs="Arial" w:eastAsia="Arial" w:hAnsi="Arial"/>
          <w:sz w:val="18"/>
          <w:szCs w:val="18"/>
          <w:color w:val="auto"/>
        </w:rPr>
      </w:pPr>
      <w:r>
        <w:rPr>
          <w:rFonts w:ascii="Arial" w:cs="Arial" w:eastAsia="Arial" w:hAnsi="Arial"/>
          <w:sz w:val="18"/>
          <w:szCs w:val="18"/>
          <w:color w:val="auto"/>
        </w:rPr>
        <w:t>The fair value of options granted to non-employees in 2017 and 2018 were $2,725 and $648, respectively. The underlying data used for computing the fair value of the options are as follows:</w:t>
      </w:r>
    </w:p>
    <w:p>
      <w:pPr>
        <w:spacing w:after="0" w:line="166" w:lineRule="exact"/>
        <w:rPr>
          <w:sz w:val="20"/>
          <w:szCs w:val="20"/>
          <w:color w:val="auto"/>
        </w:rPr>
      </w:pPr>
    </w:p>
    <w:tbl>
      <w:tblPr>
        <w:tblLayout w:type="fixed"/>
        <w:tblInd w:w="920" w:type="dxa"/>
        <w:tblCellMar>
          <w:top w:w="0" w:type="dxa"/>
          <w:left w:w="0" w:type="dxa"/>
          <w:bottom w:w="0" w:type="dxa"/>
          <w:right w:w="0" w:type="dxa"/>
        </w:tblCellMar>
      </w:tblPr>
      <w:tr>
        <w:trPr>
          <w:trHeight w:val="241"/>
        </w:trPr>
        <w:tc>
          <w:tcPr>
            <w:tcW w:w="80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160" w:type="dxa"/>
            <w:vAlign w:val="bottom"/>
          </w:tcPr>
          <w:p>
            <w:pPr>
              <w:spacing w:after="0"/>
              <w:rPr>
                <w:sz w:val="20"/>
                <w:szCs w:val="20"/>
                <w:color w:val="auto"/>
              </w:rPr>
            </w:pPr>
          </w:p>
        </w:tc>
      </w:tr>
      <w:tr>
        <w:trPr>
          <w:trHeight w:val="257"/>
        </w:trPr>
        <w:tc>
          <w:tcPr>
            <w:tcW w:w="80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Value of one ordinary share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24.37</w:t>
            </w:r>
          </w:p>
        </w:tc>
        <w:tc>
          <w:tcPr>
            <w:tcW w:w="240" w:type="dxa"/>
            <w:vAlign w:val="bottom"/>
            <w:tcBorders>
              <w:bottom w:val="single" w:sz="8" w:color="CCEEFF"/>
              <w:right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10.40</w:t>
            </w:r>
          </w:p>
        </w:tc>
        <w:tc>
          <w:tcPr>
            <w:tcW w:w="160" w:type="dxa"/>
            <w:vAlign w:val="bottom"/>
            <w:tcBorders>
              <w:bottom w:val="single" w:sz="8" w:color="CCEEFF"/>
            </w:tcBorders>
            <w:shd w:val="clear" w:color="auto" w:fill="CCEEFF"/>
          </w:tcPr>
          <w:p>
            <w:pPr>
              <w:spacing w:after="0"/>
              <w:rPr>
                <w:sz w:val="22"/>
                <w:szCs w:val="22"/>
                <w:color w:val="auto"/>
              </w:rPr>
            </w:pPr>
          </w:p>
        </w:tc>
      </w:tr>
      <w:tr>
        <w:trPr>
          <w:trHeight w:val="210"/>
        </w:trPr>
        <w:tc>
          <w:tcPr>
            <w:tcW w:w="8020" w:type="dxa"/>
            <w:vAlign w:val="bottom"/>
          </w:tcPr>
          <w:p>
            <w:pPr>
              <w:ind w:left="360"/>
              <w:spacing w:after="0"/>
              <w:rPr>
                <w:sz w:val="20"/>
                <w:szCs w:val="20"/>
                <w:color w:val="auto"/>
              </w:rPr>
            </w:pPr>
            <w:r>
              <w:rPr>
                <w:rFonts w:ascii="Arial" w:cs="Arial" w:eastAsia="Arial" w:hAnsi="Arial"/>
                <w:sz w:val="18"/>
                <w:szCs w:val="18"/>
                <w:color w:val="auto"/>
              </w:rPr>
              <w:t>Dividend yield</w:t>
            </w:r>
          </w:p>
        </w:tc>
        <w:tc>
          <w:tcPr>
            <w:tcW w:w="10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0%</w:t>
            </w:r>
          </w:p>
        </w:tc>
        <w:tc>
          <w:tcPr>
            <w:tcW w:w="2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0%</w:t>
            </w:r>
          </w:p>
        </w:tc>
      </w:tr>
      <w:tr>
        <w:trPr>
          <w:trHeight w:val="21"/>
        </w:trPr>
        <w:tc>
          <w:tcPr>
            <w:tcW w:w="8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80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Expected volatility</w:t>
            </w:r>
          </w:p>
        </w:tc>
        <w:tc>
          <w:tcPr>
            <w:tcW w:w="100" w:type="dxa"/>
            <w:vAlign w:val="bottom"/>
            <w:shd w:val="clear" w:color="auto" w:fill="CCEEFF"/>
          </w:tcPr>
          <w:p>
            <w:pPr>
              <w:spacing w:after="0"/>
              <w:rPr>
                <w:sz w:val="20"/>
                <w:szCs w:val="20"/>
                <w:color w:val="auto"/>
              </w:rPr>
            </w:pPr>
          </w:p>
        </w:tc>
        <w:tc>
          <w:tcPr>
            <w:tcW w:w="12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0"/>
              </w:rPr>
              <w:t>72.91 -76.63%</w:t>
            </w: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79.07%</w:t>
            </w:r>
          </w:p>
        </w:tc>
      </w:tr>
      <w:tr>
        <w:trPr>
          <w:trHeight w:val="20"/>
        </w:trPr>
        <w:tc>
          <w:tcPr>
            <w:tcW w:w="80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r>
        <w:trPr>
          <w:trHeight w:val="210"/>
        </w:trPr>
        <w:tc>
          <w:tcPr>
            <w:tcW w:w="8020" w:type="dxa"/>
            <w:vAlign w:val="bottom"/>
          </w:tcPr>
          <w:p>
            <w:pPr>
              <w:ind w:left="360"/>
              <w:spacing w:after="0"/>
              <w:rPr>
                <w:sz w:val="20"/>
                <w:szCs w:val="20"/>
                <w:color w:val="auto"/>
              </w:rPr>
            </w:pPr>
            <w:r>
              <w:rPr>
                <w:rFonts w:ascii="Arial" w:cs="Arial" w:eastAsia="Arial" w:hAnsi="Arial"/>
                <w:sz w:val="18"/>
                <w:szCs w:val="18"/>
                <w:color w:val="auto"/>
              </w:rPr>
              <w:t>Risk-free interest rate</w:t>
            </w:r>
          </w:p>
        </w:tc>
        <w:tc>
          <w:tcPr>
            <w:tcW w:w="10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1.91%-2.16%</w:t>
            </w:r>
          </w:p>
        </w:tc>
        <w:tc>
          <w:tcPr>
            <w:tcW w:w="2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2.86%</w:t>
            </w:r>
          </w:p>
        </w:tc>
      </w:tr>
      <w:tr>
        <w:trPr>
          <w:trHeight w:val="21"/>
        </w:trPr>
        <w:tc>
          <w:tcPr>
            <w:tcW w:w="8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50"/>
        </w:trPr>
        <w:tc>
          <w:tcPr>
            <w:tcW w:w="80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Expected term</w:t>
            </w:r>
          </w:p>
        </w:tc>
        <w:tc>
          <w:tcPr>
            <w:tcW w:w="10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years</w:t>
            </w:r>
          </w:p>
        </w:tc>
        <w:tc>
          <w:tcPr>
            <w:tcW w:w="240" w:type="dxa"/>
            <w:vAlign w:val="bottom"/>
            <w:tcBorders>
              <w:bottom w:val="single" w:sz="8" w:color="CCEEFF"/>
              <w:right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 years</w:t>
            </w:r>
          </w:p>
        </w:tc>
        <w:tc>
          <w:tcPr>
            <w:tcW w:w="16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ind w:left="1540" w:right="100"/>
        <w:spacing w:after="0" w:line="277" w:lineRule="auto"/>
        <w:rPr>
          <w:sz w:val="20"/>
          <w:szCs w:val="20"/>
          <w:color w:val="auto"/>
        </w:rPr>
      </w:pPr>
      <w:r>
        <w:rPr>
          <w:rFonts w:ascii="Arial" w:cs="Arial" w:eastAsia="Arial" w:hAnsi="Arial"/>
          <w:sz w:val="18"/>
          <w:szCs w:val="18"/>
          <w:color w:val="auto"/>
        </w:rPr>
        <w:t>The total unrecognized compensation cost of non-employees options at December 31, 2018 is $358, which is expected to be recognized over a period of 3.2 years.</w:t>
      </w:r>
    </w:p>
    <w:p>
      <w:pPr>
        <w:spacing w:after="0" w:line="170" w:lineRule="exact"/>
        <w:rPr>
          <w:sz w:val="20"/>
          <w:szCs w:val="20"/>
          <w:color w:val="auto"/>
        </w:rPr>
      </w:pPr>
    </w:p>
    <w:p>
      <w:pPr>
        <w:ind w:left="1540" w:right="60"/>
        <w:spacing w:after="0" w:line="277" w:lineRule="auto"/>
        <w:rPr>
          <w:sz w:val="20"/>
          <w:szCs w:val="20"/>
          <w:color w:val="auto"/>
        </w:rPr>
      </w:pPr>
      <w:r>
        <w:rPr>
          <w:rFonts w:ascii="Arial" w:cs="Arial" w:eastAsia="Arial" w:hAnsi="Arial"/>
          <w:sz w:val="18"/>
          <w:szCs w:val="18"/>
          <w:color w:val="auto"/>
        </w:rPr>
        <w:t>The following table summarizes the number of options granted to non-employees under the Plan for the year ended December 31, 2018, and related information:</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9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540" w:type="dxa"/>
            <w:vAlign w:val="bottom"/>
            <w:tcBorders>
              <w:bottom w:val="single" w:sz="8" w:color="auto"/>
            </w:tcBorders>
            <w:gridSpan w:val="4"/>
          </w:tcPr>
          <w:p>
            <w:pPr>
              <w:jc w:val="right"/>
              <w:ind w:right="460"/>
              <w:spacing w:after="0"/>
              <w:rPr>
                <w:sz w:val="20"/>
                <w:szCs w:val="20"/>
                <w:color w:val="auto"/>
              </w:rPr>
            </w:pPr>
            <w:r>
              <w:rPr>
                <w:rFonts w:ascii="Arial" w:cs="Arial" w:eastAsia="Arial" w:hAnsi="Arial"/>
                <w:sz w:val="18"/>
                <w:szCs w:val="18"/>
                <w:b w:val="1"/>
                <w:bCs w:val="1"/>
                <w:color w:val="auto"/>
                <w:w w:val="96"/>
              </w:rPr>
              <w:t>Year ended December 31</w:t>
            </w:r>
          </w:p>
        </w:tc>
        <w:tc>
          <w:tcPr>
            <w:tcW w:w="1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92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center"/>
              <w:ind w:right="32"/>
              <w:spacing w:after="0"/>
              <w:rPr>
                <w:sz w:val="20"/>
                <w:szCs w:val="20"/>
                <w:color w:val="auto"/>
              </w:rPr>
            </w:pPr>
            <w:r>
              <w:rPr>
                <w:rFonts w:ascii="Arial" w:cs="Arial" w:eastAsia="Arial" w:hAnsi="Arial"/>
                <w:sz w:val="18"/>
                <w:szCs w:val="18"/>
                <w:b w:val="1"/>
                <w:bCs w:val="1"/>
                <w:color w:val="auto"/>
                <w:w w:val="89"/>
              </w:rPr>
              <w:t>2017</w:t>
            </w: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920" w:type="dxa"/>
            <w:vAlign w:val="bottom"/>
          </w:tcPr>
          <w:p>
            <w:pPr>
              <w:spacing w:after="0"/>
              <w:rPr>
                <w:sz w:val="17"/>
                <w:szCs w:val="17"/>
                <w:color w:val="auto"/>
              </w:rPr>
            </w:pPr>
          </w:p>
        </w:tc>
        <w:tc>
          <w:tcPr>
            <w:tcW w:w="30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100" w:type="dxa"/>
            <w:vAlign w:val="bottom"/>
          </w:tcPr>
          <w:p>
            <w:pPr>
              <w:spacing w:after="0"/>
              <w:rPr>
                <w:sz w:val="17"/>
                <w:szCs w:val="17"/>
                <w:color w:val="auto"/>
              </w:rPr>
            </w:pPr>
          </w:p>
        </w:tc>
      </w:tr>
      <w:tr>
        <w:trPr>
          <w:trHeight w:val="216"/>
        </w:trPr>
        <w:tc>
          <w:tcPr>
            <w:tcW w:w="920" w:type="dxa"/>
            <w:vAlign w:val="bottom"/>
          </w:tcPr>
          <w:p>
            <w:pPr>
              <w:spacing w:after="0"/>
              <w:rPr>
                <w:sz w:val="18"/>
                <w:szCs w:val="18"/>
                <w:color w:val="auto"/>
              </w:rPr>
            </w:pPr>
          </w:p>
        </w:tc>
        <w:tc>
          <w:tcPr>
            <w:tcW w:w="30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average</w:t>
            </w: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8"/>
              </w:rPr>
              <w:t>average</w:t>
            </w:r>
          </w:p>
        </w:tc>
      </w:tr>
      <w:tr>
        <w:trPr>
          <w:trHeight w:val="216"/>
        </w:trPr>
        <w:tc>
          <w:tcPr>
            <w:tcW w:w="920" w:type="dxa"/>
            <w:vAlign w:val="bottom"/>
          </w:tcPr>
          <w:p>
            <w:pPr>
              <w:spacing w:after="0"/>
              <w:rPr>
                <w:sz w:val="18"/>
                <w:szCs w:val="18"/>
                <w:color w:val="auto"/>
              </w:rPr>
            </w:pPr>
          </w:p>
        </w:tc>
        <w:tc>
          <w:tcPr>
            <w:tcW w:w="30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1"/>
              </w:rPr>
              <w:t>Weighted</w:t>
            </w: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remaining</w:t>
            </w: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1"/>
              </w:rPr>
              <w:t>Weighted</w:t>
            </w:r>
          </w:p>
        </w:tc>
        <w:tc>
          <w:tcPr>
            <w:tcW w:w="11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remaining</w:t>
            </w:r>
          </w:p>
        </w:tc>
      </w:tr>
      <w:tr>
        <w:trPr>
          <w:trHeight w:val="216"/>
        </w:trPr>
        <w:tc>
          <w:tcPr>
            <w:tcW w:w="920" w:type="dxa"/>
            <w:vAlign w:val="bottom"/>
          </w:tcPr>
          <w:p>
            <w:pPr>
              <w:spacing w:after="0"/>
              <w:rPr>
                <w:sz w:val="18"/>
                <w:szCs w:val="18"/>
                <w:color w:val="auto"/>
              </w:rPr>
            </w:pPr>
          </w:p>
        </w:tc>
        <w:tc>
          <w:tcPr>
            <w:tcW w:w="3060" w:type="dxa"/>
            <w:vAlign w:val="bottom"/>
          </w:tcPr>
          <w:p>
            <w:pPr>
              <w:spacing w:after="0"/>
              <w:rPr>
                <w:sz w:val="18"/>
                <w:szCs w:val="18"/>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Number of</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average</w:t>
            </w:r>
          </w:p>
        </w:tc>
        <w:tc>
          <w:tcPr>
            <w:tcW w:w="12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contractual</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Number of</w:t>
            </w:r>
          </w:p>
        </w:tc>
        <w:tc>
          <w:tcPr>
            <w:tcW w:w="12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w w:val="99"/>
              </w:rPr>
              <w:t>average</w:t>
            </w:r>
          </w:p>
        </w:tc>
        <w:tc>
          <w:tcPr>
            <w:tcW w:w="11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0"/>
              </w:rPr>
              <w:t>contractual</w:t>
            </w:r>
          </w:p>
        </w:tc>
      </w:tr>
      <w:tr>
        <w:trPr>
          <w:trHeight w:val="241"/>
        </w:trPr>
        <w:tc>
          <w:tcPr>
            <w:tcW w:w="9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options</w:t>
            </w:r>
          </w:p>
        </w:tc>
        <w:tc>
          <w:tcPr>
            <w:tcW w:w="100" w:type="dxa"/>
            <w:vAlign w:val="bottom"/>
          </w:tcPr>
          <w:p>
            <w:pPr>
              <w:spacing w:after="0"/>
              <w:rPr>
                <w:sz w:val="20"/>
                <w:szCs w:val="20"/>
                <w:color w:val="auto"/>
              </w:rPr>
            </w:pPr>
          </w:p>
        </w:tc>
        <w:tc>
          <w:tcPr>
            <w:tcW w:w="1280" w:type="dxa"/>
            <w:vAlign w:val="bottom"/>
            <w:gridSpan w:val="3"/>
          </w:tcPr>
          <w:p>
            <w:pPr>
              <w:ind w:left="20"/>
              <w:spacing w:after="0"/>
              <w:rPr>
                <w:sz w:val="20"/>
                <w:szCs w:val="20"/>
                <w:color w:val="auto"/>
              </w:rPr>
            </w:pPr>
            <w:r>
              <w:rPr>
                <w:rFonts w:ascii="Arial" w:cs="Arial" w:eastAsia="Arial" w:hAnsi="Arial"/>
                <w:sz w:val="18"/>
                <w:szCs w:val="18"/>
                <w:b w:val="1"/>
                <w:bCs w:val="1"/>
                <w:color w:val="auto"/>
              </w:rPr>
              <w:t>exercise price</w:t>
            </w:r>
          </w:p>
        </w:tc>
        <w:tc>
          <w:tcPr>
            <w:tcW w:w="12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life</w:t>
            </w:r>
          </w:p>
        </w:tc>
        <w:tc>
          <w:tcPr>
            <w:tcW w:w="128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rPr>
              <w:t>options</w:t>
            </w:r>
          </w:p>
        </w:tc>
        <w:tc>
          <w:tcPr>
            <w:tcW w:w="1240" w:type="dxa"/>
            <w:vAlign w:val="bottom"/>
            <w:gridSpan w:val="3"/>
          </w:tcPr>
          <w:p>
            <w:pPr>
              <w:spacing w:after="0"/>
              <w:rPr>
                <w:sz w:val="20"/>
                <w:szCs w:val="20"/>
                <w:color w:val="auto"/>
              </w:rPr>
            </w:pPr>
            <w:r>
              <w:rPr>
                <w:rFonts w:ascii="Arial" w:cs="Arial" w:eastAsia="Arial" w:hAnsi="Arial"/>
                <w:sz w:val="18"/>
                <w:szCs w:val="18"/>
                <w:b w:val="1"/>
                <w:bCs w:val="1"/>
                <w:color w:val="auto"/>
              </w:rPr>
              <w:t>exercise price</w:t>
            </w:r>
          </w:p>
        </w:tc>
        <w:tc>
          <w:tcPr>
            <w:tcW w:w="11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2"/>
              </w:rPr>
              <w:t>life</w:t>
            </w:r>
          </w:p>
        </w:tc>
      </w:tr>
      <w:tr>
        <w:trPr>
          <w:trHeight w:val="202"/>
        </w:trPr>
        <w:tc>
          <w:tcPr>
            <w:tcW w:w="920" w:type="dxa"/>
            <w:vAlign w:val="bottom"/>
          </w:tcPr>
          <w:p>
            <w:pPr>
              <w:spacing w:after="0"/>
              <w:rPr>
                <w:sz w:val="17"/>
                <w:szCs w:val="17"/>
                <w:color w:val="auto"/>
              </w:rPr>
            </w:pPr>
          </w:p>
        </w:tc>
        <w:tc>
          <w:tcPr>
            <w:tcW w:w="3060" w:type="dxa"/>
            <w:vAlign w:val="bottom"/>
            <w:shd w:val="clear" w:color="auto" w:fill="CCEEFF"/>
          </w:tcPr>
          <w:p>
            <w:pPr>
              <w:ind w:left="300"/>
              <w:spacing w:after="0" w:line="201" w:lineRule="exact"/>
              <w:rPr>
                <w:sz w:val="20"/>
                <w:szCs w:val="20"/>
                <w:color w:val="auto"/>
              </w:rPr>
            </w:pPr>
            <w:r>
              <w:rPr>
                <w:rFonts w:ascii="Arial" w:cs="Arial" w:eastAsia="Arial" w:hAnsi="Arial"/>
                <w:sz w:val="18"/>
                <w:szCs w:val="18"/>
                <w:color w:val="auto"/>
              </w:rPr>
              <w:t>Options outstanding at the</w:t>
            </w:r>
          </w:p>
        </w:tc>
        <w:tc>
          <w:tcPr>
            <w:tcW w:w="10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920" w:type="dxa"/>
            <w:vAlign w:val="bottom"/>
          </w:tcPr>
          <w:p>
            <w:pPr>
              <w:spacing w:after="0"/>
              <w:rPr>
                <w:sz w:val="20"/>
                <w:szCs w:val="20"/>
                <w:color w:val="auto"/>
              </w:rPr>
            </w:pPr>
          </w:p>
        </w:tc>
        <w:tc>
          <w:tcPr>
            <w:tcW w:w="3060" w:type="dxa"/>
            <w:vAlign w:val="bottom"/>
            <w:shd w:val="clear" w:color="auto" w:fill="CCEEFF"/>
          </w:tcPr>
          <w:p>
            <w:pPr>
              <w:ind w:left="540"/>
              <w:spacing w:after="0"/>
              <w:rPr>
                <w:sz w:val="20"/>
                <w:szCs w:val="20"/>
                <w:color w:val="auto"/>
              </w:rPr>
            </w:pPr>
            <w:r>
              <w:rPr>
                <w:rFonts w:ascii="Arial" w:cs="Arial" w:eastAsia="Arial" w:hAnsi="Arial"/>
                <w:sz w:val="18"/>
                <w:szCs w:val="18"/>
                <w:color w:val="auto"/>
              </w:rPr>
              <w:t>beginning of the year</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121,680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5.12</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9.54</w:t>
            </w:r>
          </w:p>
        </w:tc>
      </w:tr>
      <w:tr>
        <w:trPr>
          <w:trHeight w:val="223"/>
        </w:trPr>
        <w:tc>
          <w:tcPr>
            <w:tcW w:w="920" w:type="dxa"/>
            <w:vAlign w:val="bottom"/>
          </w:tcPr>
          <w:p>
            <w:pPr>
              <w:spacing w:after="0"/>
              <w:rPr>
                <w:sz w:val="19"/>
                <w:szCs w:val="19"/>
                <w:color w:val="auto"/>
              </w:rPr>
            </w:pPr>
          </w:p>
        </w:tc>
        <w:tc>
          <w:tcPr>
            <w:tcW w:w="3060" w:type="dxa"/>
            <w:vAlign w:val="bottom"/>
          </w:tcPr>
          <w:p>
            <w:pPr>
              <w:ind w:left="300"/>
              <w:spacing w:after="0"/>
              <w:rPr>
                <w:sz w:val="20"/>
                <w:szCs w:val="20"/>
                <w:color w:val="auto"/>
              </w:rPr>
            </w:pPr>
            <w:r>
              <w:rPr>
                <w:rFonts w:ascii="Arial" w:cs="Arial" w:eastAsia="Arial" w:hAnsi="Arial"/>
                <w:sz w:val="18"/>
                <w:szCs w:val="18"/>
                <w:color w:val="auto"/>
              </w:rPr>
              <w:t>Granted</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121,680</w:t>
            </w:r>
          </w:p>
        </w:tc>
        <w:tc>
          <w:tcPr>
            <w:tcW w:w="24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5.12</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9.54</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76,895</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11.21</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9.24</w:t>
            </w:r>
          </w:p>
        </w:tc>
      </w:tr>
      <w:tr>
        <w:trPr>
          <w:trHeight w:val="202"/>
        </w:trPr>
        <w:tc>
          <w:tcPr>
            <w:tcW w:w="920" w:type="dxa"/>
            <w:vAlign w:val="bottom"/>
          </w:tcPr>
          <w:p>
            <w:pPr>
              <w:spacing w:after="0"/>
              <w:rPr>
                <w:sz w:val="17"/>
                <w:szCs w:val="17"/>
                <w:color w:val="auto"/>
              </w:rPr>
            </w:pPr>
          </w:p>
        </w:tc>
        <w:tc>
          <w:tcPr>
            <w:tcW w:w="3060" w:type="dxa"/>
            <w:vAlign w:val="bottom"/>
            <w:shd w:val="clear" w:color="auto" w:fill="CCEEFF"/>
          </w:tcPr>
          <w:p>
            <w:pPr>
              <w:ind w:left="300"/>
              <w:spacing w:after="0" w:line="201" w:lineRule="exact"/>
              <w:rPr>
                <w:sz w:val="20"/>
                <w:szCs w:val="20"/>
                <w:color w:val="auto"/>
              </w:rPr>
            </w:pPr>
            <w:r>
              <w:rPr>
                <w:rFonts w:ascii="Arial" w:cs="Arial" w:eastAsia="Arial" w:hAnsi="Arial"/>
                <w:sz w:val="18"/>
                <w:szCs w:val="18"/>
                <w:color w:val="auto"/>
              </w:rPr>
              <w:t>Options outstanding at the end of</w:t>
            </w:r>
          </w:p>
        </w:tc>
        <w:tc>
          <w:tcPr>
            <w:tcW w:w="106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71"/>
        </w:trPr>
        <w:tc>
          <w:tcPr>
            <w:tcW w:w="920" w:type="dxa"/>
            <w:vAlign w:val="bottom"/>
          </w:tcPr>
          <w:p>
            <w:pPr>
              <w:spacing w:after="0"/>
              <w:rPr>
                <w:sz w:val="23"/>
                <w:szCs w:val="23"/>
                <w:color w:val="auto"/>
              </w:rPr>
            </w:pPr>
          </w:p>
        </w:tc>
        <w:tc>
          <w:tcPr>
            <w:tcW w:w="306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the year</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121,680</w:t>
            </w:r>
          </w:p>
        </w:tc>
        <w:tc>
          <w:tcPr>
            <w:tcW w:w="24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5.12</w:t>
            </w: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9.54</w:t>
            </w: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198,575</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7.48</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8.81</w:t>
            </w:r>
          </w:p>
        </w:tc>
      </w:tr>
      <w:tr>
        <w:trPr>
          <w:trHeight w:val="195"/>
        </w:trPr>
        <w:tc>
          <w:tcPr>
            <w:tcW w:w="920" w:type="dxa"/>
            <w:vAlign w:val="bottom"/>
          </w:tcPr>
          <w:p>
            <w:pPr>
              <w:spacing w:after="0"/>
              <w:rPr>
                <w:sz w:val="16"/>
                <w:szCs w:val="16"/>
                <w:color w:val="auto"/>
              </w:rPr>
            </w:pPr>
          </w:p>
        </w:tc>
        <w:tc>
          <w:tcPr>
            <w:tcW w:w="3060" w:type="dxa"/>
            <w:vAlign w:val="bottom"/>
            <w:tcBorders>
              <w:top w:val="single" w:sz="8" w:color="CCEEFF"/>
            </w:tcBorders>
          </w:tcPr>
          <w:p>
            <w:pPr>
              <w:ind w:left="300"/>
              <w:spacing w:after="0" w:line="195" w:lineRule="exact"/>
              <w:rPr>
                <w:sz w:val="20"/>
                <w:szCs w:val="20"/>
                <w:color w:val="auto"/>
              </w:rPr>
            </w:pPr>
            <w:r>
              <w:rPr>
                <w:rFonts w:ascii="Arial" w:cs="Arial" w:eastAsia="Arial" w:hAnsi="Arial"/>
                <w:sz w:val="18"/>
                <w:szCs w:val="18"/>
                <w:color w:val="auto"/>
                <w:w w:val="93"/>
              </w:rPr>
              <w:t>Options exercisable at the end of the</w:t>
            </w:r>
          </w:p>
        </w:tc>
        <w:tc>
          <w:tcPr>
            <w:tcW w:w="106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00" w:type="dxa"/>
            <w:vAlign w:val="bottom"/>
            <w:tcBorders>
              <w:top w:val="single" w:sz="8" w:color="CCEEFF"/>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200" w:type="dxa"/>
            <w:vAlign w:val="bottom"/>
            <w:tcBorders>
              <w:top w:val="single" w:sz="8" w:color="CCEEFF"/>
            </w:tcBorders>
          </w:tcPr>
          <w:p>
            <w:pPr>
              <w:spacing w:after="0"/>
              <w:rPr>
                <w:sz w:val="16"/>
                <w:szCs w:val="16"/>
                <w:color w:val="auto"/>
              </w:rPr>
            </w:pPr>
          </w:p>
        </w:tc>
        <w:tc>
          <w:tcPr>
            <w:tcW w:w="102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30"/>
        </w:trPr>
        <w:tc>
          <w:tcPr>
            <w:tcW w:w="920" w:type="dxa"/>
            <w:vAlign w:val="bottom"/>
          </w:tcPr>
          <w:p>
            <w:pPr>
              <w:spacing w:after="0"/>
              <w:rPr>
                <w:sz w:val="20"/>
                <w:szCs w:val="20"/>
                <w:color w:val="auto"/>
              </w:rPr>
            </w:pPr>
          </w:p>
        </w:tc>
        <w:tc>
          <w:tcPr>
            <w:tcW w:w="3060" w:type="dxa"/>
            <w:vAlign w:val="bottom"/>
          </w:tcPr>
          <w:p>
            <w:pPr>
              <w:ind w:left="540"/>
              <w:spacing w:after="0"/>
              <w:rPr>
                <w:sz w:val="20"/>
                <w:szCs w:val="20"/>
                <w:color w:val="auto"/>
              </w:rPr>
            </w:pPr>
            <w:r>
              <w:rPr>
                <w:rFonts w:ascii="Arial" w:cs="Arial" w:eastAsia="Arial" w:hAnsi="Arial"/>
                <w:sz w:val="18"/>
                <w:szCs w:val="18"/>
                <w:color w:val="auto"/>
              </w:rPr>
              <w:t>year</w:t>
            </w:r>
          </w:p>
        </w:tc>
        <w:tc>
          <w:tcPr>
            <w:tcW w:w="1060" w:type="dxa"/>
            <w:vAlign w:val="bottom"/>
          </w:tcPr>
          <w:p>
            <w:pPr>
              <w:jc w:val="right"/>
              <w:spacing w:after="0"/>
              <w:rPr>
                <w:sz w:val="20"/>
                <w:szCs w:val="20"/>
                <w:color w:val="auto"/>
              </w:rPr>
            </w:pPr>
            <w:r>
              <w:rPr>
                <w:rFonts w:ascii="Arial" w:cs="Arial" w:eastAsia="Arial" w:hAnsi="Arial"/>
                <w:sz w:val="18"/>
                <w:szCs w:val="18"/>
                <w:color w:val="auto"/>
              </w:rPr>
              <w:t>7,614</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1.59</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9.54</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44,793</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4.59</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8.54</w:t>
            </w:r>
          </w:p>
        </w:tc>
      </w:tr>
      <w:tr>
        <w:trPr>
          <w:trHeight w:val="21"/>
        </w:trPr>
        <w:tc>
          <w:tcPr>
            <w:tcW w:w="9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562"/>
        </w:trPr>
        <w:tc>
          <w:tcPr>
            <w:tcW w:w="92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gridSpan w:val="2"/>
          </w:tcPr>
          <w:p>
            <w:pPr>
              <w:jc w:val="right"/>
              <w:ind w:right="640"/>
              <w:spacing w:after="0"/>
              <w:rPr>
                <w:sz w:val="20"/>
                <w:szCs w:val="20"/>
                <w:color w:val="auto"/>
              </w:rPr>
            </w:pPr>
            <w:r>
              <w:rPr>
                <w:rFonts w:ascii="Arial" w:cs="Arial" w:eastAsia="Arial" w:hAnsi="Arial"/>
                <w:sz w:val="14"/>
                <w:szCs w:val="14"/>
                <w:color w:val="auto"/>
              </w:rPr>
              <w:t>F - 21</w:t>
            </w: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60"/>
        </w:trPr>
        <w:tc>
          <w:tcPr>
            <w:tcW w:w="920" w:type="dxa"/>
            <w:vAlign w:val="bottom"/>
            <w:tcBorders>
              <w:bottom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121" w:right="239" w:bottom="1440" w:gutter="0" w:footer="0" w:header="0"/>
        </w:sectPr>
      </w:pPr>
    </w:p>
    <w:bookmarkStart w:id="195" w:name="page196"/>
    <w:bookmarkEnd w:id="195"/>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SHARE CAPITAL </w:t>
      </w:r>
      <w:r>
        <w:rPr>
          <w:rFonts w:ascii="Arial" w:cs="Arial" w:eastAsia="Arial" w:hAnsi="Arial"/>
          <w:sz w:val="18"/>
          <w:szCs w:val="18"/>
          <w:color w:val="auto"/>
        </w:rPr>
        <w:t>(continued)</w:t>
      </w:r>
    </w:p>
    <w:p>
      <w:pPr>
        <w:spacing w:after="0" w:line="229" w:lineRule="exact"/>
        <w:rPr>
          <w:sz w:val="20"/>
          <w:szCs w:val="20"/>
          <w:color w:val="auto"/>
        </w:rPr>
      </w:pPr>
    </w:p>
    <w:p>
      <w:pPr>
        <w:ind w:left="360" w:right="80" w:firstLine="8"/>
        <w:spacing w:after="0" w:line="277" w:lineRule="auto"/>
        <w:tabs>
          <w:tab w:leader="none" w:pos="71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The aggregate intrinsic value of the total outstanding and of total exercisable options as of December 31, 2018 is approximately $2,168 and $1,877, respectively.</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Restricted Shares granted to Directors</w:t>
      </w:r>
    </w:p>
    <w:p>
      <w:pPr>
        <w:spacing w:after="0" w:line="225" w:lineRule="exact"/>
        <w:rPr>
          <w:sz w:val="20"/>
          <w:szCs w:val="20"/>
          <w:color w:val="auto"/>
        </w:rPr>
      </w:pPr>
    </w:p>
    <w:p>
      <w:pPr>
        <w:ind w:left="660" w:right="100"/>
        <w:spacing w:after="0" w:line="264" w:lineRule="auto"/>
        <w:rPr>
          <w:sz w:val="20"/>
          <w:szCs w:val="20"/>
          <w:color w:val="auto"/>
        </w:rPr>
      </w:pPr>
      <w:r>
        <w:rPr>
          <w:rFonts w:ascii="Arial" w:cs="Arial" w:eastAsia="Arial" w:hAnsi="Arial"/>
          <w:sz w:val="18"/>
          <w:szCs w:val="18"/>
          <w:color w:val="auto"/>
        </w:rPr>
        <w:t>In February 2018, the board of directors approved and recommended the Company shareholders to approve a total grant of 46,000 restricted share units (RSUs) to its independent and external directors that vest annually in equal portions over a three-year period. The fair value of the shares as of the date of grant was $495.</w:t>
      </w:r>
    </w:p>
    <w:p>
      <w:pPr>
        <w:spacing w:after="0" w:line="181" w:lineRule="exact"/>
        <w:rPr>
          <w:sz w:val="20"/>
          <w:szCs w:val="20"/>
          <w:color w:val="auto"/>
        </w:rPr>
      </w:pPr>
    </w:p>
    <w:p>
      <w:pPr>
        <w:ind w:left="720" w:hanging="352"/>
        <w:spacing w:after="0"/>
        <w:tabs>
          <w:tab w:leader="none" w:pos="72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The following table illustrates the effect of share-based compensation on the statements of operations:</w:t>
      </w:r>
    </w:p>
    <w:p>
      <w:pPr>
        <w:spacing w:after="0" w:line="221"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86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jc w:val="center"/>
              <w:ind w:right="30"/>
              <w:spacing w:after="0"/>
              <w:rPr>
                <w:sz w:val="20"/>
                <w:szCs w:val="20"/>
                <w:color w:val="auto"/>
              </w:rPr>
            </w:pPr>
            <w:r>
              <w:rPr>
                <w:rFonts w:ascii="Arial" w:cs="Arial" w:eastAsia="Arial" w:hAnsi="Arial"/>
                <w:sz w:val="18"/>
                <w:szCs w:val="18"/>
                <w:b w:val="1"/>
                <w:bCs w:val="1"/>
                <w:color w:val="auto"/>
                <w:w w:val="88"/>
              </w:rPr>
              <w:t>Year ended</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486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9"/>
              </w:rPr>
              <w:t>December 31</w:t>
            </w:r>
          </w:p>
        </w:tc>
        <w:tc>
          <w:tcPr>
            <w:tcW w:w="2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86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2016</w:t>
            </w:r>
          </w:p>
        </w:tc>
        <w:tc>
          <w:tcPr>
            <w:tcW w:w="3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2017</w:t>
            </w: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r>
      <w:tr>
        <w:trPr>
          <w:trHeight w:val="216"/>
        </w:trPr>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600"/>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541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1,932</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2,708</w:t>
            </w:r>
          </w:p>
        </w:tc>
        <w:tc>
          <w:tcPr>
            <w:tcW w:w="100" w:type="dxa"/>
            <w:vAlign w:val="bottom"/>
            <w:shd w:val="clear" w:color="auto" w:fill="CCEEFF"/>
          </w:tcPr>
          <w:p>
            <w:pPr>
              <w:spacing w:after="0"/>
              <w:rPr>
                <w:sz w:val="18"/>
                <w:szCs w:val="18"/>
                <w:color w:val="auto"/>
              </w:rPr>
            </w:pPr>
          </w:p>
        </w:tc>
      </w:tr>
      <w:tr>
        <w:trPr>
          <w:trHeight w:val="223"/>
        </w:trPr>
        <w:tc>
          <w:tcPr>
            <w:tcW w:w="486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2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4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411</w:t>
            </w:r>
          </w:p>
        </w:tc>
        <w:tc>
          <w:tcPr>
            <w:tcW w:w="1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2,042</w:t>
            </w:r>
          </w:p>
        </w:tc>
        <w:tc>
          <w:tcPr>
            <w:tcW w:w="4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1,946</w:t>
            </w:r>
          </w:p>
        </w:tc>
      </w:tr>
      <w:tr>
        <w:trPr>
          <w:trHeight w:val="257"/>
        </w:trPr>
        <w:tc>
          <w:tcPr>
            <w:tcW w:w="4860" w:type="dxa"/>
            <w:vAlign w:val="bottom"/>
            <w:tcBorders>
              <w:bottom w:val="single" w:sz="8" w:color="CCEEFF"/>
            </w:tcBorders>
            <w:shd w:val="clear" w:color="auto" w:fill="CCEEFF"/>
          </w:tcPr>
          <w:p>
            <w:pPr>
              <w:spacing w:after="0"/>
              <w:rPr>
                <w:sz w:val="22"/>
                <w:szCs w:val="22"/>
                <w:color w:val="auto"/>
              </w:rPr>
            </w:pPr>
          </w:p>
        </w:tc>
        <w:tc>
          <w:tcPr>
            <w:tcW w:w="22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top w:val="single" w:sz="8" w:color="auto"/>
              <w:bottom w:val="single" w:sz="8" w:color="auto"/>
            </w:tcBorders>
            <w:shd w:val="clear" w:color="auto" w:fill="CCEEFF"/>
          </w:tcPr>
          <w:p>
            <w:pPr>
              <w:jc w:val="right"/>
              <w:ind w:right="600"/>
              <w:spacing w:after="0"/>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952</w:t>
            </w:r>
          </w:p>
        </w:tc>
        <w:tc>
          <w:tcPr>
            <w:tcW w:w="2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2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TAXES ON INCOME</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is taxed under Israel tax laws:</w:t>
      </w:r>
    </w:p>
    <w:p>
      <w:pPr>
        <w:spacing w:after="0" w:line="221"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a.</w:t>
      </w:r>
      <w:r>
        <w:rPr>
          <w:sz w:val="20"/>
          <w:szCs w:val="20"/>
          <w:color w:val="auto"/>
        </w:rPr>
        <w:tab/>
      </w:r>
      <w:r>
        <w:rPr>
          <w:rFonts w:ascii="Arial" w:cs="Arial" w:eastAsia="Arial" w:hAnsi="Arial"/>
          <w:sz w:val="16"/>
          <w:szCs w:val="16"/>
          <w:b w:val="1"/>
          <w:bCs w:val="1"/>
          <w:color w:val="auto"/>
        </w:rPr>
        <w:t>Tax rates</w:t>
      </w:r>
    </w:p>
    <w:p>
      <w:pPr>
        <w:spacing w:after="0" w:line="229" w:lineRule="exact"/>
        <w:rPr>
          <w:sz w:val="20"/>
          <w:szCs w:val="20"/>
          <w:color w:val="auto"/>
        </w:rPr>
      </w:pPr>
    </w:p>
    <w:p>
      <w:pPr>
        <w:ind w:left="700" w:right="60"/>
        <w:spacing w:after="0" w:line="277" w:lineRule="auto"/>
        <w:rPr>
          <w:sz w:val="20"/>
          <w:szCs w:val="20"/>
          <w:color w:val="auto"/>
        </w:rPr>
      </w:pPr>
      <w:r>
        <w:rPr>
          <w:rFonts w:ascii="Arial" w:cs="Arial" w:eastAsia="Arial" w:hAnsi="Arial"/>
          <w:sz w:val="18"/>
          <w:szCs w:val="18"/>
          <w:color w:val="auto"/>
        </w:rPr>
        <w:t>The income of the Company and the Capital gains, other than income from Benefitted Enterprises (see b below), are subject to the normal corporate tax rates, 23% for 2018 and thereafter.</w:t>
      </w:r>
    </w:p>
    <w:p>
      <w:pPr>
        <w:spacing w:after="0" w:line="166"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6"/>
          <w:szCs w:val="16"/>
          <w:b w:val="1"/>
          <w:bCs w:val="1"/>
          <w:color w:val="auto"/>
        </w:rPr>
        <w:t>Tax benefits under the Law for the Encouragement of Capital Investments, 1959 (the “Investment Law”)</w:t>
      </w:r>
    </w:p>
    <w:p>
      <w:pPr>
        <w:spacing w:after="0" w:line="229" w:lineRule="exact"/>
        <w:rPr>
          <w:sz w:val="20"/>
          <w:szCs w:val="20"/>
          <w:color w:val="auto"/>
        </w:rPr>
      </w:pPr>
    </w:p>
    <w:p>
      <w:pPr>
        <w:ind w:left="700" w:right="580"/>
        <w:spacing w:after="0" w:line="277" w:lineRule="auto"/>
        <w:rPr>
          <w:sz w:val="20"/>
          <w:szCs w:val="20"/>
          <w:color w:val="auto"/>
        </w:rPr>
      </w:pPr>
      <w:r>
        <w:rPr>
          <w:rFonts w:ascii="Arial" w:cs="Arial" w:eastAsia="Arial" w:hAnsi="Arial"/>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170" w:lineRule="exact"/>
        <w:rPr>
          <w:sz w:val="20"/>
          <w:szCs w:val="20"/>
          <w:color w:val="auto"/>
        </w:rPr>
      </w:pPr>
    </w:p>
    <w:p>
      <w:pPr>
        <w:jc w:val="both"/>
        <w:ind w:left="700" w:right="260"/>
        <w:spacing w:after="0" w:line="312" w:lineRule="auto"/>
        <w:rPr>
          <w:sz w:val="20"/>
          <w:szCs w:val="20"/>
          <w:color w:val="auto"/>
        </w:rPr>
      </w:pPr>
      <w:r>
        <w:rPr>
          <w:rFonts w:ascii="Arial" w:cs="Arial" w:eastAsia="Arial" w:hAnsi="Arial"/>
          <w:sz w:val="16"/>
          <w:szCs w:val="16"/>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147" w:lineRule="exact"/>
        <w:rPr>
          <w:sz w:val="20"/>
          <w:szCs w:val="20"/>
          <w:color w:val="auto"/>
        </w:rPr>
      </w:pPr>
    </w:p>
    <w:p>
      <w:pPr>
        <w:ind w:left="700" w:right="420"/>
        <w:spacing w:after="0" w:line="277" w:lineRule="auto"/>
        <w:rPr>
          <w:sz w:val="20"/>
          <w:szCs w:val="20"/>
          <w:color w:val="auto"/>
        </w:rPr>
      </w:pPr>
      <w:r>
        <w:rPr>
          <w:rFonts w:ascii="Arial" w:cs="Arial" w:eastAsia="Arial" w:hAnsi="Arial"/>
          <w:sz w:val="18"/>
          <w:szCs w:val="18"/>
          <w:color w:val="auto"/>
        </w:rPr>
        <w:t>The period of tax benefits, as described above, is limited to 12 years from the beginning of the Benefited Enterprise election year (2012). As of December 31, 2018, the period of benefits has not yet commenced.</w:t>
      </w:r>
    </w:p>
    <w:p>
      <w:pPr>
        <w:spacing w:after="0" w:line="170" w:lineRule="exact"/>
        <w:rPr>
          <w:sz w:val="20"/>
          <w:szCs w:val="20"/>
          <w:color w:val="auto"/>
        </w:rPr>
      </w:pPr>
    </w:p>
    <w:p>
      <w:pPr>
        <w:ind w:left="700" w:right="40"/>
        <w:spacing w:after="0" w:line="264" w:lineRule="auto"/>
        <w:rPr>
          <w:sz w:val="20"/>
          <w:szCs w:val="20"/>
          <w:color w:val="auto"/>
        </w:rPr>
      </w:pPr>
      <w:r>
        <w:rPr>
          <w:rFonts w:ascii="Arial" w:cs="Arial" w:eastAsia="Arial" w:hAnsi="Arial"/>
          <w:sz w:val="18"/>
          <w:szCs w:val="18"/>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F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96" w:name="page197"/>
    <w:bookmarkEnd w:id="196"/>
    <w:p>
      <w:pPr>
        <w:jc w:val="center"/>
        <w:ind w:right="-7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TAXES ON INCOME (</w:t>
      </w:r>
      <w:r>
        <w:rPr>
          <w:rFonts w:ascii="Arial" w:cs="Arial" w:eastAsia="Arial" w:hAnsi="Arial"/>
          <w:sz w:val="18"/>
          <w:szCs w:val="18"/>
          <w:color w:val="auto"/>
        </w:rPr>
        <w:t>continued)</w:t>
      </w:r>
    </w:p>
    <w:p>
      <w:pPr>
        <w:spacing w:after="0" w:line="229" w:lineRule="exact"/>
        <w:rPr>
          <w:sz w:val="20"/>
          <w:szCs w:val="20"/>
          <w:color w:val="auto"/>
        </w:rPr>
      </w:pPr>
    </w:p>
    <w:p>
      <w:pPr>
        <w:ind w:left="700" w:right="460"/>
        <w:spacing w:after="0" w:line="277" w:lineRule="auto"/>
        <w:rPr>
          <w:sz w:val="20"/>
          <w:szCs w:val="20"/>
          <w:color w:val="auto"/>
        </w:rPr>
      </w:pPr>
      <w:r>
        <w:rPr>
          <w:rFonts w:ascii="Arial" w:cs="Arial" w:eastAsia="Arial" w:hAnsi="Arial"/>
          <w:sz w:val="18"/>
          <w:szCs w:val="18"/>
          <w:color w:val="auto"/>
        </w:rPr>
        <w:t>Entitlement to the above benefits is conditioned upon the Company fulfilling the conditions stipulated by the Investment Law and regulations published thereunder.</w:t>
      </w:r>
    </w:p>
    <w:p>
      <w:pPr>
        <w:spacing w:after="0" w:line="170" w:lineRule="exact"/>
        <w:rPr>
          <w:sz w:val="20"/>
          <w:szCs w:val="20"/>
          <w:color w:val="auto"/>
        </w:rPr>
      </w:pPr>
    </w:p>
    <w:p>
      <w:pPr>
        <w:ind w:left="700" w:right="40"/>
        <w:spacing w:after="0" w:line="277" w:lineRule="auto"/>
        <w:rPr>
          <w:sz w:val="20"/>
          <w:szCs w:val="20"/>
          <w:color w:val="auto"/>
        </w:rPr>
      </w:pPr>
      <w:r>
        <w:rPr>
          <w:rFonts w:ascii="Arial" w:cs="Arial" w:eastAsia="Arial" w:hAnsi="Arial"/>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170" w:lineRule="exact"/>
        <w:rPr>
          <w:sz w:val="20"/>
          <w:szCs w:val="20"/>
          <w:color w:val="auto"/>
        </w:rPr>
      </w:pPr>
    </w:p>
    <w:p>
      <w:pPr>
        <w:ind w:left="700" w:right="140"/>
        <w:spacing w:after="0" w:line="277" w:lineRule="auto"/>
        <w:rPr>
          <w:sz w:val="20"/>
          <w:szCs w:val="20"/>
          <w:color w:val="auto"/>
        </w:rPr>
      </w:pPr>
      <w:r>
        <w:rPr>
          <w:rFonts w:ascii="Arial" w:cs="Arial" w:eastAsia="Arial" w:hAnsi="Arial"/>
          <w:sz w:val="18"/>
          <w:szCs w:val="18"/>
          <w:color w:val="auto"/>
        </w:rPr>
        <w:t>The Investment Law was amended as part of the Economic Policy Law for the years 2011 – 2012 (the “Amendment”), which became effective on January 1, 2011.</w:t>
      </w:r>
    </w:p>
    <w:p>
      <w:pPr>
        <w:spacing w:after="0" w:line="170" w:lineRule="exact"/>
        <w:rPr>
          <w:sz w:val="20"/>
          <w:szCs w:val="20"/>
          <w:color w:val="auto"/>
        </w:rPr>
      </w:pPr>
    </w:p>
    <w:p>
      <w:pPr>
        <w:ind w:left="700"/>
        <w:spacing w:after="0" w:line="264" w:lineRule="auto"/>
        <w:rPr>
          <w:sz w:val="20"/>
          <w:szCs w:val="20"/>
          <w:color w:val="auto"/>
        </w:rPr>
      </w:pPr>
      <w:r>
        <w:rPr>
          <w:rFonts w:ascii="Arial" w:cs="Arial" w:eastAsia="Arial" w:hAnsi="Arial"/>
          <w:sz w:val="18"/>
          <w:szCs w:val="18"/>
          <w:color w:val="auto"/>
        </w:rPr>
        <w:t>The Amendment sets alternative benefit tracks to the ones currently in place under the provisions of the Investment Law, including a reduced corporate tax rate. Tax rate for “Preferred Enterprise” income of companies not located in national development zone A, is 16% for fiscal year 2014 and thereafter.</w:t>
      </w:r>
    </w:p>
    <w:p>
      <w:pPr>
        <w:spacing w:after="0" w:line="181" w:lineRule="exact"/>
        <w:rPr>
          <w:sz w:val="20"/>
          <w:szCs w:val="20"/>
          <w:color w:val="auto"/>
        </w:rPr>
      </w:pPr>
    </w:p>
    <w:p>
      <w:pPr>
        <w:ind w:left="700" w:right="20"/>
        <w:spacing w:after="0" w:line="312" w:lineRule="auto"/>
        <w:rPr>
          <w:sz w:val="20"/>
          <w:szCs w:val="20"/>
          <w:color w:val="auto"/>
        </w:rPr>
      </w:pPr>
      <w:r>
        <w:rPr>
          <w:rFonts w:ascii="Arial" w:cs="Arial" w:eastAsia="Arial" w:hAnsi="Arial"/>
          <w:sz w:val="16"/>
          <w:szCs w:val="16"/>
          <w:color w:val="auto"/>
        </w:rPr>
        <w:t>The benefits are granted to companies that qualify under criteria set forth in the Investment Law; for the most part, those criteria are similar to the criteria that have existed in the Investment Law prior to its amendment and the benefit period is unlimited in time. However, in accordance with the Amendment, the classification of licensing income as preferred income is subject to the issuance of a pre-ruling by the Israel Tax Authority.</w:t>
      </w:r>
    </w:p>
    <w:p>
      <w:pPr>
        <w:spacing w:after="0" w:line="147" w:lineRule="exact"/>
        <w:rPr>
          <w:sz w:val="20"/>
          <w:szCs w:val="20"/>
          <w:color w:val="auto"/>
        </w:rPr>
      </w:pPr>
    </w:p>
    <w:p>
      <w:pPr>
        <w:ind w:left="700" w:right="80"/>
        <w:spacing w:after="0" w:line="277" w:lineRule="auto"/>
        <w:rPr>
          <w:sz w:val="20"/>
          <w:szCs w:val="20"/>
          <w:color w:val="auto"/>
        </w:rPr>
      </w:pPr>
      <w:r>
        <w:rPr>
          <w:rFonts w:ascii="Arial" w:cs="Arial" w:eastAsia="Arial" w:hAnsi="Arial"/>
          <w:sz w:val="18"/>
          <w:szCs w:val="18"/>
          <w:color w:val="auto"/>
        </w:rPr>
        <w:t>Under the transitional provisions of the Investment Law, a company is allowed to continue to enjoy the tax benefits available under the Investment Law prior to its amendment until the end of the period of benefits, as defined in the Investment Law.</w:t>
      </w:r>
    </w:p>
    <w:p>
      <w:pPr>
        <w:spacing w:after="0" w:line="170" w:lineRule="exact"/>
        <w:rPr>
          <w:sz w:val="20"/>
          <w:szCs w:val="20"/>
          <w:color w:val="auto"/>
        </w:rPr>
      </w:pPr>
    </w:p>
    <w:p>
      <w:pPr>
        <w:ind w:left="700" w:right="160"/>
        <w:spacing w:after="0" w:line="308" w:lineRule="auto"/>
        <w:rPr>
          <w:sz w:val="20"/>
          <w:szCs w:val="20"/>
          <w:color w:val="auto"/>
        </w:rPr>
      </w:pPr>
      <w:r>
        <w:rPr>
          <w:rFonts w:ascii="Arial" w:cs="Arial" w:eastAsia="Arial" w:hAnsi="Arial"/>
          <w:sz w:val="17"/>
          <w:szCs w:val="17"/>
          <w:color w:val="auto"/>
        </w:rPr>
        <w:t>In each year during the period of benefits of its Benefitted Enterprise, the Company will be able to opt for application of the Amendment, thereby making available to itself the tax rate described above. The Company’s election to apply the Amendment is irrevocable.</w:t>
      </w:r>
    </w:p>
    <w:p>
      <w:pPr>
        <w:spacing w:after="0" w:line="14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As of December 31, 2018, the Company’s management decided not to adopt the application of the Amendment.</w:t>
      </w:r>
    </w:p>
    <w:p>
      <w:pPr>
        <w:spacing w:after="0" w:line="225" w:lineRule="exact"/>
        <w:rPr>
          <w:sz w:val="20"/>
          <w:szCs w:val="20"/>
          <w:color w:val="auto"/>
        </w:rPr>
      </w:pPr>
    </w:p>
    <w:p>
      <w:pPr>
        <w:ind w:left="700" w:right="60"/>
        <w:spacing w:after="0" w:line="277" w:lineRule="auto"/>
        <w:rPr>
          <w:sz w:val="20"/>
          <w:szCs w:val="20"/>
          <w:color w:val="auto"/>
        </w:rPr>
      </w:pPr>
      <w:r>
        <w:rPr>
          <w:rFonts w:ascii="Arial" w:cs="Arial" w:eastAsia="Arial" w:hAnsi="Arial"/>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166" w:lineRule="exact"/>
        <w:rPr>
          <w:sz w:val="20"/>
          <w:szCs w:val="20"/>
          <w:color w:val="auto"/>
        </w:rPr>
      </w:pPr>
    </w:p>
    <w:p>
      <w:pPr>
        <w:ind w:left="660" w:hanging="301"/>
        <w:spacing w:after="0"/>
        <w:tabs>
          <w:tab w:leader="none" w:pos="660" w:val="left"/>
        </w:tabs>
        <w:numPr>
          <w:ilvl w:val="0"/>
          <w:numId w:val="158"/>
        </w:numPr>
        <w:rPr>
          <w:rFonts w:ascii="Arial" w:cs="Arial" w:eastAsia="Arial" w:hAnsi="Arial"/>
          <w:sz w:val="18"/>
          <w:szCs w:val="18"/>
          <w:b w:val="1"/>
          <w:bCs w:val="1"/>
          <w:color w:val="auto"/>
        </w:rPr>
      </w:pPr>
      <w:r>
        <w:rPr>
          <w:rFonts w:ascii="Arial" w:cs="Arial" w:eastAsia="Arial" w:hAnsi="Arial"/>
          <w:sz w:val="18"/>
          <w:szCs w:val="18"/>
          <w:b w:val="1"/>
          <w:bCs w:val="1"/>
          <w:color w:val="auto"/>
        </w:rPr>
        <w:t>Tax assessments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Tax assessments filed by the Company through the year 2012 are considered to be final.</w:t>
      </w:r>
    </w:p>
    <w:p>
      <w:pPr>
        <w:spacing w:after="0" w:line="221" w:lineRule="exact"/>
        <w:rPr>
          <w:sz w:val="20"/>
          <w:szCs w:val="20"/>
          <w:color w:val="auto"/>
        </w:rPr>
      </w:pPr>
    </w:p>
    <w:p>
      <w:pPr>
        <w:ind w:left="360"/>
        <w:spacing w:after="0"/>
        <w:tabs>
          <w:tab w:leader="none" w:pos="64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6"/>
          <w:szCs w:val="16"/>
          <w:b w:val="1"/>
          <w:bCs w:val="1"/>
          <w:color w:val="auto"/>
        </w:rPr>
        <w:t>Losses for tax purposes carried forward to future years</w:t>
      </w:r>
    </w:p>
    <w:p>
      <w:pPr>
        <w:spacing w:after="0" w:line="229" w:lineRule="exact"/>
        <w:rPr>
          <w:sz w:val="20"/>
          <w:szCs w:val="20"/>
          <w:color w:val="auto"/>
        </w:rPr>
      </w:pPr>
    </w:p>
    <w:p>
      <w:pPr>
        <w:ind w:left="700" w:right="480"/>
        <w:spacing w:after="0" w:line="277" w:lineRule="auto"/>
        <w:rPr>
          <w:sz w:val="20"/>
          <w:szCs w:val="20"/>
          <w:color w:val="auto"/>
        </w:rPr>
      </w:pPr>
      <w:r>
        <w:rPr>
          <w:rFonts w:ascii="Arial" w:cs="Arial" w:eastAsia="Arial" w:hAnsi="Arial"/>
          <w:sz w:val="18"/>
          <w:szCs w:val="18"/>
          <w:color w:val="auto"/>
        </w:rPr>
        <w:t>As of December 31, 2018, the Company had approximately $85.5 million of net carry forward tax losses which are available to reduce future taxable income with no limited period of use.</w:t>
      </w:r>
    </w:p>
    <w:p>
      <w:pPr>
        <w:spacing w:after="0" w:line="355" w:lineRule="exact"/>
        <w:rPr>
          <w:sz w:val="20"/>
          <w:szCs w:val="20"/>
          <w:color w:val="auto"/>
        </w:rPr>
      </w:pPr>
    </w:p>
    <w:p>
      <w:pPr>
        <w:jc w:val="center"/>
        <w:ind w:right="-79"/>
        <w:spacing w:after="0"/>
        <w:rPr>
          <w:sz w:val="20"/>
          <w:szCs w:val="20"/>
          <w:color w:val="auto"/>
        </w:rPr>
      </w:pPr>
      <w:r>
        <w:rPr>
          <w:rFonts w:ascii="Arial" w:cs="Arial" w:eastAsia="Arial" w:hAnsi="Arial"/>
          <w:sz w:val="14"/>
          <w:szCs w:val="14"/>
          <w:color w:val="auto"/>
        </w:rPr>
        <w:t>F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246620" cy="171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40"/>
          </w:cols>
          <w:pgMar w:left="240" w:top="337" w:right="319" w:bottom="1440" w:gutter="0" w:footer="0" w:header="0"/>
        </w:sectPr>
      </w:pPr>
    </w:p>
    <w:bookmarkStart w:id="197" w:name="page198"/>
    <w:bookmarkEnd w:id="197"/>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940" w:type="dxa"/>
            <w:vAlign w:val="bottom"/>
            <w:gridSpan w:val="2"/>
          </w:tcPr>
          <w:p>
            <w:pPr>
              <w:spacing w:after="0"/>
              <w:rPr>
                <w:sz w:val="20"/>
                <w:szCs w:val="20"/>
                <w:color w:val="auto"/>
              </w:rPr>
            </w:pPr>
            <w:r>
              <w:rPr>
                <w:rFonts w:ascii="Arial" w:cs="Arial" w:eastAsia="Arial" w:hAnsi="Arial"/>
                <w:sz w:val="18"/>
                <w:szCs w:val="18"/>
                <w:b w:val="1"/>
                <w:bCs w:val="1"/>
                <w:color w:val="auto"/>
              </w:rPr>
              <w:t>NOTE 9 — TAXES ON INCOME (</w:t>
            </w:r>
            <w:r>
              <w:rPr>
                <w:rFonts w:ascii="Arial" w:cs="Arial" w:eastAsia="Arial" w:hAnsi="Arial"/>
                <w:sz w:val="18"/>
                <w:szCs w:val="18"/>
                <w:color w:val="auto"/>
              </w:rPr>
              <w:t>continued)</w:t>
            </w: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80" w:type="dxa"/>
            <w:vAlign w:val="bottom"/>
          </w:tcPr>
          <w:p>
            <w:pPr>
              <w:ind w:left="360"/>
              <w:spacing w:after="0"/>
              <w:rPr>
                <w:sz w:val="20"/>
                <w:szCs w:val="20"/>
                <w:color w:val="auto"/>
              </w:rPr>
            </w:pPr>
            <w:r>
              <w:rPr>
                <w:rFonts w:ascii="Arial" w:cs="Arial" w:eastAsia="Arial" w:hAnsi="Arial"/>
                <w:sz w:val="18"/>
                <w:szCs w:val="18"/>
                <w:b w:val="1"/>
                <w:bCs w:val="1"/>
                <w:color w:val="auto"/>
              </w:rPr>
              <w:t>e.</w:t>
            </w:r>
          </w:p>
        </w:tc>
        <w:tc>
          <w:tcPr>
            <w:tcW w:w="8360" w:type="dxa"/>
            <w:vAlign w:val="bottom"/>
          </w:tcPr>
          <w:p>
            <w:pPr>
              <w:ind w:left="80"/>
              <w:spacing w:after="0"/>
              <w:rPr>
                <w:sz w:val="20"/>
                <w:szCs w:val="20"/>
                <w:color w:val="auto"/>
              </w:rPr>
            </w:pPr>
            <w:r>
              <w:rPr>
                <w:rFonts w:ascii="Arial" w:cs="Arial" w:eastAsia="Arial" w:hAnsi="Arial"/>
                <w:sz w:val="18"/>
                <w:szCs w:val="18"/>
                <w:b w:val="1"/>
                <w:bCs w:val="1"/>
                <w:color w:val="auto"/>
              </w:rPr>
              <w:t>Deferred income taxes:</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580" w:type="dxa"/>
            <w:vAlign w:val="bottom"/>
          </w:tcPr>
          <w:p>
            <w:pPr>
              <w:spacing w:after="0"/>
              <w:rPr>
                <w:sz w:val="24"/>
                <w:szCs w:val="24"/>
                <w:color w:val="auto"/>
              </w:rPr>
            </w:pPr>
          </w:p>
        </w:tc>
        <w:tc>
          <w:tcPr>
            <w:tcW w:w="8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60" w:type="dxa"/>
            <w:vAlign w:val="bottom"/>
            <w:gridSpan w:val="6"/>
          </w:tcPr>
          <w:p>
            <w:pPr>
              <w:jc w:val="right"/>
              <w:ind w:right="560"/>
              <w:spacing w:after="0"/>
              <w:rPr>
                <w:sz w:val="20"/>
                <w:szCs w:val="20"/>
                <w:color w:val="auto"/>
              </w:rPr>
            </w:pPr>
            <w:r>
              <w:rPr>
                <w:rFonts w:ascii="Arial" w:cs="Arial" w:eastAsia="Arial" w:hAnsi="Arial"/>
                <w:sz w:val="18"/>
                <w:szCs w:val="18"/>
                <w:b w:val="1"/>
                <w:bCs w:val="1"/>
                <w:color w:val="auto"/>
              </w:rPr>
              <w:t>As of December, 31</w:t>
            </w: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In respect of:</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Net operating loss carry forward</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16,342</w:t>
            </w: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19,670</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4,099</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5,094</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1,541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1,402</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Less – valuation allowance</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(21,982)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(26,166)</w:t>
            </w:r>
          </w:p>
        </w:tc>
        <w:tc>
          <w:tcPr>
            <w:tcW w:w="0" w:type="dxa"/>
            <w:vAlign w:val="bottom"/>
          </w:tcPr>
          <w:p>
            <w:pPr>
              <w:spacing w:after="0"/>
              <w:rPr>
                <w:sz w:val="1"/>
                <w:szCs w:val="1"/>
                <w:color w:val="auto"/>
              </w:rPr>
            </w:pPr>
          </w:p>
        </w:tc>
      </w:tr>
      <w:tr>
        <w:trPr>
          <w:trHeight w:val="27"/>
        </w:trPr>
        <w:tc>
          <w:tcPr>
            <w:tcW w:w="580" w:type="dxa"/>
            <w:vAlign w:val="bottom"/>
          </w:tcPr>
          <w:p>
            <w:pPr>
              <w:spacing w:after="0"/>
              <w:rPr>
                <w:sz w:val="2"/>
                <w:szCs w:val="2"/>
                <w:color w:val="auto"/>
              </w:rPr>
            </w:pPr>
          </w:p>
        </w:tc>
        <w:tc>
          <w:tcPr>
            <w:tcW w:w="83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Net deferred tax assets</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580" w:type="dxa"/>
            <w:vAlign w:val="bottom"/>
            <w:vMerge w:val="restart"/>
          </w:tcPr>
          <w:p>
            <w:pPr>
              <w:ind w:left="360"/>
              <w:spacing w:after="0"/>
              <w:rPr>
                <w:sz w:val="20"/>
                <w:szCs w:val="20"/>
                <w:color w:val="auto"/>
              </w:rPr>
            </w:pPr>
            <w:r>
              <w:rPr>
                <w:rFonts w:ascii="Arial" w:cs="Arial" w:eastAsia="Arial" w:hAnsi="Arial"/>
                <w:sz w:val="18"/>
                <w:szCs w:val="18"/>
                <w:b w:val="1"/>
                <w:bCs w:val="1"/>
                <w:color w:val="auto"/>
              </w:rPr>
              <w:t>f.</w:t>
            </w:r>
          </w:p>
        </w:tc>
        <w:tc>
          <w:tcPr>
            <w:tcW w:w="8360" w:type="dxa"/>
            <w:vAlign w:val="bottom"/>
            <w:vMerge w:val="restart"/>
          </w:tcPr>
          <w:p>
            <w:pPr>
              <w:ind w:left="80"/>
              <w:spacing w:after="0"/>
              <w:rPr>
                <w:sz w:val="20"/>
                <w:szCs w:val="20"/>
                <w:color w:val="auto"/>
              </w:rPr>
            </w:pPr>
            <w:r>
              <w:rPr>
                <w:rFonts w:ascii="Arial" w:cs="Arial" w:eastAsia="Arial" w:hAnsi="Arial"/>
                <w:sz w:val="18"/>
                <w:szCs w:val="18"/>
                <w:b w:val="1"/>
                <w:bCs w:val="1"/>
                <w:color w:val="auto"/>
              </w:rPr>
              <w:t>Reconciliation of theoretical tax expenses to actual expenses</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6"/>
        </w:trPr>
        <w:tc>
          <w:tcPr>
            <w:tcW w:w="580" w:type="dxa"/>
            <w:vAlign w:val="bottom"/>
            <w:vMerge w:val="continue"/>
          </w:tcPr>
          <w:p>
            <w:pPr>
              <w:spacing w:after="0"/>
              <w:rPr>
                <w:sz w:val="24"/>
                <w:szCs w:val="24"/>
                <w:color w:val="auto"/>
              </w:rPr>
            </w:pPr>
          </w:p>
        </w:tc>
        <w:tc>
          <w:tcPr>
            <w:tcW w:w="83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700" w:right="200"/>
        <w:spacing w:after="0" w:line="277" w:lineRule="auto"/>
        <w:rPr>
          <w:sz w:val="20"/>
          <w:szCs w:val="20"/>
          <w:color w:val="auto"/>
        </w:rPr>
      </w:pPr>
      <w:r>
        <w:rPr>
          <w:rFonts w:ascii="Arial" w:cs="Arial" w:eastAsia="Arial" w:hAnsi="Arial"/>
          <w:sz w:val="18"/>
          <w:szCs w:val="18"/>
          <w:color w:val="auto"/>
        </w:rPr>
        <w:t>The primary reconciling items between the statutory tax rate of the Company and the effective rate are the full valuation allowance of deferred tax assets and nondeductible expenses.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940" w:type="dxa"/>
            <w:vAlign w:val="bottom"/>
            <w:gridSpan w:val="2"/>
          </w:tcPr>
          <w:p>
            <w:pPr>
              <w:ind w:left="360"/>
              <w:spacing w:after="0"/>
              <w:rPr>
                <w:sz w:val="20"/>
                <w:szCs w:val="20"/>
                <w:color w:val="auto"/>
              </w:rPr>
            </w:pPr>
            <w:r>
              <w:rPr>
                <w:rFonts w:ascii="Arial" w:cs="Arial" w:eastAsia="Arial" w:hAnsi="Arial"/>
                <w:sz w:val="18"/>
                <w:szCs w:val="18"/>
                <w:b w:val="1"/>
                <w:bCs w:val="1"/>
                <w:color w:val="auto"/>
              </w:rPr>
              <w:t>g.  Roll forward of valuation allowance</w:t>
            </w: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Balance at January 1, 2016</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10,888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Additions</w:t>
            </w: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3,111</w:t>
            </w: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2016</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13,999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Additions</w:t>
            </w: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2017</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21,982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Additions</w:t>
            </w:r>
          </w:p>
        </w:tc>
        <w:tc>
          <w:tcPr>
            <w:tcW w:w="2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4,184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80" w:type="dxa"/>
            <w:vAlign w:val="bottom"/>
          </w:tcPr>
          <w:p>
            <w:pPr>
              <w:spacing w:after="0"/>
              <w:rPr>
                <w:sz w:val="22"/>
                <w:szCs w:val="22"/>
                <w:color w:val="auto"/>
              </w:rPr>
            </w:pPr>
          </w:p>
        </w:tc>
        <w:tc>
          <w:tcPr>
            <w:tcW w:w="8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2018</w:t>
            </w:r>
          </w:p>
        </w:tc>
        <w:tc>
          <w:tcPr>
            <w:tcW w:w="2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26,166</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426"/>
        </w:trPr>
        <w:tc>
          <w:tcPr>
            <w:tcW w:w="8940" w:type="dxa"/>
            <w:vAlign w:val="bottom"/>
            <w:gridSpan w:val="2"/>
          </w:tcPr>
          <w:p>
            <w:pPr>
              <w:ind w:left="360"/>
              <w:spacing w:after="0"/>
              <w:rPr>
                <w:sz w:val="20"/>
                <w:szCs w:val="20"/>
                <w:color w:val="auto"/>
              </w:rPr>
            </w:pPr>
            <w:r>
              <w:rPr>
                <w:rFonts w:ascii="Arial" w:cs="Arial" w:eastAsia="Arial" w:hAnsi="Arial"/>
                <w:sz w:val="18"/>
                <w:szCs w:val="18"/>
                <w:b w:val="1"/>
                <w:bCs w:val="1"/>
                <w:color w:val="auto"/>
              </w:rPr>
              <w:t>h.  Provision for uncertain tax positions</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80" w:type="dxa"/>
            <w:vAlign w:val="bottom"/>
          </w:tcPr>
          <w:p>
            <w:pPr>
              <w:spacing w:after="0"/>
              <w:rPr>
                <w:sz w:val="24"/>
                <w:szCs w:val="24"/>
                <w:color w:val="auto"/>
              </w:rPr>
            </w:pPr>
          </w:p>
        </w:tc>
        <w:tc>
          <w:tcPr>
            <w:tcW w:w="8360" w:type="dxa"/>
            <w:vAlign w:val="bottom"/>
          </w:tcPr>
          <w:p>
            <w:pPr>
              <w:ind w:left="120"/>
              <w:spacing w:after="0"/>
              <w:rPr>
                <w:sz w:val="20"/>
                <w:szCs w:val="20"/>
                <w:color w:val="auto"/>
              </w:rPr>
            </w:pPr>
            <w:r>
              <w:rPr>
                <w:rFonts w:ascii="Arial" w:cs="Arial" w:eastAsia="Arial" w:hAnsi="Arial"/>
                <w:sz w:val="18"/>
                <w:szCs w:val="18"/>
                <w:color w:val="auto"/>
                <w:w w:val="99"/>
              </w:rPr>
              <w:t>As of December 31, 2017 and 2018, the Company does not have a provision for uncertain tax positions.</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940" w:type="dxa"/>
            <w:vAlign w:val="bottom"/>
            <w:gridSpan w:val="2"/>
          </w:tcPr>
          <w:p>
            <w:pPr>
              <w:spacing w:after="0"/>
              <w:rPr>
                <w:sz w:val="20"/>
                <w:szCs w:val="20"/>
                <w:color w:val="auto"/>
              </w:rPr>
            </w:pPr>
            <w:r>
              <w:rPr>
                <w:rFonts w:ascii="Arial" w:cs="Arial" w:eastAsia="Arial" w:hAnsi="Arial"/>
                <w:sz w:val="18"/>
                <w:szCs w:val="18"/>
                <w:b w:val="1"/>
                <w:bCs w:val="1"/>
                <w:color w:val="auto"/>
              </w:rPr>
              <w:t>NOTE 10 —  SUPPLEMENTARY FINANCIAL STATEMENT INFORMATION</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940" w:type="dxa"/>
            <w:vAlign w:val="bottom"/>
            <w:gridSpan w:val="2"/>
          </w:tcPr>
          <w:p>
            <w:pPr>
              <w:ind w:left="380"/>
              <w:spacing w:after="0"/>
              <w:rPr>
                <w:sz w:val="20"/>
                <w:szCs w:val="20"/>
                <w:color w:val="auto"/>
              </w:rPr>
            </w:pPr>
            <w:r>
              <w:rPr>
                <w:rFonts w:ascii="Arial" w:cs="Arial" w:eastAsia="Arial" w:hAnsi="Arial"/>
                <w:sz w:val="18"/>
                <w:szCs w:val="18"/>
                <w:color w:val="auto"/>
              </w:rPr>
              <w:t>Other accounts payables and accruals</w:t>
            </w: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580" w:type="dxa"/>
            <w:vAlign w:val="bottom"/>
          </w:tcPr>
          <w:p>
            <w:pPr>
              <w:spacing w:after="0"/>
              <w:rPr>
                <w:sz w:val="24"/>
                <w:szCs w:val="24"/>
                <w:color w:val="auto"/>
              </w:rPr>
            </w:pPr>
          </w:p>
        </w:tc>
        <w:tc>
          <w:tcPr>
            <w:tcW w:w="8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60" w:type="dxa"/>
            <w:vAlign w:val="bottom"/>
            <w:gridSpan w:val="6"/>
          </w:tcPr>
          <w:p>
            <w:pPr>
              <w:ind w:left="220"/>
              <w:spacing w:after="0"/>
              <w:rPr>
                <w:sz w:val="20"/>
                <w:szCs w:val="20"/>
                <w:color w:val="auto"/>
              </w:rPr>
            </w:pPr>
            <w:r>
              <w:rPr>
                <w:rFonts w:ascii="Arial" w:cs="Arial" w:eastAsia="Arial" w:hAnsi="Arial"/>
                <w:sz w:val="18"/>
                <w:szCs w:val="18"/>
                <w:b w:val="1"/>
                <w:bCs w:val="1"/>
                <w:color w:val="auto"/>
              </w:rPr>
              <w:t>As of December, 31</w:t>
            </w: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spacing w:after="0"/>
              <w:rPr>
                <w:sz w:val="18"/>
                <w:szCs w:val="18"/>
                <w:color w:val="auto"/>
              </w:rPr>
            </w:pPr>
          </w:p>
        </w:tc>
        <w:tc>
          <w:tcPr>
            <w:tcW w:w="340" w:type="dxa"/>
            <w:vAlign w:val="bottom"/>
            <w:gridSpan w:val="2"/>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Accrued expenses</w:t>
            </w: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910</w:t>
            </w:r>
          </w:p>
        </w:tc>
        <w:tc>
          <w:tcPr>
            <w:tcW w:w="34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20"/>
                <w:szCs w:val="20"/>
                <w:color w:val="auto"/>
              </w:rPr>
            </w:pPr>
            <w:r>
              <w:rPr>
                <w:rFonts w:ascii="Arial" w:cs="Arial" w:eastAsia="Arial" w:hAnsi="Arial"/>
                <w:sz w:val="18"/>
                <w:szCs w:val="18"/>
                <w:color w:val="auto"/>
              </w:rPr>
              <w:t>Employees payables</w:t>
            </w:r>
          </w:p>
        </w:tc>
        <w:tc>
          <w:tcPr>
            <w:tcW w:w="2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897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8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18"/>
                <w:szCs w:val="18"/>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1,332</w:t>
            </w:r>
          </w:p>
        </w:tc>
        <w:tc>
          <w:tcPr>
            <w:tcW w:w="100" w:type="dxa"/>
            <w:vAlign w:val="bottom"/>
          </w:tcPr>
          <w:p>
            <w:pPr>
              <w:spacing w:after="0"/>
              <w:rPr>
                <w:sz w:val="18"/>
                <w:szCs w:val="18"/>
                <w:color w:val="auto"/>
              </w:rPr>
            </w:pPr>
          </w:p>
        </w:tc>
        <w:tc>
          <w:tcPr>
            <w:tcW w:w="3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1,971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580" w:type="dxa"/>
            <w:vAlign w:val="bottom"/>
          </w:tcPr>
          <w:p>
            <w:pPr>
              <w:spacing w:after="0" w:line="20" w:lineRule="exact"/>
              <w:rPr>
                <w:sz w:val="1"/>
                <w:szCs w:val="1"/>
                <w:color w:val="auto"/>
              </w:rPr>
            </w:pPr>
          </w:p>
        </w:tc>
        <w:tc>
          <w:tcPr>
            <w:tcW w:w="8360" w:type="dxa"/>
            <w:vAlign w:val="bottom"/>
            <w:vMerge w:val="restart"/>
          </w:tcPr>
          <w:p>
            <w:pPr>
              <w:ind w:left="4960"/>
              <w:spacing w:after="0"/>
              <w:rPr>
                <w:sz w:val="20"/>
                <w:szCs w:val="20"/>
                <w:color w:val="auto"/>
              </w:rPr>
            </w:pPr>
            <w:r>
              <w:rPr>
                <w:rFonts w:ascii="Arial" w:cs="Arial" w:eastAsia="Arial" w:hAnsi="Arial"/>
                <w:sz w:val="14"/>
                <w:szCs w:val="14"/>
                <w:color w:val="auto"/>
              </w:rPr>
              <w:t>F - 24</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62"/>
        </w:trPr>
        <w:tc>
          <w:tcPr>
            <w:tcW w:w="580" w:type="dxa"/>
            <w:vAlign w:val="bottom"/>
          </w:tcPr>
          <w:p>
            <w:pPr>
              <w:spacing w:after="0"/>
              <w:rPr>
                <w:sz w:val="24"/>
                <w:szCs w:val="24"/>
                <w:color w:val="auto"/>
              </w:rPr>
            </w:pPr>
          </w:p>
        </w:tc>
        <w:tc>
          <w:tcPr>
            <w:tcW w:w="83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580" w:type="dxa"/>
            <w:vAlign w:val="bottom"/>
            <w:tcBorders>
              <w:bottom w:val="single" w:sz="8" w:color="auto"/>
            </w:tcBorders>
          </w:tcPr>
          <w:p>
            <w:pPr>
              <w:spacing w:after="0"/>
              <w:rPr>
                <w:sz w:val="5"/>
                <w:szCs w:val="5"/>
                <w:color w:val="auto"/>
              </w:rPr>
            </w:pPr>
          </w:p>
        </w:tc>
        <w:tc>
          <w:tcPr>
            <w:tcW w:w="83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37" w:right="239" w:bottom="1440" w:gutter="0" w:footer="0" w:header="0"/>
        </w:sectPr>
      </w:pPr>
    </w:p>
    <w:bookmarkStart w:id="198" w:name="page199"/>
    <w:bookmarkEnd w:id="198"/>
    <w:p>
      <w:pPr>
        <w:jc w:val="center"/>
        <w:ind w:right="-139"/>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 RELATED PARTIES</w:t>
      </w:r>
    </w:p>
    <w:p>
      <w:pPr>
        <w:spacing w:after="0" w:line="229" w:lineRule="exact"/>
        <w:rPr>
          <w:sz w:val="20"/>
          <w:szCs w:val="20"/>
          <w:color w:val="auto"/>
        </w:rPr>
      </w:pPr>
    </w:p>
    <w:p>
      <w:pPr>
        <w:ind w:left="360" w:right="360" w:firstLine="8"/>
        <w:spacing w:after="0" w:line="277" w:lineRule="auto"/>
        <w:tabs>
          <w:tab w:leader="none" w:pos="71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As to options and restricted shares granted to directors and executive officers, see note 8.</w:t>
      </w:r>
    </w:p>
    <w:p>
      <w:pPr>
        <w:spacing w:after="0" w:line="225" w:lineRule="exact"/>
        <w:rPr>
          <w:rFonts w:ascii="Arial" w:cs="Arial" w:eastAsia="Arial" w:hAnsi="Arial"/>
          <w:sz w:val="18"/>
          <w:szCs w:val="18"/>
          <w:color w:val="auto"/>
        </w:rPr>
      </w:pPr>
    </w:p>
    <w:p>
      <w:pPr>
        <w:ind w:left="360" w:right="140" w:firstLine="8"/>
        <w:spacing w:after="0" w:line="277" w:lineRule="auto"/>
        <w:tabs>
          <w:tab w:leader="none" w:pos="71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In July 2017, the Company granted to several Executive Officers of the Parent company 54,144 option to purchase ordinary shares at an exercise price of $5.57 per share.</w:t>
      </w:r>
    </w:p>
    <w:p>
      <w:pPr>
        <w:spacing w:after="0" w:line="170" w:lineRule="exact"/>
        <w:rPr>
          <w:sz w:val="20"/>
          <w:szCs w:val="20"/>
          <w:color w:val="auto"/>
        </w:rPr>
      </w:pPr>
    </w:p>
    <w:p>
      <w:pPr>
        <w:ind w:left="660" w:right="80" w:hanging="301"/>
        <w:spacing w:after="0" w:line="286" w:lineRule="auto"/>
        <w:tabs>
          <w:tab w:leader="none" w:pos="660" w:val="left"/>
        </w:tabs>
        <w:numPr>
          <w:ilvl w:val="0"/>
          <w:numId w:val="160"/>
        </w:numPr>
        <w:rPr>
          <w:rFonts w:ascii="Arial" w:cs="Arial" w:eastAsia="Arial" w:hAnsi="Arial"/>
          <w:sz w:val="16"/>
          <w:szCs w:val="16"/>
          <w:color w:val="auto"/>
        </w:rPr>
      </w:pPr>
      <w:r>
        <w:rPr>
          <w:rFonts w:ascii="Arial" w:cs="Arial" w:eastAsia="Arial" w:hAnsi="Arial"/>
          <w:sz w:val="16"/>
          <w:szCs w:val="16"/>
          <w:color w:val="auto"/>
        </w:rPr>
        <w:t>On August 22, 2017,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2 shares. This was considered a transaction between entities under common control and thus it was recorded on historical cost basis and therefore the Company recognized an amount of $6,232 as a research and development expense in</w:t>
      </w:r>
    </w:p>
    <w:p>
      <w:pPr>
        <w:spacing w:after="0" w:line="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2017.</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w:t>
      </w:r>
    </w:p>
    <w:p>
      <w:pPr>
        <w:spacing w:after="0" w:line="9" w:lineRule="exact"/>
        <w:rPr>
          <w:sz w:val="20"/>
          <w:szCs w:val="20"/>
          <w:color w:val="auto"/>
        </w:rPr>
      </w:pPr>
    </w:p>
    <w:p>
      <w:pPr>
        <w:ind w:left="660"/>
        <w:spacing w:after="0" w:line="261" w:lineRule="auto"/>
        <w:rPr>
          <w:sz w:val="20"/>
          <w:szCs w:val="20"/>
          <w:color w:val="auto"/>
        </w:rPr>
      </w:pPr>
      <w:r>
        <w:rPr>
          <w:rFonts w:ascii="Arial" w:cs="Arial" w:eastAsia="Arial" w:hAnsi="Arial"/>
          <w:sz w:val="18"/>
          <w:szCs w:val="18"/>
          <w:color w:val="auto"/>
        </w:rPr>
        <w:t>In January 2018, immediately prior to the closing of the IPO, the outstanding promissory note from the Controlling Shareholder were automatically converted into 5,444,825 Ordinary shares. See also note 7.</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SUBSEQUENT EVENT</w:t>
      </w:r>
    </w:p>
    <w:p>
      <w:pPr>
        <w:spacing w:after="0" w:line="229" w:lineRule="exact"/>
        <w:rPr>
          <w:sz w:val="20"/>
          <w:szCs w:val="20"/>
          <w:color w:val="auto"/>
        </w:rPr>
      </w:pPr>
    </w:p>
    <w:p>
      <w:pPr>
        <w:ind w:left="360" w:right="80"/>
        <w:spacing w:after="0" w:line="256" w:lineRule="auto"/>
        <w:rPr>
          <w:sz w:val="20"/>
          <w:szCs w:val="20"/>
          <w:color w:val="auto"/>
        </w:rPr>
      </w:pPr>
      <w:r>
        <w:rPr>
          <w:rFonts w:ascii="Arial" w:cs="Arial" w:eastAsia="Arial" w:hAnsi="Arial"/>
          <w:sz w:val="18"/>
          <w:szCs w:val="18"/>
          <w:color w:val="auto"/>
        </w:rPr>
        <w:t>In February 2019, the Company announced that a third party has received final approval from the FDA for the first generic version of a drug product. The product was developed in a collaboration between the Company and the third party in which they shared development costs and will equally share the gross profits generated from sales of the product. See also Note 6i.</w:t>
      </w:r>
    </w:p>
    <w:p>
      <w:pPr>
        <w:jc w:val="center"/>
        <w:ind w:left="380"/>
        <w:spacing w:after="0"/>
        <w:rPr>
          <w:sz w:val="20"/>
          <w:szCs w:val="20"/>
          <w:color w:val="auto"/>
        </w:rPr>
      </w:pPr>
      <w:r>
        <w:rPr>
          <w:rFonts w:ascii="Arial" w:cs="Arial" w:eastAsia="Arial" w:hAnsi="Arial"/>
          <w:sz w:val="14"/>
          <w:szCs w:val="14"/>
          <w:color w:val="auto"/>
        </w:rPr>
        <w:t>F - 25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69215</wp:posOffset>
            </wp:positionV>
            <wp:extent cx="724662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163830</wp:posOffset>
            </wp:positionV>
            <wp:extent cx="7246620" cy="342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2">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300"/>
          </w:cols>
          <w:pgMar w:left="240" w:top="337" w:right="359" w:bottom="1440" w:gutter="0" w:footer="0" w:header="0"/>
        </w:sectPr>
      </w:pPr>
    </w:p>
    <w:bookmarkStart w:id="199" w:name="page200"/>
    <w:bookmarkEnd w:id="199"/>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3">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4">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4.12</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Memorandum of Agreement</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Made and executed this 25th day of September 2017</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Between: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Ms. Rachel Sacks Identity No. 295813</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Dr. Moshe Eliash Identity No. 1940998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(both of them jointly and severally)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(hereinafter called – “the Landlord”)</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of the one part;</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Sol Gel Technologies Ltd.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Corporate number 51-2544693</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(hereinafter called: “the Tenant”)</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of the other part</w:t>
      </w:r>
    </w:p>
    <w:p>
      <w:pPr>
        <w:spacing w:after="0" w:line="200" w:lineRule="exact"/>
        <w:rPr>
          <w:sz w:val="20"/>
          <w:szCs w:val="20"/>
          <w:color w:val="auto"/>
        </w:rPr>
      </w:pPr>
    </w:p>
    <w:p>
      <w:pPr>
        <w:spacing w:after="0" w:line="335" w:lineRule="exact"/>
        <w:rPr>
          <w:sz w:val="20"/>
          <w:szCs w:val="20"/>
          <w:color w:val="auto"/>
        </w:rPr>
      </w:pPr>
    </w:p>
    <w:p>
      <w:pPr>
        <w:ind w:left="500" w:hanging="492"/>
        <w:spacing w:after="0" w:line="277" w:lineRule="auto"/>
        <w:tabs>
          <w:tab w:leader="none" w:pos="50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By a tenancy agreement signed between the parties on October 10, 2007 (hereinafter: “the Tenancy Agreement”) the Tenant took a lease of the Premises (as defined in that Agreement);</w:t>
      </w:r>
    </w:p>
    <w:p>
      <w:pPr>
        <w:spacing w:after="0" w:line="224" w:lineRule="exact"/>
        <w:rPr>
          <w:rFonts w:ascii="Arial" w:cs="Arial" w:eastAsia="Arial" w:hAnsi="Arial"/>
          <w:sz w:val="18"/>
          <w:szCs w:val="18"/>
          <w:color w:val="auto"/>
        </w:rPr>
      </w:pPr>
    </w:p>
    <w:p>
      <w:pPr>
        <w:ind w:left="500" w:hanging="492"/>
        <w:spacing w:after="0" w:line="342" w:lineRule="auto"/>
        <w:tabs>
          <w:tab w:leader="none" w:pos="500" w:val="left"/>
        </w:tabs>
        <w:numPr>
          <w:ilvl w:val="0"/>
          <w:numId w:val="161"/>
        </w:numPr>
        <w:rPr>
          <w:rFonts w:ascii="Arial" w:cs="Arial" w:eastAsia="Arial" w:hAnsi="Arial"/>
          <w:sz w:val="16"/>
          <w:szCs w:val="16"/>
          <w:color w:val="auto"/>
        </w:rPr>
      </w:pPr>
      <w:r>
        <w:rPr>
          <w:rFonts w:ascii="Arial" w:cs="Arial" w:eastAsia="Arial" w:hAnsi="Arial"/>
          <w:sz w:val="16"/>
          <w:szCs w:val="16"/>
          <w:color w:val="auto"/>
        </w:rPr>
        <w:t>Pursuant to the second addendum to the Tenancy Agreement dated March 30, 2016, and pursuant to a memorandum of agreement dated September 20, 2016, the Tenant leased additional areas on the sixth floor of the Building as defined in the Tenancy Agreement (hereinafter: “the Additional Areas”);</w:t>
      </w:r>
    </w:p>
    <w:p>
      <w:pPr>
        <w:spacing w:after="0" w:line="177" w:lineRule="exact"/>
        <w:rPr>
          <w:rFonts w:ascii="Arial" w:cs="Arial" w:eastAsia="Arial" w:hAnsi="Arial"/>
          <w:sz w:val="16"/>
          <w:szCs w:val="16"/>
          <w:color w:val="auto"/>
        </w:rPr>
      </w:pPr>
    </w:p>
    <w:p>
      <w:pPr>
        <w:ind w:left="500" w:hanging="492"/>
        <w:spacing w:after="0" w:line="308" w:lineRule="auto"/>
        <w:tabs>
          <w:tab w:leader="none" w:pos="500" w:val="left"/>
        </w:tabs>
        <w:numPr>
          <w:ilvl w:val="0"/>
          <w:numId w:val="161"/>
        </w:numPr>
        <w:rPr>
          <w:rFonts w:ascii="Arial" w:cs="Arial" w:eastAsia="Arial" w:hAnsi="Arial"/>
          <w:sz w:val="17"/>
          <w:szCs w:val="17"/>
          <w:color w:val="auto"/>
        </w:rPr>
      </w:pPr>
      <w:r>
        <w:rPr>
          <w:rFonts w:ascii="Arial" w:cs="Arial" w:eastAsia="Arial" w:hAnsi="Arial"/>
          <w:sz w:val="17"/>
          <w:szCs w:val="17"/>
          <w:color w:val="auto"/>
        </w:rPr>
        <w:t>The Tenant wishes to install a stand-alone air conditioning system part of the Additional Areas and for that purpose has made openings in the roof of the building and is effecting alterations in the existing air conditioning system in the building including partially disconnecting the same;</w:t>
      </w:r>
    </w:p>
    <w:p>
      <w:pPr>
        <w:spacing w:after="0" w:line="200" w:lineRule="exact"/>
        <w:rPr>
          <w:rFonts w:ascii="Arial" w:cs="Arial" w:eastAsia="Arial" w:hAnsi="Arial"/>
          <w:sz w:val="17"/>
          <w:szCs w:val="17"/>
          <w:color w:val="auto"/>
        </w:rPr>
      </w:pPr>
    </w:p>
    <w:p>
      <w:pPr>
        <w:ind w:left="500" w:hanging="492"/>
        <w:spacing w:after="0" w:line="277" w:lineRule="auto"/>
        <w:tabs>
          <w:tab w:leader="none" w:pos="50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In order to execute the installation of the stand-alone air conditioning system, the Tenant requires and has received the Landlord’s consent subject as hereinafter provided.</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It is therefore declared and agreed between the parties as follows:</w:t>
      </w:r>
    </w:p>
    <w:p>
      <w:pPr>
        <w:spacing w:after="0" w:line="279" w:lineRule="exact"/>
        <w:rPr>
          <w:sz w:val="20"/>
          <w:szCs w:val="20"/>
          <w:color w:val="auto"/>
        </w:rPr>
      </w:pPr>
    </w:p>
    <w:p>
      <w:pPr>
        <w:ind w:left="500" w:hanging="492"/>
        <w:spacing w:after="0"/>
        <w:tabs>
          <w:tab w:leader="none" w:pos="5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The preamble to this agreement constitute an integral part thereof.</w:t>
      </w:r>
    </w:p>
    <w:p>
      <w:pPr>
        <w:spacing w:after="0" w:line="279"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The Tenant declares and warrants that it made the openings in the roof of the building during the course of executing the stand-alone air conditioning system in accordance with the instructions of the constructor of the building, S. Engel Engineers Ltd.</w:t>
      </w:r>
    </w:p>
    <w:p>
      <w:pPr>
        <w:spacing w:after="0" w:line="224"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The Tenant declares and warrants that it is executing and shall execute the modifications in the air-conditioning system of the building with the approval of Eshet Air-conditioning Ltd, which is the company that maintains the air-conditioning system of the building.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246620" cy="171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0" w:name="page201"/>
    <w:bookmarkEnd w:id="200"/>
    <w:p>
      <w:pPr>
        <w:ind w:left="500" w:hanging="492"/>
        <w:spacing w:after="0" w:line="277" w:lineRule="auto"/>
        <w:tabs>
          <w:tab w:leader="none" w:pos="50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The Tenant declares and warrants that it will submit to the Landlord, through the maintenance manager of the building, all the end-units that will be dismantled by it from the air-conditioning system of the building, as well as all the other recyclable parts of the system.</w:t>
      </w:r>
    </w:p>
    <w:p>
      <w:pPr>
        <w:spacing w:after="0" w:line="224" w:lineRule="exact"/>
        <w:rPr>
          <w:rFonts w:ascii="Arial" w:cs="Arial" w:eastAsia="Arial" w:hAnsi="Arial"/>
          <w:sz w:val="18"/>
          <w:szCs w:val="18"/>
          <w:color w:val="auto"/>
        </w:rPr>
      </w:pPr>
    </w:p>
    <w:p>
      <w:pPr>
        <w:ind w:left="500" w:right="20" w:hanging="492"/>
        <w:spacing w:after="0" w:line="277" w:lineRule="auto"/>
        <w:tabs>
          <w:tab w:leader="none" w:pos="50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The Tenant undertakes to complete the installation of the stand-alone air conditioning system within six months of the date of the execution of this Memorandum of Agreement.</w:t>
      </w:r>
    </w:p>
    <w:p>
      <w:pPr>
        <w:spacing w:after="0" w:line="224" w:lineRule="exact"/>
        <w:rPr>
          <w:rFonts w:ascii="Arial" w:cs="Arial" w:eastAsia="Arial" w:hAnsi="Arial"/>
          <w:sz w:val="18"/>
          <w:szCs w:val="18"/>
          <w:color w:val="auto"/>
        </w:rPr>
      </w:pPr>
    </w:p>
    <w:p>
      <w:pPr>
        <w:jc w:val="both"/>
        <w:ind w:left="500" w:hanging="447"/>
        <w:spacing w:after="0" w:line="286" w:lineRule="auto"/>
        <w:tabs>
          <w:tab w:leader="none" w:pos="500" w:val="left"/>
        </w:tabs>
        <w:numPr>
          <w:ilvl w:val="1"/>
          <w:numId w:val="163"/>
        </w:numPr>
        <w:rPr>
          <w:rFonts w:ascii="Arial" w:cs="Arial" w:eastAsia="Arial" w:hAnsi="Arial"/>
          <w:sz w:val="17"/>
          <w:szCs w:val="17"/>
          <w:color w:val="auto"/>
        </w:rPr>
      </w:pPr>
      <w:r>
        <w:rPr>
          <w:rFonts w:ascii="Arial" w:cs="Arial" w:eastAsia="Arial" w:hAnsi="Arial"/>
          <w:sz w:val="17"/>
          <w:szCs w:val="17"/>
          <w:color w:val="auto"/>
        </w:rPr>
        <w:t>The Tenant undertakes to install and maintain the stand-alone air conditioning system that will be installed at its own expense and continue to keep the same in proper working condition throughout the duration of the term of the lease under the Tenancy Agreement. The Town further undertakes to exclusively bear all the operating expenses of the stand-alone air conditioning system that will be installed by it.</w:t>
      </w:r>
    </w:p>
    <w:p>
      <w:pPr>
        <w:spacing w:after="0" w:line="220" w:lineRule="exact"/>
        <w:rPr>
          <w:sz w:val="20"/>
          <w:szCs w:val="20"/>
          <w:color w:val="auto"/>
        </w:rPr>
      </w:pPr>
    </w:p>
    <w:p>
      <w:pPr>
        <w:ind w:left="500" w:hanging="492"/>
        <w:spacing w:after="0" w:line="342" w:lineRule="auto"/>
        <w:tabs>
          <w:tab w:leader="none" w:pos="500" w:val="left"/>
        </w:tabs>
        <w:numPr>
          <w:ilvl w:val="0"/>
          <w:numId w:val="164"/>
        </w:numPr>
        <w:rPr>
          <w:rFonts w:ascii="Arial" w:cs="Arial" w:eastAsia="Arial" w:hAnsi="Arial"/>
          <w:sz w:val="16"/>
          <w:szCs w:val="16"/>
          <w:color w:val="auto"/>
        </w:rPr>
      </w:pPr>
      <w:r>
        <w:rPr>
          <w:rFonts w:ascii="Arial" w:cs="Arial" w:eastAsia="Arial" w:hAnsi="Arial"/>
          <w:sz w:val="16"/>
          <w:szCs w:val="16"/>
          <w:color w:val="auto"/>
        </w:rPr>
        <w:t>The Tenant undertakes upon the termination of the term of the lease and its vacation of the Additional Areas and the Premises to deliver into the Landlord’s possession the stand-alone air conditioning system that will be installed by it without payment and in good and proper working condition.</w:t>
      </w:r>
    </w:p>
    <w:p>
      <w:pPr>
        <w:spacing w:after="0" w:line="177" w:lineRule="exact"/>
        <w:rPr>
          <w:rFonts w:ascii="Arial" w:cs="Arial" w:eastAsia="Arial" w:hAnsi="Arial"/>
          <w:sz w:val="16"/>
          <w:szCs w:val="16"/>
          <w:color w:val="auto"/>
        </w:rPr>
      </w:pPr>
    </w:p>
    <w:p>
      <w:pPr>
        <w:jc w:val="both"/>
        <w:ind w:left="500" w:hanging="492"/>
        <w:spacing w:after="0" w:line="264" w:lineRule="auto"/>
        <w:tabs>
          <w:tab w:leader="none" w:pos="5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The Tenant will be exclusively responsible for indemnifying the Landlord and any third party for and in respect of any damage that will be caused to the building or its systems or to any other person in connection with the installation and operation of the stand-alone air conditioning system that will be installed by it.</w:t>
      </w:r>
    </w:p>
    <w:p>
      <w:pPr>
        <w:spacing w:after="0" w:line="235" w:lineRule="exact"/>
        <w:rPr>
          <w:rFonts w:ascii="Arial" w:cs="Arial" w:eastAsia="Arial" w:hAnsi="Arial"/>
          <w:sz w:val="18"/>
          <w:szCs w:val="18"/>
          <w:color w:val="auto"/>
        </w:rPr>
      </w:pPr>
    </w:p>
    <w:p>
      <w:pPr>
        <w:ind w:left="500" w:hanging="447"/>
        <w:spacing w:after="0" w:line="277" w:lineRule="auto"/>
        <w:tabs>
          <w:tab w:leader="none" w:pos="500" w:val="left"/>
        </w:tabs>
        <w:numPr>
          <w:ilvl w:val="1"/>
          <w:numId w:val="164"/>
        </w:numPr>
        <w:rPr>
          <w:rFonts w:ascii="Arial" w:cs="Arial" w:eastAsia="Arial" w:hAnsi="Arial"/>
          <w:sz w:val="18"/>
          <w:szCs w:val="18"/>
          <w:color w:val="auto"/>
        </w:rPr>
      </w:pPr>
      <w:r>
        <w:rPr>
          <w:rFonts w:ascii="Arial" w:cs="Arial" w:eastAsia="Arial" w:hAnsi="Arial"/>
          <w:sz w:val="18"/>
          <w:szCs w:val="18"/>
          <w:color w:val="auto"/>
        </w:rPr>
        <w:t>Subject to all of the Tenant’s undertakings herein contained, the Landlord’s consent is hereby granted to install the independent air-conditioning system by the Tenant in part of the Additional Areas.</w:t>
      </w:r>
    </w:p>
    <w:p>
      <w:pPr>
        <w:spacing w:after="0" w:line="224" w:lineRule="exact"/>
        <w:rPr>
          <w:sz w:val="20"/>
          <w:szCs w:val="20"/>
          <w:color w:val="auto"/>
        </w:rPr>
      </w:pPr>
    </w:p>
    <w:p>
      <w:pPr>
        <w:ind w:left="500" w:hanging="492"/>
        <w:spacing w:after="0" w:line="277" w:lineRule="auto"/>
        <w:tabs>
          <w:tab w:leader="none" w:pos="50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Subject to the terms of the Tenancy Agreement, nothing contained in the provisions hereof shall derogate from the terms of the Tenancy Agreement and the provisions of this Memorandum of Agreement.</w:t>
      </w:r>
    </w:p>
    <w:p>
      <w:pPr>
        <w:spacing w:after="0" w:line="224" w:lineRule="exact"/>
        <w:rPr>
          <w:sz w:val="20"/>
          <w:szCs w:val="20"/>
          <w:color w:val="auto"/>
        </w:rPr>
      </w:pPr>
    </w:p>
    <w:tbl>
      <w:tblPr>
        <w:tblLayout w:type="fixed"/>
        <w:tblInd w:w="520" w:type="dxa"/>
        <w:tblCellMar>
          <w:top w:w="0" w:type="dxa"/>
          <w:left w:w="0" w:type="dxa"/>
          <w:bottom w:w="0" w:type="dxa"/>
          <w:right w:w="0" w:type="dxa"/>
        </w:tblCellMar>
      </w:tblPr>
      <w:tr>
        <w:trPr>
          <w:trHeight w:val="230"/>
        </w:trPr>
        <w:tc>
          <w:tcPr>
            <w:tcW w:w="6340" w:type="dxa"/>
            <w:vAlign w:val="bottom"/>
            <w:gridSpan w:val="3"/>
          </w:tcPr>
          <w:p>
            <w:pPr>
              <w:spacing w:after="0"/>
              <w:rPr>
                <w:sz w:val="20"/>
                <w:szCs w:val="20"/>
                <w:color w:val="auto"/>
              </w:rPr>
            </w:pPr>
            <w:r>
              <w:rPr>
                <w:rFonts w:ascii="Arial" w:cs="Arial" w:eastAsia="Arial" w:hAnsi="Arial"/>
                <w:sz w:val="18"/>
                <w:szCs w:val="18"/>
                <w:color w:val="auto"/>
                <w:w w:val="97"/>
              </w:rPr>
              <w:t>In witness whereof the parties have set their hands on the date first above written</w:t>
            </w:r>
          </w:p>
        </w:tc>
        <w:tc>
          <w:tcPr>
            <w:tcW w:w="3420" w:type="dxa"/>
            <w:vAlign w:val="bottom"/>
          </w:tcPr>
          <w:p>
            <w:pPr>
              <w:spacing w:after="0"/>
              <w:rPr>
                <w:sz w:val="20"/>
                <w:szCs w:val="20"/>
                <w:color w:val="auto"/>
              </w:rPr>
            </w:pPr>
          </w:p>
        </w:tc>
      </w:tr>
      <w:tr>
        <w:trPr>
          <w:trHeight w:val="472"/>
        </w:trPr>
        <w:tc>
          <w:tcPr>
            <w:tcW w:w="640" w:type="dxa"/>
            <w:vAlign w:val="bottom"/>
          </w:tcPr>
          <w:p>
            <w:pPr>
              <w:spacing w:after="0"/>
              <w:rPr>
                <w:sz w:val="24"/>
                <w:szCs w:val="24"/>
                <w:color w:val="auto"/>
              </w:rPr>
            </w:pPr>
          </w:p>
        </w:tc>
        <w:tc>
          <w:tcPr>
            <w:tcW w:w="5700" w:type="dxa"/>
            <w:vAlign w:val="bottom"/>
            <w:gridSpan w:val="2"/>
          </w:tcPr>
          <w:p>
            <w:pPr>
              <w:jc w:val="center"/>
              <w:ind w:right="2300"/>
              <w:spacing w:after="0"/>
              <w:rPr>
                <w:sz w:val="20"/>
                <w:szCs w:val="20"/>
                <w:color w:val="auto"/>
              </w:rPr>
            </w:pPr>
            <w:r>
              <w:rPr>
                <w:rFonts w:ascii="Arial" w:cs="Arial" w:eastAsia="Arial" w:hAnsi="Arial"/>
                <w:sz w:val="18"/>
                <w:szCs w:val="18"/>
                <w:i w:val="1"/>
                <w:iCs w:val="1"/>
                <w:color w:val="auto"/>
                <w:w w:val="90"/>
              </w:rPr>
              <w:t>/s/ Moshe Eliash</w:t>
            </w:r>
          </w:p>
        </w:tc>
        <w:tc>
          <w:tcPr>
            <w:tcW w:w="3420" w:type="dxa"/>
            <w:vAlign w:val="bottom"/>
          </w:tcPr>
          <w:p>
            <w:pPr>
              <w:jc w:val="center"/>
              <w:spacing w:after="0"/>
              <w:rPr>
                <w:sz w:val="20"/>
                <w:szCs w:val="20"/>
                <w:color w:val="auto"/>
              </w:rPr>
            </w:pPr>
            <w:r>
              <w:rPr>
                <w:rFonts w:ascii="Arial" w:cs="Arial" w:eastAsia="Arial" w:hAnsi="Arial"/>
                <w:sz w:val="18"/>
                <w:szCs w:val="18"/>
                <w:i w:val="1"/>
                <w:iCs w:val="1"/>
                <w:color w:val="auto"/>
                <w:w w:val="89"/>
              </w:rPr>
              <w:t>/s/ Sol Gel Technologies Ltd.</w:t>
            </w:r>
          </w:p>
        </w:tc>
      </w:tr>
      <w:tr>
        <w:trPr>
          <w:trHeight w:val="230"/>
        </w:trPr>
        <w:tc>
          <w:tcPr>
            <w:tcW w:w="640" w:type="dxa"/>
            <w:vAlign w:val="bottom"/>
          </w:tcPr>
          <w:p>
            <w:pPr>
              <w:spacing w:after="0"/>
              <w:rPr>
                <w:sz w:val="20"/>
                <w:szCs w:val="20"/>
                <w:color w:val="auto"/>
              </w:rPr>
            </w:pPr>
          </w:p>
        </w:tc>
        <w:tc>
          <w:tcPr>
            <w:tcW w:w="5700" w:type="dxa"/>
            <w:vAlign w:val="bottom"/>
            <w:gridSpan w:val="2"/>
          </w:tcPr>
          <w:p>
            <w:pPr>
              <w:jc w:val="center"/>
              <w:ind w:right="2280"/>
              <w:spacing w:after="0"/>
              <w:rPr>
                <w:sz w:val="20"/>
                <w:szCs w:val="20"/>
                <w:color w:val="auto"/>
              </w:rPr>
            </w:pPr>
            <w:r>
              <w:rPr>
                <w:rFonts w:ascii="Arial" w:cs="Arial" w:eastAsia="Arial" w:hAnsi="Arial"/>
                <w:sz w:val="18"/>
                <w:szCs w:val="18"/>
                <w:color w:val="auto"/>
                <w:w w:val="90"/>
              </w:rPr>
              <w:t>In the name of Ms. Rachel Sacks</w:t>
            </w:r>
          </w:p>
        </w:tc>
        <w:tc>
          <w:tcPr>
            <w:tcW w:w="3420" w:type="dxa"/>
            <w:vAlign w:val="bottom"/>
          </w:tcPr>
          <w:p>
            <w:pPr>
              <w:spacing w:after="0"/>
              <w:rPr>
                <w:sz w:val="20"/>
                <w:szCs w:val="20"/>
                <w:color w:val="auto"/>
              </w:rPr>
            </w:pPr>
          </w:p>
        </w:tc>
      </w:tr>
      <w:tr>
        <w:trPr>
          <w:trHeight w:val="102"/>
        </w:trPr>
        <w:tc>
          <w:tcPr>
            <w:tcW w:w="640" w:type="dxa"/>
            <w:vAlign w:val="bottom"/>
          </w:tcPr>
          <w:p>
            <w:pPr>
              <w:spacing w:after="0"/>
              <w:rPr>
                <w:sz w:val="8"/>
                <w:szCs w:val="8"/>
                <w:color w:val="auto"/>
              </w:rPr>
            </w:pPr>
          </w:p>
        </w:tc>
        <w:tc>
          <w:tcPr>
            <w:tcW w:w="3420" w:type="dxa"/>
            <w:vAlign w:val="bottom"/>
            <w:tcBorders>
              <w:bottom w:val="single" w:sz="8" w:color="auto"/>
            </w:tcBorders>
          </w:tcPr>
          <w:p>
            <w:pPr>
              <w:spacing w:after="0"/>
              <w:rPr>
                <w:sz w:val="8"/>
                <w:szCs w:val="8"/>
                <w:color w:val="auto"/>
              </w:rPr>
            </w:pPr>
          </w:p>
        </w:tc>
        <w:tc>
          <w:tcPr>
            <w:tcW w:w="2280" w:type="dxa"/>
            <w:vAlign w:val="bottom"/>
          </w:tcPr>
          <w:p>
            <w:pPr>
              <w:spacing w:after="0"/>
              <w:rPr>
                <w:sz w:val="8"/>
                <w:szCs w:val="8"/>
                <w:color w:val="auto"/>
              </w:rPr>
            </w:pPr>
          </w:p>
        </w:tc>
        <w:tc>
          <w:tcPr>
            <w:tcW w:w="3420" w:type="dxa"/>
            <w:vAlign w:val="bottom"/>
            <w:tcBorders>
              <w:bottom w:val="single" w:sz="8" w:color="auto"/>
            </w:tcBorders>
          </w:tcPr>
          <w:p>
            <w:pPr>
              <w:spacing w:after="0"/>
              <w:rPr>
                <w:sz w:val="8"/>
                <w:szCs w:val="8"/>
                <w:color w:val="auto"/>
              </w:rPr>
            </w:pPr>
          </w:p>
        </w:tc>
      </w:tr>
      <w:tr>
        <w:trPr>
          <w:trHeight w:val="297"/>
        </w:trPr>
        <w:tc>
          <w:tcPr>
            <w:tcW w:w="640" w:type="dxa"/>
            <w:vAlign w:val="bottom"/>
          </w:tcPr>
          <w:p>
            <w:pPr>
              <w:spacing w:after="0"/>
              <w:rPr>
                <w:sz w:val="24"/>
                <w:szCs w:val="24"/>
                <w:color w:val="auto"/>
              </w:rPr>
            </w:pPr>
          </w:p>
        </w:tc>
        <w:tc>
          <w:tcPr>
            <w:tcW w:w="5700" w:type="dxa"/>
            <w:vAlign w:val="bottom"/>
            <w:gridSpan w:val="2"/>
          </w:tcPr>
          <w:p>
            <w:pPr>
              <w:jc w:val="center"/>
              <w:ind w:right="2300"/>
              <w:spacing w:after="0"/>
              <w:rPr>
                <w:sz w:val="20"/>
                <w:szCs w:val="20"/>
                <w:color w:val="auto"/>
              </w:rPr>
            </w:pPr>
            <w:r>
              <w:rPr>
                <w:rFonts w:ascii="Arial" w:cs="Arial" w:eastAsia="Arial" w:hAnsi="Arial"/>
                <w:sz w:val="18"/>
                <w:szCs w:val="18"/>
                <w:b w:val="1"/>
                <w:bCs w:val="1"/>
                <w:color w:val="auto"/>
                <w:w w:val="94"/>
              </w:rPr>
              <w:t>The Landlord</w:t>
            </w:r>
          </w:p>
        </w:tc>
        <w:tc>
          <w:tcPr>
            <w:tcW w:w="3420" w:type="dxa"/>
            <w:vAlign w:val="bottom"/>
          </w:tcPr>
          <w:p>
            <w:pPr>
              <w:jc w:val="center"/>
              <w:spacing w:after="0"/>
              <w:rPr>
                <w:sz w:val="20"/>
                <w:szCs w:val="20"/>
                <w:color w:val="auto"/>
              </w:rPr>
            </w:pPr>
            <w:r>
              <w:rPr>
                <w:rFonts w:ascii="Arial" w:cs="Arial" w:eastAsia="Arial" w:hAnsi="Arial"/>
                <w:sz w:val="18"/>
                <w:szCs w:val="18"/>
                <w:b w:val="1"/>
                <w:bCs w:val="1"/>
                <w:color w:val="auto"/>
                <w:w w:val="89"/>
              </w:rPr>
              <w:t>The Tenant</w:t>
            </w:r>
          </w:p>
        </w:tc>
      </w:tr>
    </w:tbl>
    <w:p>
      <w:pPr>
        <w:spacing w:after="0" w:line="26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24662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179070</wp:posOffset>
            </wp:positionV>
            <wp:extent cx="7246620" cy="342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7">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01" w:name="page202"/>
    <w:bookmarkEnd w:id="201"/>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9">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4.13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Dr. Moshe Eliash</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Barrister-at-law, Advocate and Notary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 Hasoreg St., POB 433</w:t>
      </w:r>
    </w:p>
    <w:p>
      <w:pPr>
        <w:spacing w:after="0" w:line="9" w:lineRule="exact"/>
        <w:rPr>
          <w:sz w:val="20"/>
          <w:szCs w:val="20"/>
          <w:color w:val="auto"/>
        </w:rPr>
      </w:pPr>
    </w:p>
    <w:p>
      <w:pPr>
        <w:spacing w:after="0"/>
        <w:tabs>
          <w:tab w:leader="none" w:pos="9840" w:val="left"/>
        </w:tabs>
        <w:rPr>
          <w:sz w:val="20"/>
          <w:szCs w:val="20"/>
          <w:color w:val="auto"/>
        </w:rPr>
      </w:pPr>
      <w:r>
        <w:rPr>
          <w:rFonts w:ascii="Arial" w:cs="Arial" w:eastAsia="Arial" w:hAnsi="Arial"/>
          <w:sz w:val="18"/>
          <w:szCs w:val="18"/>
          <w:color w:val="auto"/>
        </w:rPr>
        <w:t>Telephone 651681, 6054281</w:t>
      </w:r>
      <w:r>
        <w:rPr>
          <w:sz w:val="20"/>
          <w:szCs w:val="20"/>
          <w:color w:val="auto"/>
        </w:rPr>
        <w:tab/>
      </w:r>
      <w:r>
        <w:rPr>
          <w:rFonts w:ascii="Arial" w:cs="Arial" w:eastAsia="Arial" w:hAnsi="Arial"/>
          <w:sz w:val="15"/>
          <w:szCs w:val="15"/>
          <w:color w:val="auto"/>
        </w:rPr>
        <w:t>Tuesday, July 3,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6254282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Jerusalem 91003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Eliash7@bezeqint.net</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Sol Gel Technologies Ltd.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 Golda Meir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Ness Siona</w:t>
      </w: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xml:space="preserve">re: </w:t>
      </w:r>
      <w:r>
        <w:rPr>
          <w:rFonts w:ascii="Arial" w:cs="Arial" w:eastAsia="Arial" w:hAnsi="Arial"/>
          <w:sz w:val="18"/>
          <w:szCs w:val="18"/>
          <w:b w:val="1"/>
          <w:bCs w:val="1"/>
          <w:color w:val="auto"/>
        </w:rPr>
        <w:t>Tenancy agreement dated January 30, 2017 respecting the fourth floor</w:t>
      </w:r>
    </w:p>
    <w:p>
      <w:pPr>
        <w:spacing w:after="0" w:line="26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It is agreed by the landlords that there will be added to the area that is leased to you according to section 2 of the above agreement a net area of 91 m² as delineated and hatched in the plan attached hereto as appendix “A” and there will further be added the remainder of the lobby area in a net area of 4 m². The lobby is similarly delineated and hatched on the plan it being agreed that a moiety thereof was already leased you under the above agreement. In light of the foregoing, the provision contained in section 2 of the above agreement to the effect that the lobby will remain vacant, will be removed, and the lobby, in its entirety, will be comprised in the premises.</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Hence, a net area of 95 m² will be added to the net area of 151 m² of the premises in accordance with section 2 of the agreement, and the area of the premises in its entirety shall be a net area of 246 m², constituting a gross area of 307.5 m².</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All the terms of the agreement dated January 30, 2070 will apply to the extended premises area described above, mutatis mutandis.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For the sake of formality, please acknowledge your agreement to the foregoing on the copy of this letter, and return the same to me.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/s/Moshe Eliash</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Dr. Moshe Eliash, Advocate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We acknowledge and agree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Agreed and acknowledged. It is clarified that the said addition (95 m² net) commences from June 1, 2018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511810</wp:posOffset>
            </wp:positionV>
            <wp:extent cx="7246620" cy="342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1">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2" w:name="page203"/>
    <w:bookmarkEnd w:id="202"/>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3">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4.14</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To: Sol Gel Technologies Ltd.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This will confirm the landlords’ agreement to lease to you commencing September 1, 2018, six uncovered parking spaces.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lease term runs concurrently with the remaining lease term according to your head-lease.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rent is NIS 300.00 per month for each parking place, (plus VAT).</w:t>
      </w:r>
    </w:p>
    <w:p>
      <w:pPr>
        <w:spacing w:after="0" w:line="27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rent for one month will be paid upon your agreement to the foregoing. Thereafter, the rent will be paid trimonthly in advance together with the payment of the rent according to the head-lease.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The location of the parking places, which will be contiguous, will be coordinated with the building manager.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Please confirm.</w:t>
      </w:r>
    </w:p>
    <w:p>
      <w:pPr>
        <w:spacing w:after="0" w:line="279" w:lineRule="exact"/>
        <w:rPr>
          <w:sz w:val="20"/>
          <w:szCs w:val="20"/>
          <w:color w:val="auto"/>
        </w:rPr>
      </w:pPr>
    </w:p>
    <w:p>
      <w:pPr>
        <w:ind w:right="1880"/>
        <w:spacing w:after="0" w:line="563" w:lineRule="auto"/>
        <w:rPr>
          <w:sz w:val="20"/>
          <w:szCs w:val="20"/>
          <w:color w:val="auto"/>
        </w:rPr>
      </w:pPr>
      <w:r>
        <w:rPr>
          <w:rFonts w:ascii="Arial" w:cs="Arial" w:eastAsia="Arial" w:hAnsi="Arial"/>
          <w:sz w:val="18"/>
          <w:szCs w:val="18"/>
          <w:color w:val="auto"/>
        </w:rPr>
        <w:t>Please send the sum of NIS 1800.00 (plus VAT in the sum of NIS 306.00), aggregating NIS 2,106.00 to the landlords’ bank account. Sincerely,</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Dr. Moshe Eliash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4662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306705</wp:posOffset>
            </wp:positionV>
            <wp:extent cx="7246620" cy="342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5">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3" w:name="page204"/>
    <w:bookmarkEnd w:id="203"/>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6">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7">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12.1</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EXECUTIVE OFFICER PURSUANT TO SECTION 302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I, Alon Seri-Levy, certify that:</w:t>
      </w:r>
    </w:p>
    <w:p>
      <w:pPr>
        <w:spacing w:after="0" w:line="225" w:lineRule="exact"/>
        <w:rPr>
          <w:sz w:val="20"/>
          <w:szCs w:val="20"/>
          <w:color w:val="auto"/>
        </w:rPr>
      </w:pPr>
    </w:p>
    <w:p>
      <w:pPr>
        <w:ind w:left="960" w:hanging="506"/>
        <w:spacing w:after="0"/>
        <w:tabs>
          <w:tab w:leader="none" w:pos="9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25" w:lineRule="exact"/>
        <w:rPr>
          <w:rFonts w:ascii="Arial" w:cs="Arial" w:eastAsia="Arial" w:hAnsi="Arial"/>
          <w:sz w:val="18"/>
          <w:szCs w:val="18"/>
          <w:color w:val="auto"/>
        </w:rPr>
      </w:pPr>
    </w:p>
    <w:p>
      <w:pPr>
        <w:jc w:val="both"/>
        <w:ind w:left="960" w:hanging="506"/>
        <w:spacing w:after="0" w:line="264" w:lineRule="auto"/>
        <w:tabs>
          <w:tab w:leader="none" w:pos="9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960" w:hanging="506"/>
        <w:spacing w:after="0" w:line="308" w:lineRule="auto"/>
        <w:tabs>
          <w:tab w:leader="none" w:pos="960" w:val="left"/>
        </w:tabs>
        <w:numPr>
          <w:ilvl w:val="0"/>
          <w:numId w:val="16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146" w:lineRule="exact"/>
        <w:rPr>
          <w:rFonts w:ascii="Arial" w:cs="Arial" w:eastAsia="Arial" w:hAnsi="Arial"/>
          <w:sz w:val="17"/>
          <w:szCs w:val="17"/>
          <w:color w:val="auto"/>
        </w:rPr>
      </w:pPr>
    </w:p>
    <w:p>
      <w:pPr>
        <w:jc w:val="both"/>
        <w:ind w:left="960" w:hanging="506"/>
        <w:spacing w:after="0" w:line="291" w:lineRule="auto"/>
        <w:tabs>
          <w:tab w:leader="none" w:pos="960" w:val="left"/>
        </w:tabs>
        <w:numPr>
          <w:ilvl w:val="0"/>
          <w:numId w:val="166"/>
        </w:numPr>
        <w:rPr>
          <w:rFonts w:ascii="Arial" w:cs="Arial" w:eastAsia="Arial" w:hAnsi="Arial"/>
          <w:sz w:val="16"/>
          <w:szCs w:val="16"/>
          <w:color w:val="auto"/>
        </w:rPr>
      </w:pPr>
      <w:r>
        <w:rPr>
          <w:rFonts w:ascii="Arial" w:cs="Arial" w:eastAsia="Arial" w:hAnsi="Arial"/>
          <w:sz w:val="16"/>
          <w:szCs w:val="16"/>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960"/>
        <w:spacing w:after="0"/>
        <w:rPr>
          <w:rFonts w:ascii="Arial" w:cs="Arial" w:eastAsia="Arial" w:hAnsi="Arial"/>
          <w:sz w:val="16"/>
          <w:szCs w:val="16"/>
          <w:color w:val="auto"/>
        </w:rPr>
      </w:pPr>
      <w:r>
        <w:rPr>
          <w:rFonts w:ascii="Arial" w:cs="Arial" w:eastAsia="Arial" w:hAnsi="Arial"/>
          <w:sz w:val="18"/>
          <w:szCs w:val="18"/>
          <w:color w:val="auto"/>
        </w:rPr>
        <w:t>15d-15(f)) for the company and have:</w:t>
      </w:r>
    </w:p>
    <w:p>
      <w:pPr>
        <w:spacing w:after="0" w:line="210" w:lineRule="exact"/>
        <w:rPr>
          <w:rFonts w:ascii="Arial" w:cs="Arial" w:eastAsia="Arial" w:hAnsi="Arial"/>
          <w:sz w:val="16"/>
          <w:szCs w:val="16"/>
          <w:color w:val="auto"/>
        </w:rPr>
      </w:pPr>
    </w:p>
    <w:p>
      <w:pPr>
        <w:ind w:left="2280" w:right="40" w:hanging="489"/>
        <w:spacing w:after="0" w:line="286" w:lineRule="auto"/>
        <w:tabs>
          <w:tab w:leader="none" w:pos="2280" w:val="left"/>
        </w:tabs>
        <w:numPr>
          <w:ilvl w:val="1"/>
          <w:numId w:val="166"/>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left="2280" w:right="60" w:hanging="489"/>
        <w:spacing w:after="0" w:line="286" w:lineRule="auto"/>
        <w:tabs>
          <w:tab w:leader="none" w:pos="2280" w:val="left"/>
        </w:tabs>
        <w:numPr>
          <w:ilvl w:val="1"/>
          <w:numId w:val="166"/>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5" w:lineRule="exact"/>
        <w:rPr>
          <w:rFonts w:ascii="Arial" w:cs="Arial" w:eastAsia="Arial" w:hAnsi="Arial"/>
          <w:sz w:val="17"/>
          <w:szCs w:val="17"/>
          <w:color w:val="auto"/>
        </w:rPr>
      </w:pPr>
    </w:p>
    <w:p>
      <w:pPr>
        <w:jc w:val="both"/>
        <w:ind w:left="2280" w:right="160" w:hanging="489"/>
        <w:spacing w:after="0" w:line="264" w:lineRule="auto"/>
        <w:tabs>
          <w:tab w:leader="none" w:pos="22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08" w:lineRule="exact"/>
        <w:rPr>
          <w:rFonts w:ascii="Arial" w:cs="Arial" w:eastAsia="Arial" w:hAnsi="Arial"/>
          <w:sz w:val="18"/>
          <w:szCs w:val="18"/>
          <w:color w:val="auto"/>
        </w:rPr>
      </w:pPr>
    </w:p>
    <w:p>
      <w:pPr>
        <w:jc w:val="both"/>
        <w:ind w:left="2280" w:hanging="489"/>
        <w:spacing w:after="0" w:line="264" w:lineRule="auto"/>
        <w:tabs>
          <w:tab w:leader="none" w:pos="22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181" w:lineRule="exact"/>
        <w:rPr>
          <w:rFonts w:ascii="Arial" w:cs="Arial" w:eastAsia="Arial" w:hAnsi="Arial"/>
          <w:sz w:val="18"/>
          <w:szCs w:val="18"/>
          <w:color w:val="auto"/>
        </w:rPr>
      </w:pPr>
    </w:p>
    <w:p>
      <w:pPr>
        <w:ind w:left="960" w:hanging="506"/>
        <w:spacing w:after="0" w:line="342" w:lineRule="auto"/>
        <w:tabs>
          <w:tab w:leader="none" w:pos="960" w:val="left"/>
        </w:tabs>
        <w:numPr>
          <w:ilvl w:val="0"/>
          <w:numId w:val="166"/>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123" w:lineRule="exact"/>
        <w:rPr>
          <w:rFonts w:ascii="Arial" w:cs="Arial" w:eastAsia="Arial" w:hAnsi="Arial"/>
          <w:sz w:val="16"/>
          <w:szCs w:val="16"/>
          <w:color w:val="auto"/>
        </w:rPr>
      </w:pPr>
    </w:p>
    <w:p>
      <w:pPr>
        <w:jc w:val="both"/>
        <w:ind w:left="2280" w:hanging="489"/>
        <w:spacing w:after="0" w:line="264" w:lineRule="auto"/>
        <w:tabs>
          <w:tab w:leader="none" w:pos="22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81" w:lineRule="exact"/>
        <w:rPr>
          <w:rFonts w:ascii="Arial" w:cs="Arial" w:eastAsia="Arial" w:hAnsi="Arial"/>
          <w:sz w:val="18"/>
          <w:szCs w:val="18"/>
          <w:color w:val="auto"/>
        </w:rPr>
      </w:pPr>
    </w:p>
    <w:p>
      <w:pPr>
        <w:ind w:left="2280" w:hanging="489"/>
        <w:spacing w:after="0" w:line="277" w:lineRule="auto"/>
        <w:tabs>
          <w:tab w:leader="none" w:pos="22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March 21, 2019</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Alon Seri-Levy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Alon Seri-Levy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724662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306070</wp:posOffset>
            </wp:positionV>
            <wp:extent cx="7246620" cy="342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9">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4" w:name="page205"/>
    <w:bookmarkEnd w:id="204"/>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0">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1">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12.2</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FINANCIAL OFFICER PURSUANT TO SECTION 302</w:t>
      </w:r>
    </w:p>
    <w:p>
      <w:pPr>
        <w:spacing w:after="0" w:line="27"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OF THE SARBANES</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OXLEY ACT OF 2002</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I, Gilad Mamlok, certify that:</w:t>
      </w:r>
    </w:p>
    <w:p>
      <w:pPr>
        <w:spacing w:after="0" w:line="225" w:lineRule="exact"/>
        <w:rPr>
          <w:sz w:val="20"/>
          <w:szCs w:val="20"/>
          <w:color w:val="auto"/>
        </w:rPr>
      </w:pPr>
    </w:p>
    <w:p>
      <w:pPr>
        <w:ind w:left="840" w:hanging="332"/>
        <w:spacing w:after="0"/>
        <w:tabs>
          <w:tab w:leader="none" w:pos="84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25" w:lineRule="exact"/>
        <w:rPr>
          <w:rFonts w:ascii="Arial" w:cs="Arial" w:eastAsia="Arial" w:hAnsi="Arial"/>
          <w:sz w:val="18"/>
          <w:szCs w:val="18"/>
          <w:color w:val="auto"/>
        </w:rPr>
      </w:pPr>
    </w:p>
    <w:p>
      <w:pPr>
        <w:jc w:val="both"/>
        <w:ind w:left="840" w:hanging="332"/>
        <w:spacing w:after="0" w:line="264" w:lineRule="auto"/>
        <w:tabs>
          <w:tab w:leader="none" w:pos="84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840" w:hanging="332"/>
        <w:spacing w:after="0" w:line="308" w:lineRule="auto"/>
        <w:tabs>
          <w:tab w:leader="none" w:pos="840" w:val="left"/>
        </w:tabs>
        <w:numPr>
          <w:ilvl w:val="0"/>
          <w:numId w:val="16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146" w:lineRule="exact"/>
        <w:rPr>
          <w:rFonts w:ascii="Arial" w:cs="Arial" w:eastAsia="Arial" w:hAnsi="Arial"/>
          <w:sz w:val="17"/>
          <w:szCs w:val="17"/>
          <w:color w:val="auto"/>
        </w:rPr>
      </w:pPr>
    </w:p>
    <w:p>
      <w:pPr>
        <w:jc w:val="both"/>
        <w:ind w:left="840" w:hanging="332"/>
        <w:spacing w:after="0" w:line="264" w:lineRule="auto"/>
        <w:tabs>
          <w:tab w:leader="none" w:pos="84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1" w:lineRule="exact"/>
        <w:rPr>
          <w:rFonts w:ascii="Arial" w:cs="Arial" w:eastAsia="Arial" w:hAnsi="Arial"/>
          <w:sz w:val="18"/>
          <w:szCs w:val="18"/>
          <w:color w:val="auto"/>
        </w:rPr>
      </w:pPr>
    </w:p>
    <w:p>
      <w:pPr>
        <w:jc w:val="both"/>
        <w:ind w:left="1340" w:hanging="319"/>
        <w:spacing w:after="0" w:line="264" w:lineRule="auto"/>
        <w:tabs>
          <w:tab w:leader="none" w:pos="1340" w:val="left"/>
        </w:tabs>
        <w:numPr>
          <w:ilvl w:val="1"/>
          <w:numId w:val="16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jc w:val="both"/>
        <w:ind w:left="1340" w:hanging="319"/>
        <w:spacing w:after="0" w:line="264" w:lineRule="auto"/>
        <w:tabs>
          <w:tab w:leader="none" w:pos="1340" w:val="left"/>
        </w:tabs>
        <w:numPr>
          <w:ilvl w:val="1"/>
          <w:numId w:val="16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340" w:right="20" w:hanging="319"/>
        <w:spacing w:after="0" w:line="342" w:lineRule="auto"/>
        <w:tabs>
          <w:tab w:leader="none" w:pos="134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left="1340" w:hanging="319"/>
        <w:spacing w:after="0" w:line="264" w:lineRule="auto"/>
        <w:tabs>
          <w:tab w:leader="none" w:pos="1340" w:val="left"/>
        </w:tabs>
        <w:numPr>
          <w:ilvl w:val="1"/>
          <w:numId w:val="167"/>
        </w:numPr>
        <w:rPr>
          <w:rFonts w:ascii="Arial" w:cs="Arial" w:eastAsia="Arial" w:hAnsi="Arial"/>
          <w:sz w:val="18"/>
          <w:szCs w:val="18"/>
          <w:color w:val="auto"/>
        </w:rPr>
      </w:pPr>
      <w:r>
        <w:rPr>
          <w:rFonts w:ascii="Arial" w:cs="Arial" w:eastAsia="Arial" w:hAnsi="Arial"/>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181" w:lineRule="exact"/>
        <w:rPr>
          <w:rFonts w:ascii="Arial" w:cs="Arial" w:eastAsia="Arial" w:hAnsi="Arial"/>
          <w:sz w:val="18"/>
          <w:szCs w:val="18"/>
          <w:color w:val="auto"/>
        </w:rPr>
      </w:pPr>
    </w:p>
    <w:p>
      <w:pPr>
        <w:ind w:left="840" w:hanging="332"/>
        <w:spacing w:after="0" w:line="342" w:lineRule="auto"/>
        <w:tabs>
          <w:tab w:leader="none" w:pos="84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123" w:lineRule="exact"/>
        <w:rPr>
          <w:rFonts w:ascii="Arial" w:cs="Arial" w:eastAsia="Arial" w:hAnsi="Arial"/>
          <w:sz w:val="16"/>
          <w:szCs w:val="16"/>
          <w:color w:val="auto"/>
        </w:rPr>
      </w:pPr>
    </w:p>
    <w:p>
      <w:pPr>
        <w:ind w:left="1480" w:hanging="324"/>
        <w:spacing w:after="0" w:line="308" w:lineRule="auto"/>
        <w:tabs>
          <w:tab w:leader="none" w:pos="1480" w:val="left"/>
        </w:tabs>
        <w:numPr>
          <w:ilvl w:val="2"/>
          <w:numId w:val="16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46" w:lineRule="exact"/>
        <w:rPr>
          <w:rFonts w:ascii="Arial" w:cs="Arial" w:eastAsia="Arial" w:hAnsi="Arial"/>
          <w:sz w:val="17"/>
          <w:szCs w:val="17"/>
          <w:color w:val="auto"/>
        </w:rPr>
      </w:pPr>
    </w:p>
    <w:p>
      <w:pPr>
        <w:ind w:left="1480" w:hanging="324"/>
        <w:spacing w:after="0" w:line="277" w:lineRule="auto"/>
        <w:tabs>
          <w:tab w:leader="none" w:pos="1480" w:val="left"/>
        </w:tabs>
        <w:numPr>
          <w:ilvl w:val="2"/>
          <w:numId w:val="16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March 21,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Gilad Mamlok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24662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246620" cy="342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3">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5" w:name="page206"/>
    <w:bookmarkEnd w:id="205"/>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4">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5">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13</w:t>
      </w:r>
    </w:p>
    <w:p>
      <w:pPr>
        <w:spacing w:after="0" w:line="279" w:lineRule="exact"/>
        <w:rPr>
          <w:sz w:val="20"/>
          <w:szCs w:val="20"/>
          <w:color w:val="auto"/>
        </w:rPr>
      </w:pPr>
    </w:p>
    <w:p>
      <w:pPr>
        <w:ind w:left="2420"/>
        <w:spacing w:after="0"/>
        <w:rPr>
          <w:sz w:val="20"/>
          <w:szCs w:val="20"/>
          <w:color w:val="auto"/>
        </w:rPr>
      </w:pPr>
      <w:r>
        <w:rPr>
          <w:rFonts w:ascii="Arial" w:cs="Arial" w:eastAsia="Arial" w:hAnsi="Arial"/>
          <w:sz w:val="18"/>
          <w:szCs w:val="18"/>
          <w:b w:val="1"/>
          <w:bCs w:val="1"/>
          <w:color w:val="auto"/>
        </w:rPr>
        <w:t>CERTIFICATION BY CHIEF EXECUTIVE OFFICER AND CHIEF FINANCIAL</w:t>
      </w:r>
    </w:p>
    <w:p>
      <w:pPr>
        <w:spacing w:after="0" w:line="27"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OFFICER PURSUAN TO SECTION 906 OF THE SARBANES-OXLEY ACT OF 2002</w:t>
      </w:r>
    </w:p>
    <w:p>
      <w:pPr>
        <w:spacing w:after="0" w:line="211"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color w:val="auto"/>
        </w:rPr>
        <w:t>In connection with the Annual Report of Sol-Gel Technologies Ltd. (the “Company”) on Form 20-F for the period ended December 31, 2018 as filed with the Securities and Exchange Commission on the date hereof (the “Report”), each of the undersigned officers of the Company certifies, pursuant to 18 U.S.C. §1350, as adopted pursuant to §906 of the Sarbanes-Oxley Act of 2002, that to such officer's knowledge:</w:t>
      </w:r>
    </w:p>
    <w:p>
      <w:pPr>
        <w:spacing w:after="0" w:line="235" w:lineRule="exact"/>
        <w:rPr>
          <w:sz w:val="20"/>
          <w:szCs w:val="20"/>
          <w:color w:val="auto"/>
        </w:rPr>
      </w:pPr>
    </w:p>
    <w:p>
      <w:pPr>
        <w:ind w:left="660" w:hanging="652"/>
        <w:spacing w:after="0"/>
        <w:tabs>
          <w:tab w:leader="none" w:pos="66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3" w:lineRule="exact"/>
        <w:rPr>
          <w:rFonts w:ascii="Arial" w:cs="Arial" w:eastAsia="Arial" w:hAnsi="Arial"/>
          <w:sz w:val="18"/>
          <w:szCs w:val="18"/>
          <w:color w:val="auto"/>
        </w:rPr>
      </w:pPr>
    </w:p>
    <w:p>
      <w:pPr>
        <w:ind w:left="660" w:hanging="652"/>
        <w:spacing w:after="0"/>
        <w:tabs>
          <w:tab w:leader="none" w:pos="660" w:val="left"/>
        </w:tabs>
        <w:numPr>
          <w:ilvl w:val="0"/>
          <w:numId w:val="16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color w:val="auto"/>
        </w:rPr>
        <w:t>Dated: March 21, 2019</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Alon Seri-Levy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Alon Seri-Levy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Gilad Mamlok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24662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246620" cy="342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7">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6" w:name="page207"/>
    <w:bookmarkEnd w:id="206"/>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6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9">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wp:posOffset>
            </wp:positionV>
            <wp:extent cx="1303655" cy="110617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0">
                      <a:extLst>
                        <a:ext uri="{28A0092B-C50C-407E-A947-70E740481C1C}"/>
                      </a:extLst>
                    </a:blip>
                    <a:srcRect/>
                    <a:stretch>
                      <a:fillRect/>
                    </a:stretch>
                  </pic:blipFill>
                  <pic:spPr bwMode="auto">
                    <a:xfrm>
                      <a:off x="0" y="0"/>
                      <a:ext cx="1303655" cy="1106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83" w:lineRule="exact"/>
        <w:rPr>
          <w:sz w:val="20"/>
          <w:szCs w:val="20"/>
          <w:color w:val="auto"/>
        </w:rPr>
      </w:pPr>
    </w:p>
    <w:p>
      <w:pPr>
        <w:ind w:right="300"/>
        <w:spacing w:after="0" w:line="223" w:lineRule="exact"/>
        <w:rPr>
          <w:sz w:val="20"/>
          <w:szCs w:val="20"/>
          <w:color w:val="auto"/>
        </w:rPr>
      </w:pPr>
      <w:r>
        <w:rPr>
          <w:rFonts w:ascii="Arial" w:cs="Arial" w:eastAsia="Arial" w:hAnsi="Arial"/>
          <w:sz w:val="18"/>
          <w:szCs w:val="18"/>
          <w:color w:val="auto"/>
        </w:rPr>
        <w:t>We hereby consent to the incorporation by reference in the Registration Statement on Form S-8 (file No. 333-223915) of Sol-Gel Technologies Ltd. of our report dated March 21, 2019 relating to the financial statements, which appears in this Form 20</w:t>
      </w:r>
      <w:r>
        <w:rPr>
          <w:rFonts w:ascii="MS PGothic" w:cs="MS PGothic" w:eastAsia="MS PGothic" w:hAnsi="MS PGothic"/>
          <w:sz w:val="18"/>
          <w:szCs w:val="18"/>
          <w:color w:val="auto"/>
        </w:rPr>
        <w:t>‑</w:t>
      </w:r>
      <w:r>
        <w:rPr>
          <w:rFonts w:ascii="Arial" w:cs="Arial" w:eastAsia="Arial" w:hAnsi="Arial"/>
          <w:sz w:val="18"/>
          <w:szCs w:val="18"/>
          <w:color w:val="auto"/>
        </w:rPr>
        <w:t>F.</w:t>
      </w:r>
    </w:p>
    <w:p>
      <w:pPr>
        <w:sectPr>
          <w:pgSz w:w="11900" w:h="16838" w:orient="portrait"/>
          <w:cols w:equalWidth="0" w:num="1">
            <w:col w:w="11420"/>
          </w:cols>
          <w:pgMar w:left="240" w:top="702" w:right="239" w:bottom="1440" w:gutter="0" w:footer="0" w:header="0"/>
        </w:sectPr>
      </w:pP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Tel-Aviv, Israel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March 21,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500380</wp:posOffset>
            </wp:positionV>
            <wp:extent cx="8890" cy="825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7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39370</wp:posOffset>
            </wp:positionH>
            <wp:positionV relativeFrom="paragraph">
              <wp:posOffset>500380</wp:posOffset>
            </wp:positionV>
            <wp:extent cx="8890" cy="825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56515</wp:posOffset>
            </wp:positionH>
            <wp:positionV relativeFrom="paragraph">
              <wp:posOffset>500380</wp:posOffset>
            </wp:positionV>
            <wp:extent cx="8890"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500380</wp:posOffset>
            </wp:positionV>
            <wp:extent cx="8890" cy="82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90805</wp:posOffset>
            </wp:positionH>
            <wp:positionV relativeFrom="paragraph">
              <wp:posOffset>500380</wp:posOffset>
            </wp:positionV>
            <wp:extent cx="8890" cy="825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107950</wp:posOffset>
            </wp:positionH>
            <wp:positionV relativeFrom="paragraph">
              <wp:posOffset>500380</wp:posOffset>
            </wp:positionV>
            <wp:extent cx="8890"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125095</wp:posOffset>
            </wp:positionH>
            <wp:positionV relativeFrom="paragraph">
              <wp:posOffset>500380</wp:posOffset>
            </wp:positionV>
            <wp:extent cx="8890"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142240</wp:posOffset>
            </wp:positionH>
            <wp:positionV relativeFrom="paragraph">
              <wp:posOffset>500380</wp:posOffset>
            </wp:positionV>
            <wp:extent cx="8890" cy="825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159385</wp:posOffset>
            </wp:positionH>
            <wp:positionV relativeFrom="paragraph">
              <wp:posOffset>500380</wp:posOffset>
            </wp:positionV>
            <wp:extent cx="8890" cy="825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176530</wp:posOffset>
            </wp:positionH>
            <wp:positionV relativeFrom="paragraph">
              <wp:posOffset>500380</wp:posOffset>
            </wp:positionV>
            <wp:extent cx="8890" cy="825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193675</wp:posOffset>
            </wp:positionH>
            <wp:positionV relativeFrom="paragraph">
              <wp:posOffset>500380</wp:posOffset>
            </wp:positionV>
            <wp:extent cx="8890" cy="825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500380</wp:posOffset>
            </wp:positionV>
            <wp:extent cx="8890" cy="825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500380</wp:posOffset>
            </wp:positionV>
            <wp:extent cx="8890" cy="825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500380</wp:posOffset>
            </wp:positionV>
            <wp:extent cx="8890" cy="825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262255</wp:posOffset>
            </wp:positionH>
            <wp:positionV relativeFrom="paragraph">
              <wp:posOffset>500380</wp:posOffset>
            </wp:positionV>
            <wp:extent cx="8890"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279400</wp:posOffset>
            </wp:positionH>
            <wp:positionV relativeFrom="paragraph">
              <wp:posOffset>500380</wp:posOffset>
            </wp:positionV>
            <wp:extent cx="8890" cy="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500380</wp:posOffset>
            </wp:positionV>
            <wp:extent cx="889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313690</wp:posOffset>
            </wp:positionH>
            <wp:positionV relativeFrom="paragraph">
              <wp:posOffset>500380</wp:posOffset>
            </wp:positionV>
            <wp:extent cx="8890" cy="825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500380</wp:posOffset>
            </wp:positionV>
            <wp:extent cx="8890" cy="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8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347980</wp:posOffset>
            </wp:positionH>
            <wp:positionV relativeFrom="paragraph">
              <wp:posOffset>500380</wp:posOffset>
            </wp:positionV>
            <wp:extent cx="8890"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365125</wp:posOffset>
            </wp:positionH>
            <wp:positionV relativeFrom="paragraph">
              <wp:posOffset>500380</wp:posOffset>
            </wp:positionV>
            <wp:extent cx="8890"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382270</wp:posOffset>
            </wp:positionH>
            <wp:positionV relativeFrom="paragraph">
              <wp:posOffset>500380</wp:posOffset>
            </wp:positionV>
            <wp:extent cx="8890" cy="825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399415</wp:posOffset>
            </wp:positionH>
            <wp:positionV relativeFrom="paragraph">
              <wp:posOffset>500380</wp:posOffset>
            </wp:positionV>
            <wp:extent cx="8890" cy="825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500380</wp:posOffset>
            </wp:positionV>
            <wp:extent cx="8890" cy="825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500380</wp:posOffset>
            </wp:positionV>
            <wp:extent cx="8890" cy="825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450850</wp:posOffset>
            </wp:positionH>
            <wp:positionV relativeFrom="paragraph">
              <wp:posOffset>500380</wp:posOffset>
            </wp:positionV>
            <wp:extent cx="8890" cy="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467995</wp:posOffset>
            </wp:positionH>
            <wp:positionV relativeFrom="paragraph">
              <wp:posOffset>500380</wp:posOffset>
            </wp:positionV>
            <wp:extent cx="8890" cy="825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485140</wp:posOffset>
            </wp:positionH>
            <wp:positionV relativeFrom="paragraph">
              <wp:posOffset>500380</wp:posOffset>
            </wp:positionV>
            <wp:extent cx="8890" cy="825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502285</wp:posOffset>
            </wp:positionH>
            <wp:positionV relativeFrom="paragraph">
              <wp:posOffset>500380</wp:posOffset>
            </wp:positionV>
            <wp:extent cx="8890" cy="825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500380</wp:posOffset>
            </wp:positionV>
            <wp:extent cx="8890" cy="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536575</wp:posOffset>
            </wp:positionH>
            <wp:positionV relativeFrom="paragraph">
              <wp:posOffset>500380</wp:posOffset>
            </wp:positionV>
            <wp:extent cx="8890" cy="825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0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553720</wp:posOffset>
            </wp:positionH>
            <wp:positionV relativeFrom="paragraph">
              <wp:posOffset>500380</wp:posOffset>
            </wp:positionV>
            <wp:extent cx="8890" cy="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0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570865</wp:posOffset>
            </wp:positionH>
            <wp:positionV relativeFrom="paragraph">
              <wp:posOffset>500380</wp:posOffset>
            </wp:positionV>
            <wp:extent cx="8890" cy="825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0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500380</wp:posOffset>
            </wp:positionV>
            <wp:extent cx="8890"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500380</wp:posOffset>
            </wp:positionV>
            <wp:extent cx="8890" cy="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500380</wp:posOffset>
            </wp:positionV>
            <wp:extent cx="889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0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639445</wp:posOffset>
            </wp:positionH>
            <wp:positionV relativeFrom="paragraph">
              <wp:posOffset>500380</wp:posOffset>
            </wp:positionV>
            <wp:extent cx="8890"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0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656590</wp:posOffset>
            </wp:positionH>
            <wp:positionV relativeFrom="paragraph">
              <wp:posOffset>500380</wp:posOffset>
            </wp:positionV>
            <wp:extent cx="8890"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673735</wp:posOffset>
            </wp:positionH>
            <wp:positionV relativeFrom="paragraph">
              <wp:posOffset>500380</wp:posOffset>
            </wp:positionV>
            <wp:extent cx="8890"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690880</wp:posOffset>
            </wp:positionH>
            <wp:positionV relativeFrom="paragraph">
              <wp:posOffset>500380</wp:posOffset>
            </wp:positionV>
            <wp:extent cx="8890" cy="825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708025</wp:posOffset>
            </wp:positionH>
            <wp:positionV relativeFrom="paragraph">
              <wp:posOffset>500380</wp:posOffset>
            </wp:positionV>
            <wp:extent cx="8890" cy="825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500380</wp:posOffset>
            </wp:positionV>
            <wp:extent cx="8890" cy="825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742315</wp:posOffset>
            </wp:positionH>
            <wp:positionV relativeFrom="paragraph">
              <wp:posOffset>500380</wp:posOffset>
            </wp:positionV>
            <wp:extent cx="8890" cy="825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760095</wp:posOffset>
            </wp:positionH>
            <wp:positionV relativeFrom="paragraph">
              <wp:posOffset>500380</wp:posOffset>
            </wp:positionV>
            <wp:extent cx="8890" cy="825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777240</wp:posOffset>
            </wp:positionH>
            <wp:positionV relativeFrom="paragraph">
              <wp:posOffset>500380</wp:posOffset>
            </wp:positionV>
            <wp:extent cx="8890" cy="825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794385</wp:posOffset>
            </wp:positionH>
            <wp:positionV relativeFrom="paragraph">
              <wp:posOffset>500380</wp:posOffset>
            </wp:positionV>
            <wp:extent cx="8890" cy="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1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811530</wp:posOffset>
            </wp:positionH>
            <wp:positionV relativeFrom="paragraph">
              <wp:posOffset>500380</wp:posOffset>
            </wp:positionV>
            <wp:extent cx="8890" cy="825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1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828675</wp:posOffset>
            </wp:positionH>
            <wp:positionV relativeFrom="paragraph">
              <wp:posOffset>500380</wp:posOffset>
            </wp:positionV>
            <wp:extent cx="8890" cy="825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1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845820</wp:posOffset>
            </wp:positionH>
            <wp:positionV relativeFrom="paragraph">
              <wp:posOffset>500380</wp:posOffset>
            </wp:positionV>
            <wp:extent cx="8890" cy="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1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862965</wp:posOffset>
            </wp:positionH>
            <wp:positionV relativeFrom="paragraph">
              <wp:posOffset>500380</wp:posOffset>
            </wp:positionV>
            <wp:extent cx="8890" cy="825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2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880110</wp:posOffset>
            </wp:positionH>
            <wp:positionV relativeFrom="paragraph">
              <wp:posOffset>500380</wp:posOffset>
            </wp:positionV>
            <wp:extent cx="8890" cy="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897255</wp:posOffset>
            </wp:positionH>
            <wp:positionV relativeFrom="paragraph">
              <wp:posOffset>500380</wp:posOffset>
            </wp:positionV>
            <wp:extent cx="8890" cy="825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2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914400</wp:posOffset>
            </wp:positionH>
            <wp:positionV relativeFrom="paragraph">
              <wp:posOffset>500380</wp:posOffset>
            </wp:positionV>
            <wp:extent cx="8890" cy="825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2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931545</wp:posOffset>
            </wp:positionH>
            <wp:positionV relativeFrom="paragraph">
              <wp:posOffset>500380</wp:posOffset>
            </wp:positionV>
            <wp:extent cx="8890" cy="825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2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500380</wp:posOffset>
            </wp:positionV>
            <wp:extent cx="8890" cy="825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2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965835</wp:posOffset>
            </wp:positionH>
            <wp:positionV relativeFrom="paragraph">
              <wp:posOffset>500380</wp:posOffset>
            </wp:positionV>
            <wp:extent cx="8890" cy="825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2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982980</wp:posOffset>
            </wp:positionH>
            <wp:positionV relativeFrom="paragraph">
              <wp:posOffset>500380</wp:posOffset>
            </wp:positionV>
            <wp:extent cx="8890" cy="825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2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1000125</wp:posOffset>
            </wp:positionH>
            <wp:positionV relativeFrom="paragraph">
              <wp:posOffset>500380</wp:posOffset>
            </wp:positionV>
            <wp:extent cx="8890" cy="825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2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1017270</wp:posOffset>
            </wp:positionH>
            <wp:positionV relativeFrom="paragraph">
              <wp:posOffset>500380</wp:posOffset>
            </wp:positionV>
            <wp:extent cx="8890" cy="825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2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1034415</wp:posOffset>
            </wp:positionH>
            <wp:positionV relativeFrom="paragraph">
              <wp:posOffset>500380</wp:posOffset>
            </wp:positionV>
            <wp:extent cx="8890" cy="825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3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1051560</wp:posOffset>
            </wp:positionH>
            <wp:positionV relativeFrom="paragraph">
              <wp:posOffset>500380</wp:posOffset>
            </wp:positionV>
            <wp:extent cx="8890" cy="825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3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1068705</wp:posOffset>
            </wp:positionH>
            <wp:positionV relativeFrom="paragraph">
              <wp:posOffset>500380</wp:posOffset>
            </wp:positionV>
            <wp:extent cx="8890" cy="825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3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1085850</wp:posOffset>
            </wp:positionH>
            <wp:positionV relativeFrom="paragraph">
              <wp:posOffset>500380</wp:posOffset>
            </wp:positionV>
            <wp:extent cx="8890"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3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1102995</wp:posOffset>
            </wp:positionH>
            <wp:positionV relativeFrom="paragraph">
              <wp:posOffset>500380</wp:posOffset>
            </wp:positionV>
            <wp:extent cx="8890" cy="825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3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1120140</wp:posOffset>
            </wp:positionH>
            <wp:positionV relativeFrom="paragraph">
              <wp:posOffset>500380</wp:posOffset>
            </wp:positionV>
            <wp:extent cx="8890" cy="825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3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1137285</wp:posOffset>
            </wp:positionH>
            <wp:positionV relativeFrom="paragraph">
              <wp:posOffset>500380</wp:posOffset>
            </wp:positionV>
            <wp:extent cx="8890" cy="825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1154430</wp:posOffset>
            </wp:positionH>
            <wp:positionV relativeFrom="paragraph">
              <wp:posOffset>500380</wp:posOffset>
            </wp:positionV>
            <wp:extent cx="8890" cy="825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3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1171575</wp:posOffset>
            </wp:positionH>
            <wp:positionV relativeFrom="paragraph">
              <wp:posOffset>500380</wp:posOffset>
            </wp:positionV>
            <wp:extent cx="8890" cy="825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3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1188720</wp:posOffset>
            </wp:positionH>
            <wp:positionV relativeFrom="paragraph">
              <wp:posOffset>500380</wp:posOffset>
            </wp:positionV>
            <wp:extent cx="8890" cy="825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1205865</wp:posOffset>
            </wp:positionH>
            <wp:positionV relativeFrom="paragraph">
              <wp:posOffset>500380</wp:posOffset>
            </wp:positionV>
            <wp:extent cx="8890" cy="825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1223010</wp:posOffset>
            </wp:positionH>
            <wp:positionV relativeFrom="paragraph">
              <wp:posOffset>500380</wp:posOffset>
            </wp:positionV>
            <wp:extent cx="8890" cy="825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4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1240155</wp:posOffset>
            </wp:positionH>
            <wp:positionV relativeFrom="paragraph">
              <wp:posOffset>500380</wp:posOffset>
            </wp:positionV>
            <wp:extent cx="8890" cy="825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1257300</wp:posOffset>
            </wp:positionH>
            <wp:positionV relativeFrom="paragraph">
              <wp:posOffset>500380</wp:posOffset>
            </wp:positionV>
            <wp:extent cx="8890" cy="825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1274445</wp:posOffset>
            </wp:positionH>
            <wp:positionV relativeFrom="paragraph">
              <wp:posOffset>500380</wp:posOffset>
            </wp:positionV>
            <wp:extent cx="8890" cy="825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4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1291590</wp:posOffset>
            </wp:positionH>
            <wp:positionV relativeFrom="paragraph">
              <wp:posOffset>500380</wp:posOffset>
            </wp:positionV>
            <wp:extent cx="8890" cy="825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4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1308735</wp:posOffset>
            </wp:positionH>
            <wp:positionV relativeFrom="paragraph">
              <wp:posOffset>500380</wp:posOffset>
            </wp:positionV>
            <wp:extent cx="8890" cy="825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4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1325880</wp:posOffset>
            </wp:positionH>
            <wp:positionV relativeFrom="paragraph">
              <wp:posOffset>500380</wp:posOffset>
            </wp:positionV>
            <wp:extent cx="8890"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1343025</wp:posOffset>
            </wp:positionH>
            <wp:positionV relativeFrom="paragraph">
              <wp:posOffset>500380</wp:posOffset>
            </wp:positionV>
            <wp:extent cx="8890" cy="825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4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1360170</wp:posOffset>
            </wp:positionH>
            <wp:positionV relativeFrom="paragraph">
              <wp:posOffset>500380</wp:posOffset>
            </wp:positionV>
            <wp:extent cx="8890" cy="825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4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1377315</wp:posOffset>
            </wp:positionH>
            <wp:positionV relativeFrom="paragraph">
              <wp:posOffset>500380</wp:posOffset>
            </wp:positionV>
            <wp:extent cx="8890" cy="825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1394460</wp:posOffset>
            </wp:positionH>
            <wp:positionV relativeFrom="paragraph">
              <wp:posOffset>500380</wp:posOffset>
            </wp:positionV>
            <wp:extent cx="8890" cy="825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1411605</wp:posOffset>
            </wp:positionH>
            <wp:positionV relativeFrom="paragraph">
              <wp:posOffset>500380</wp:posOffset>
            </wp:positionV>
            <wp:extent cx="8890" cy="825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1428750</wp:posOffset>
            </wp:positionH>
            <wp:positionV relativeFrom="paragraph">
              <wp:posOffset>500380</wp:posOffset>
            </wp:positionV>
            <wp:extent cx="8890" cy="825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5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1445895</wp:posOffset>
            </wp:positionH>
            <wp:positionV relativeFrom="paragraph">
              <wp:posOffset>500380</wp:posOffset>
            </wp:positionV>
            <wp:extent cx="889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5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1463040</wp:posOffset>
            </wp:positionH>
            <wp:positionV relativeFrom="paragraph">
              <wp:posOffset>500380</wp:posOffset>
            </wp:positionV>
            <wp:extent cx="8890" cy="825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5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1480185</wp:posOffset>
            </wp:positionH>
            <wp:positionV relativeFrom="paragraph">
              <wp:posOffset>500380</wp:posOffset>
            </wp:positionV>
            <wp:extent cx="8890" cy="825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5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1497330</wp:posOffset>
            </wp:positionH>
            <wp:positionV relativeFrom="paragraph">
              <wp:posOffset>500380</wp:posOffset>
            </wp:positionV>
            <wp:extent cx="8890" cy="825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5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1514475</wp:posOffset>
            </wp:positionH>
            <wp:positionV relativeFrom="paragraph">
              <wp:posOffset>500380</wp:posOffset>
            </wp:positionV>
            <wp:extent cx="8890" cy="825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5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1531620</wp:posOffset>
            </wp:positionH>
            <wp:positionV relativeFrom="paragraph">
              <wp:posOffset>500380</wp:posOffset>
            </wp:positionV>
            <wp:extent cx="8890" cy="825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1548765</wp:posOffset>
            </wp:positionH>
            <wp:positionV relativeFrom="paragraph">
              <wp:posOffset>500380</wp:posOffset>
            </wp:positionV>
            <wp:extent cx="8890" cy="825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1565910</wp:posOffset>
            </wp:positionH>
            <wp:positionV relativeFrom="paragraph">
              <wp:posOffset>500380</wp:posOffset>
            </wp:positionV>
            <wp:extent cx="8890" cy="825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1583055</wp:posOffset>
            </wp:positionH>
            <wp:positionV relativeFrom="paragraph">
              <wp:posOffset>500380</wp:posOffset>
            </wp:positionV>
            <wp:extent cx="8890" cy="825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6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1600200</wp:posOffset>
            </wp:positionH>
            <wp:positionV relativeFrom="paragraph">
              <wp:posOffset>500380</wp:posOffset>
            </wp:positionV>
            <wp:extent cx="8890" cy="825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1617345</wp:posOffset>
            </wp:positionH>
            <wp:positionV relativeFrom="paragraph">
              <wp:posOffset>500380</wp:posOffset>
            </wp:positionV>
            <wp:extent cx="8890" cy="825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1634490</wp:posOffset>
            </wp:positionH>
            <wp:positionV relativeFrom="paragraph">
              <wp:posOffset>500380</wp:posOffset>
            </wp:positionV>
            <wp:extent cx="8890" cy="825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6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1651635</wp:posOffset>
            </wp:positionH>
            <wp:positionV relativeFrom="paragraph">
              <wp:posOffset>500380</wp:posOffset>
            </wp:positionV>
            <wp:extent cx="8890" cy="825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1668780</wp:posOffset>
            </wp:positionH>
            <wp:positionV relativeFrom="paragraph">
              <wp:posOffset>500380</wp:posOffset>
            </wp:positionV>
            <wp:extent cx="8890" cy="825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6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1685925</wp:posOffset>
            </wp:positionH>
            <wp:positionV relativeFrom="paragraph">
              <wp:posOffset>500380</wp:posOffset>
            </wp:positionV>
            <wp:extent cx="8890" cy="825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6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1703070</wp:posOffset>
            </wp:positionH>
            <wp:positionV relativeFrom="paragraph">
              <wp:posOffset>500380</wp:posOffset>
            </wp:positionV>
            <wp:extent cx="8890" cy="825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1720215</wp:posOffset>
            </wp:positionH>
            <wp:positionV relativeFrom="paragraph">
              <wp:posOffset>500380</wp:posOffset>
            </wp:positionV>
            <wp:extent cx="8890" cy="825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1737360</wp:posOffset>
            </wp:positionH>
            <wp:positionV relativeFrom="paragraph">
              <wp:posOffset>500380</wp:posOffset>
            </wp:positionV>
            <wp:extent cx="8890"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1754505</wp:posOffset>
            </wp:positionH>
            <wp:positionV relativeFrom="paragraph">
              <wp:posOffset>500380</wp:posOffset>
            </wp:positionV>
            <wp:extent cx="8890" cy="825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1771650</wp:posOffset>
            </wp:positionH>
            <wp:positionV relativeFrom="paragraph">
              <wp:posOffset>500380</wp:posOffset>
            </wp:positionV>
            <wp:extent cx="8890" cy="825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7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1788795</wp:posOffset>
            </wp:positionH>
            <wp:positionV relativeFrom="paragraph">
              <wp:posOffset>500380</wp:posOffset>
            </wp:positionV>
            <wp:extent cx="8890" cy="825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500380</wp:posOffset>
            </wp:positionV>
            <wp:extent cx="8890" cy="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7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1823085</wp:posOffset>
            </wp:positionH>
            <wp:positionV relativeFrom="paragraph">
              <wp:posOffset>500380</wp:posOffset>
            </wp:positionV>
            <wp:extent cx="8890" cy="825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1840230</wp:posOffset>
            </wp:positionH>
            <wp:positionV relativeFrom="paragraph">
              <wp:posOffset>500380</wp:posOffset>
            </wp:positionV>
            <wp:extent cx="8890" cy="825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1857375</wp:posOffset>
            </wp:positionH>
            <wp:positionV relativeFrom="paragraph">
              <wp:posOffset>500380</wp:posOffset>
            </wp:positionV>
            <wp:extent cx="8890" cy="825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7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1874520</wp:posOffset>
            </wp:positionH>
            <wp:positionV relativeFrom="paragraph">
              <wp:posOffset>500380</wp:posOffset>
            </wp:positionV>
            <wp:extent cx="8890" cy="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1891665</wp:posOffset>
            </wp:positionH>
            <wp:positionV relativeFrom="paragraph">
              <wp:posOffset>500380</wp:posOffset>
            </wp:positionV>
            <wp:extent cx="8890" cy="825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1908810</wp:posOffset>
            </wp:positionH>
            <wp:positionV relativeFrom="paragraph">
              <wp:posOffset>500380</wp:posOffset>
            </wp:positionV>
            <wp:extent cx="8890" cy="825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1925955</wp:posOffset>
            </wp:positionH>
            <wp:positionV relativeFrom="paragraph">
              <wp:posOffset>500380</wp:posOffset>
            </wp:positionV>
            <wp:extent cx="8890" cy="825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8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1943100</wp:posOffset>
            </wp:positionH>
            <wp:positionV relativeFrom="paragraph">
              <wp:posOffset>500380</wp:posOffset>
            </wp:positionV>
            <wp:extent cx="8890" cy="825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8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1960245</wp:posOffset>
            </wp:positionH>
            <wp:positionV relativeFrom="paragraph">
              <wp:posOffset>500380</wp:posOffset>
            </wp:positionV>
            <wp:extent cx="8890" cy="825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8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1977390</wp:posOffset>
            </wp:positionH>
            <wp:positionV relativeFrom="paragraph">
              <wp:posOffset>500380</wp:posOffset>
            </wp:positionV>
            <wp:extent cx="8890" cy="825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8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1994535</wp:posOffset>
            </wp:positionH>
            <wp:positionV relativeFrom="paragraph">
              <wp:posOffset>500380</wp:posOffset>
            </wp:positionV>
            <wp:extent cx="8890" cy="825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2011680</wp:posOffset>
            </wp:positionH>
            <wp:positionV relativeFrom="paragraph">
              <wp:posOffset>500380</wp:posOffset>
            </wp:positionV>
            <wp:extent cx="889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2028825</wp:posOffset>
            </wp:positionH>
            <wp:positionV relativeFrom="paragraph">
              <wp:posOffset>500380</wp:posOffset>
            </wp:positionV>
            <wp:extent cx="8890" cy="825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8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2045970</wp:posOffset>
            </wp:positionH>
            <wp:positionV relativeFrom="paragraph">
              <wp:posOffset>500380</wp:posOffset>
            </wp:positionV>
            <wp:extent cx="8890" cy="825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2063115</wp:posOffset>
            </wp:positionH>
            <wp:positionV relativeFrom="paragraph">
              <wp:posOffset>500380</wp:posOffset>
            </wp:positionV>
            <wp:extent cx="8890" cy="825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2080260</wp:posOffset>
            </wp:positionH>
            <wp:positionV relativeFrom="paragraph">
              <wp:posOffset>500380</wp:posOffset>
            </wp:positionV>
            <wp:extent cx="8890" cy="825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2097405</wp:posOffset>
            </wp:positionH>
            <wp:positionV relativeFrom="paragraph">
              <wp:posOffset>500380</wp:posOffset>
            </wp:positionV>
            <wp:extent cx="8890" cy="825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2114550</wp:posOffset>
            </wp:positionH>
            <wp:positionV relativeFrom="paragraph">
              <wp:posOffset>500380</wp:posOffset>
            </wp:positionV>
            <wp:extent cx="8890" cy="825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9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2131695</wp:posOffset>
            </wp:positionH>
            <wp:positionV relativeFrom="paragraph">
              <wp:posOffset>500380</wp:posOffset>
            </wp:positionV>
            <wp:extent cx="8890" cy="825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2148840</wp:posOffset>
            </wp:positionH>
            <wp:positionV relativeFrom="paragraph">
              <wp:posOffset>500380</wp:posOffset>
            </wp:positionV>
            <wp:extent cx="8890" cy="825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9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2165985</wp:posOffset>
            </wp:positionH>
            <wp:positionV relativeFrom="paragraph">
              <wp:posOffset>500380</wp:posOffset>
            </wp:positionV>
            <wp:extent cx="8890" cy="825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500380</wp:posOffset>
            </wp:positionV>
            <wp:extent cx="8890" cy="88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517525</wp:posOffset>
            </wp:positionV>
            <wp:extent cx="8890" cy="88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8">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Certified Public Accountants (lsr.)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-1448435</wp:posOffset>
            </wp:positionH>
            <wp:positionV relativeFrom="paragraph">
              <wp:posOffset>363220</wp:posOffset>
            </wp:positionV>
            <wp:extent cx="8890"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-1431290</wp:posOffset>
            </wp:positionH>
            <wp:positionV relativeFrom="paragraph">
              <wp:posOffset>363220</wp:posOffset>
            </wp:positionV>
            <wp:extent cx="8890" cy="825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0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-1414145</wp:posOffset>
            </wp:positionH>
            <wp:positionV relativeFrom="paragraph">
              <wp:posOffset>363220</wp:posOffset>
            </wp:positionV>
            <wp:extent cx="8890" cy="825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-1397000</wp:posOffset>
            </wp:positionH>
            <wp:positionV relativeFrom="paragraph">
              <wp:posOffset>363220</wp:posOffset>
            </wp:positionV>
            <wp:extent cx="8890" cy="825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-1379855</wp:posOffset>
            </wp:positionH>
            <wp:positionV relativeFrom="paragraph">
              <wp:posOffset>363220</wp:posOffset>
            </wp:positionV>
            <wp:extent cx="8890" cy="825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-1362710</wp:posOffset>
            </wp:positionH>
            <wp:positionV relativeFrom="paragraph">
              <wp:posOffset>363220</wp:posOffset>
            </wp:positionV>
            <wp:extent cx="8890" cy="825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0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-1345565</wp:posOffset>
            </wp:positionH>
            <wp:positionV relativeFrom="paragraph">
              <wp:posOffset>363220</wp:posOffset>
            </wp:positionV>
            <wp:extent cx="8890" cy="825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-1328420</wp:posOffset>
            </wp:positionH>
            <wp:positionV relativeFrom="paragraph">
              <wp:posOffset>363220</wp:posOffset>
            </wp:positionV>
            <wp:extent cx="8890" cy="825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0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-1311275</wp:posOffset>
            </wp:positionH>
            <wp:positionV relativeFrom="paragraph">
              <wp:posOffset>363220</wp:posOffset>
            </wp:positionV>
            <wp:extent cx="8890" cy="825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0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-1294130</wp:posOffset>
            </wp:positionH>
            <wp:positionV relativeFrom="paragraph">
              <wp:posOffset>363220</wp:posOffset>
            </wp:positionV>
            <wp:extent cx="8890" cy="825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0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-1276985</wp:posOffset>
            </wp:positionH>
            <wp:positionV relativeFrom="paragraph">
              <wp:posOffset>363220</wp:posOffset>
            </wp:positionV>
            <wp:extent cx="8890" cy="825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-1259840</wp:posOffset>
            </wp:positionH>
            <wp:positionV relativeFrom="paragraph">
              <wp:posOffset>363220</wp:posOffset>
            </wp:positionV>
            <wp:extent cx="8890" cy="825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1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-1242695</wp:posOffset>
            </wp:positionH>
            <wp:positionV relativeFrom="paragraph">
              <wp:posOffset>363220</wp:posOffset>
            </wp:positionV>
            <wp:extent cx="8890" cy="825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1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-1224915</wp:posOffset>
            </wp:positionH>
            <wp:positionV relativeFrom="paragraph">
              <wp:posOffset>363220</wp:posOffset>
            </wp:positionV>
            <wp:extent cx="8890" cy="825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1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-1207770</wp:posOffset>
            </wp:positionH>
            <wp:positionV relativeFrom="paragraph">
              <wp:posOffset>363220</wp:posOffset>
            </wp:positionV>
            <wp:extent cx="8890" cy="825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1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-1190625</wp:posOffset>
            </wp:positionH>
            <wp:positionV relativeFrom="paragraph">
              <wp:posOffset>363220</wp:posOffset>
            </wp:positionV>
            <wp:extent cx="8890" cy="825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1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-1173480</wp:posOffset>
            </wp:positionH>
            <wp:positionV relativeFrom="paragraph">
              <wp:posOffset>363220</wp:posOffset>
            </wp:positionV>
            <wp:extent cx="8890" cy="825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1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-1156335</wp:posOffset>
            </wp:positionH>
            <wp:positionV relativeFrom="paragraph">
              <wp:posOffset>363220</wp:posOffset>
            </wp:positionV>
            <wp:extent cx="8890" cy="825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1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-1139190</wp:posOffset>
            </wp:positionH>
            <wp:positionV relativeFrom="paragraph">
              <wp:posOffset>363220</wp:posOffset>
            </wp:positionV>
            <wp:extent cx="8890" cy="825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1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-1122045</wp:posOffset>
            </wp:positionH>
            <wp:positionV relativeFrom="paragraph">
              <wp:posOffset>363220</wp:posOffset>
            </wp:positionV>
            <wp:extent cx="8890" cy="825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1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-1104900</wp:posOffset>
            </wp:positionH>
            <wp:positionV relativeFrom="paragraph">
              <wp:posOffset>363220</wp:posOffset>
            </wp:positionV>
            <wp:extent cx="8890" cy="8255"/>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-1087755</wp:posOffset>
            </wp:positionH>
            <wp:positionV relativeFrom="paragraph">
              <wp:posOffset>363220</wp:posOffset>
            </wp:positionV>
            <wp:extent cx="8890" cy="825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2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-1070610</wp:posOffset>
            </wp:positionH>
            <wp:positionV relativeFrom="paragraph">
              <wp:posOffset>363220</wp:posOffset>
            </wp:positionV>
            <wp:extent cx="8890" cy="8255"/>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2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-1053465</wp:posOffset>
            </wp:positionH>
            <wp:positionV relativeFrom="paragraph">
              <wp:posOffset>363220</wp:posOffset>
            </wp:positionV>
            <wp:extent cx="8890" cy="825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2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-1036320</wp:posOffset>
            </wp:positionH>
            <wp:positionV relativeFrom="paragraph">
              <wp:posOffset>363220</wp:posOffset>
            </wp:positionV>
            <wp:extent cx="8890" cy="825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2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-1019175</wp:posOffset>
            </wp:positionH>
            <wp:positionV relativeFrom="paragraph">
              <wp:posOffset>363220</wp:posOffset>
            </wp:positionV>
            <wp:extent cx="8890" cy="825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2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-1002030</wp:posOffset>
            </wp:positionH>
            <wp:positionV relativeFrom="paragraph">
              <wp:posOffset>363220</wp:posOffset>
            </wp:positionV>
            <wp:extent cx="8890" cy="825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2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-984885</wp:posOffset>
            </wp:positionH>
            <wp:positionV relativeFrom="paragraph">
              <wp:posOffset>363220</wp:posOffset>
            </wp:positionV>
            <wp:extent cx="8890" cy="825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2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-967740</wp:posOffset>
            </wp:positionH>
            <wp:positionV relativeFrom="paragraph">
              <wp:posOffset>363220</wp:posOffset>
            </wp:positionV>
            <wp:extent cx="8890" cy="825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2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-950595</wp:posOffset>
            </wp:positionH>
            <wp:positionV relativeFrom="paragraph">
              <wp:posOffset>363220</wp:posOffset>
            </wp:positionV>
            <wp:extent cx="8890" cy="825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-933450</wp:posOffset>
            </wp:positionH>
            <wp:positionV relativeFrom="paragraph">
              <wp:posOffset>363220</wp:posOffset>
            </wp:positionV>
            <wp:extent cx="8890" cy="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-916305</wp:posOffset>
            </wp:positionH>
            <wp:positionV relativeFrom="paragraph">
              <wp:posOffset>363220</wp:posOffset>
            </wp:positionV>
            <wp:extent cx="8890" cy="825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3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363220</wp:posOffset>
            </wp:positionV>
            <wp:extent cx="8890" cy="825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3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-882015</wp:posOffset>
            </wp:positionH>
            <wp:positionV relativeFrom="paragraph">
              <wp:posOffset>363220</wp:posOffset>
            </wp:positionV>
            <wp:extent cx="8890" cy="825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3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-864870</wp:posOffset>
            </wp:positionH>
            <wp:positionV relativeFrom="paragraph">
              <wp:posOffset>363220</wp:posOffset>
            </wp:positionV>
            <wp:extent cx="8890" cy="825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3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-847725</wp:posOffset>
            </wp:positionH>
            <wp:positionV relativeFrom="paragraph">
              <wp:posOffset>363220</wp:posOffset>
            </wp:positionV>
            <wp:extent cx="8890" cy="825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-830580</wp:posOffset>
            </wp:positionH>
            <wp:positionV relativeFrom="paragraph">
              <wp:posOffset>363220</wp:posOffset>
            </wp:positionV>
            <wp:extent cx="8890" cy="825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3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-813435</wp:posOffset>
            </wp:positionH>
            <wp:positionV relativeFrom="paragraph">
              <wp:posOffset>363220</wp:posOffset>
            </wp:positionV>
            <wp:extent cx="8890" cy="825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3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-796290</wp:posOffset>
            </wp:positionH>
            <wp:positionV relativeFrom="paragraph">
              <wp:posOffset>363220</wp:posOffset>
            </wp:positionV>
            <wp:extent cx="8890" cy="825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-779145</wp:posOffset>
            </wp:positionH>
            <wp:positionV relativeFrom="paragraph">
              <wp:posOffset>363220</wp:posOffset>
            </wp:positionV>
            <wp:extent cx="8890" cy="8255"/>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-762000</wp:posOffset>
            </wp:positionH>
            <wp:positionV relativeFrom="paragraph">
              <wp:posOffset>363220</wp:posOffset>
            </wp:positionV>
            <wp:extent cx="8890" cy="825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-744855</wp:posOffset>
            </wp:positionH>
            <wp:positionV relativeFrom="paragraph">
              <wp:posOffset>363220</wp:posOffset>
            </wp:positionV>
            <wp:extent cx="8890" cy="8255"/>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4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-727710</wp:posOffset>
            </wp:positionH>
            <wp:positionV relativeFrom="paragraph">
              <wp:posOffset>363220</wp:posOffset>
            </wp:positionV>
            <wp:extent cx="8890" cy="8255"/>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4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-710565</wp:posOffset>
            </wp:positionH>
            <wp:positionV relativeFrom="paragraph">
              <wp:posOffset>363220</wp:posOffset>
            </wp:positionV>
            <wp:extent cx="8890" cy="8255"/>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4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-693420</wp:posOffset>
            </wp:positionH>
            <wp:positionV relativeFrom="paragraph">
              <wp:posOffset>363220</wp:posOffset>
            </wp:positionV>
            <wp:extent cx="8890" cy="8255"/>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4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-676275</wp:posOffset>
            </wp:positionH>
            <wp:positionV relativeFrom="paragraph">
              <wp:posOffset>363220</wp:posOffset>
            </wp:positionV>
            <wp:extent cx="8890" cy="8255"/>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4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-659130</wp:posOffset>
            </wp:positionH>
            <wp:positionV relativeFrom="paragraph">
              <wp:posOffset>363220</wp:posOffset>
            </wp:positionV>
            <wp:extent cx="8890" cy="8255"/>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-641985</wp:posOffset>
            </wp:positionH>
            <wp:positionV relativeFrom="paragraph">
              <wp:posOffset>363220</wp:posOffset>
            </wp:positionV>
            <wp:extent cx="8890" cy="8255"/>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4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-624840</wp:posOffset>
            </wp:positionH>
            <wp:positionV relativeFrom="paragraph">
              <wp:posOffset>363220</wp:posOffset>
            </wp:positionV>
            <wp:extent cx="8890" cy="8255"/>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4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-607695</wp:posOffset>
            </wp:positionH>
            <wp:positionV relativeFrom="paragraph">
              <wp:posOffset>363220</wp:posOffset>
            </wp:positionV>
            <wp:extent cx="8890" cy="8255"/>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-590550</wp:posOffset>
            </wp:positionH>
            <wp:positionV relativeFrom="paragraph">
              <wp:posOffset>363220</wp:posOffset>
            </wp:positionV>
            <wp:extent cx="8890" cy="8255"/>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-573405</wp:posOffset>
            </wp:positionH>
            <wp:positionV relativeFrom="paragraph">
              <wp:posOffset>363220</wp:posOffset>
            </wp:positionV>
            <wp:extent cx="8890" cy="8255"/>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5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-556260</wp:posOffset>
            </wp:positionH>
            <wp:positionV relativeFrom="paragraph">
              <wp:posOffset>363220</wp:posOffset>
            </wp:positionV>
            <wp:extent cx="8890" cy="8255"/>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5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-539115</wp:posOffset>
            </wp:positionH>
            <wp:positionV relativeFrom="paragraph">
              <wp:posOffset>363220</wp:posOffset>
            </wp:positionV>
            <wp:extent cx="8890" cy="825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5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-521970</wp:posOffset>
            </wp:positionH>
            <wp:positionV relativeFrom="paragraph">
              <wp:posOffset>363220</wp:posOffset>
            </wp:positionV>
            <wp:extent cx="8890" cy="8255"/>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5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-504825</wp:posOffset>
            </wp:positionH>
            <wp:positionV relativeFrom="paragraph">
              <wp:posOffset>363220</wp:posOffset>
            </wp:positionV>
            <wp:extent cx="8890" cy="825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5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-487680</wp:posOffset>
            </wp:positionH>
            <wp:positionV relativeFrom="paragraph">
              <wp:posOffset>363220</wp:posOffset>
            </wp:positionV>
            <wp:extent cx="8890" cy="825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5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-470535</wp:posOffset>
            </wp:positionH>
            <wp:positionV relativeFrom="paragraph">
              <wp:posOffset>363220</wp:posOffset>
            </wp:positionV>
            <wp:extent cx="8890" cy="8255"/>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5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-453390</wp:posOffset>
            </wp:positionH>
            <wp:positionV relativeFrom="paragraph">
              <wp:posOffset>363220</wp:posOffset>
            </wp:positionV>
            <wp:extent cx="8890" cy="8255"/>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-436245</wp:posOffset>
            </wp:positionH>
            <wp:positionV relativeFrom="paragraph">
              <wp:posOffset>363220</wp:posOffset>
            </wp:positionV>
            <wp:extent cx="8890" cy="8255"/>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-419100</wp:posOffset>
            </wp:positionH>
            <wp:positionV relativeFrom="paragraph">
              <wp:posOffset>363220</wp:posOffset>
            </wp:positionV>
            <wp:extent cx="8890" cy="8255"/>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-401955</wp:posOffset>
            </wp:positionH>
            <wp:positionV relativeFrom="paragraph">
              <wp:posOffset>363220</wp:posOffset>
            </wp:positionV>
            <wp:extent cx="8890" cy="8255"/>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6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-384810</wp:posOffset>
            </wp:positionH>
            <wp:positionV relativeFrom="paragraph">
              <wp:posOffset>363220</wp:posOffset>
            </wp:positionV>
            <wp:extent cx="8890" cy="8255"/>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6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-367665</wp:posOffset>
            </wp:positionH>
            <wp:positionV relativeFrom="paragraph">
              <wp:posOffset>363220</wp:posOffset>
            </wp:positionV>
            <wp:extent cx="8890" cy="8255"/>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6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-350520</wp:posOffset>
            </wp:positionH>
            <wp:positionV relativeFrom="paragraph">
              <wp:posOffset>363220</wp:posOffset>
            </wp:positionV>
            <wp:extent cx="8890" cy="8255"/>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6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-333375</wp:posOffset>
            </wp:positionH>
            <wp:positionV relativeFrom="paragraph">
              <wp:posOffset>363220</wp:posOffset>
            </wp:positionV>
            <wp:extent cx="8890" cy="8255"/>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6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-316230</wp:posOffset>
            </wp:positionH>
            <wp:positionV relativeFrom="paragraph">
              <wp:posOffset>363220</wp:posOffset>
            </wp:positionV>
            <wp:extent cx="8890" cy="825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6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-299085</wp:posOffset>
            </wp:positionH>
            <wp:positionV relativeFrom="paragraph">
              <wp:posOffset>363220</wp:posOffset>
            </wp:positionV>
            <wp:extent cx="8890" cy="8255"/>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-281940</wp:posOffset>
            </wp:positionH>
            <wp:positionV relativeFrom="paragraph">
              <wp:posOffset>363220</wp:posOffset>
            </wp:positionV>
            <wp:extent cx="8890" cy="8255"/>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-264795</wp:posOffset>
            </wp:positionH>
            <wp:positionV relativeFrom="paragraph">
              <wp:posOffset>363220</wp:posOffset>
            </wp:positionV>
            <wp:extent cx="8890" cy="825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-247650</wp:posOffset>
            </wp:positionH>
            <wp:positionV relativeFrom="paragraph">
              <wp:posOffset>363220</wp:posOffset>
            </wp:positionV>
            <wp:extent cx="8890" cy="8255"/>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-230505</wp:posOffset>
            </wp:positionH>
            <wp:positionV relativeFrom="paragraph">
              <wp:posOffset>363220</wp:posOffset>
            </wp:positionV>
            <wp:extent cx="8890" cy="8255"/>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7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-213360</wp:posOffset>
            </wp:positionH>
            <wp:positionV relativeFrom="paragraph">
              <wp:posOffset>363220</wp:posOffset>
            </wp:positionV>
            <wp:extent cx="8890" cy="8255"/>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7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-196215</wp:posOffset>
            </wp:positionH>
            <wp:positionV relativeFrom="paragraph">
              <wp:posOffset>363220</wp:posOffset>
            </wp:positionV>
            <wp:extent cx="8890" cy="8255"/>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7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-179070</wp:posOffset>
            </wp:positionH>
            <wp:positionV relativeFrom="paragraph">
              <wp:posOffset>363220</wp:posOffset>
            </wp:positionV>
            <wp:extent cx="8890" cy="825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7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-161925</wp:posOffset>
            </wp:positionH>
            <wp:positionV relativeFrom="paragraph">
              <wp:posOffset>363220</wp:posOffset>
            </wp:positionV>
            <wp:extent cx="8890" cy="825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7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-144780</wp:posOffset>
            </wp:positionH>
            <wp:positionV relativeFrom="paragraph">
              <wp:posOffset>363220</wp:posOffset>
            </wp:positionV>
            <wp:extent cx="8890" cy="825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7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-127635</wp:posOffset>
            </wp:positionH>
            <wp:positionV relativeFrom="paragraph">
              <wp:posOffset>363220</wp:posOffset>
            </wp:positionV>
            <wp:extent cx="8890" cy="825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7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-110490</wp:posOffset>
            </wp:positionH>
            <wp:positionV relativeFrom="paragraph">
              <wp:posOffset>363220</wp:posOffset>
            </wp:positionV>
            <wp:extent cx="8890" cy="825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-93345</wp:posOffset>
            </wp:positionH>
            <wp:positionV relativeFrom="paragraph">
              <wp:posOffset>363220</wp:posOffset>
            </wp:positionV>
            <wp:extent cx="8890" cy="8255"/>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-76200</wp:posOffset>
            </wp:positionH>
            <wp:positionV relativeFrom="paragraph">
              <wp:posOffset>363220</wp:posOffset>
            </wp:positionV>
            <wp:extent cx="8890" cy="825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-59055</wp:posOffset>
            </wp:positionH>
            <wp:positionV relativeFrom="paragraph">
              <wp:posOffset>363220</wp:posOffset>
            </wp:positionV>
            <wp:extent cx="8890" cy="8255"/>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8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-41910</wp:posOffset>
            </wp:positionH>
            <wp:positionV relativeFrom="paragraph">
              <wp:posOffset>363220</wp:posOffset>
            </wp:positionV>
            <wp:extent cx="8890" cy="8255"/>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8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-24765</wp:posOffset>
            </wp:positionH>
            <wp:positionV relativeFrom="paragraph">
              <wp:posOffset>363220</wp:posOffset>
            </wp:positionV>
            <wp:extent cx="8890" cy="825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8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363220</wp:posOffset>
            </wp:positionV>
            <wp:extent cx="8890" cy="825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8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363220</wp:posOffset>
            </wp:positionV>
            <wp:extent cx="8890" cy="825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8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26035</wp:posOffset>
            </wp:positionH>
            <wp:positionV relativeFrom="paragraph">
              <wp:posOffset>363220</wp:posOffset>
            </wp:positionV>
            <wp:extent cx="8890" cy="825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8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43180</wp:posOffset>
            </wp:positionH>
            <wp:positionV relativeFrom="paragraph">
              <wp:posOffset>363220</wp:posOffset>
            </wp:positionV>
            <wp:extent cx="8890" cy="8255"/>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60325</wp:posOffset>
            </wp:positionH>
            <wp:positionV relativeFrom="paragraph">
              <wp:posOffset>363220</wp:posOffset>
            </wp:positionV>
            <wp:extent cx="8890" cy="8255"/>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77470</wp:posOffset>
            </wp:positionH>
            <wp:positionV relativeFrom="paragraph">
              <wp:posOffset>363220</wp:posOffset>
            </wp:positionV>
            <wp:extent cx="8890" cy="825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94615</wp:posOffset>
            </wp:positionH>
            <wp:positionV relativeFrom="paragraph">
              <wp:posOffset>363220</wp:posOffset>
            </wp:positionV>
            <wp:extent cx="8890" cy="8255"/>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111760</wp:posOffset>
            </wp:positionH>
            <wp:positionV relativeFrom="paragraph">
              <wp:posOffset>363220</wp:posOffset>
            </wp:positionV>
            <wp:extent cx="8890" cy="825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9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128905</wp:posOffset>
            </wp:positionH>
            <wp:positionV relativeFrom="paragraph">
              <wp:posOffset>363220</wp:posOffset>
            </wp:positionV>
            <wp:extent cx="8890" cy="8255"/>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9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146050</wp:posOffset>
            </wp:positionH>
            <wp:positionV relativeFrom="paragraph">
              <wp:posOffset>363220</wp:posOffset>
            </wp:positionV>
            <wp:extent cx="8890" cy="825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163195</wp:posOffset>
            </wp:positionH>
            <wp:positionV relativeFrom="paragraph">
              <wp:posOffset>363220</wp:posOffset>
            </wp:positionV>
            <wp:extent cx="8890" cy="8255"/>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180340</wp:posOffset>
            </wp:positionH>
            <wp:positionV relativeFrom="paragraph">
              <wp:posOffset>363220</wp:posOffset>
            </wp:positionV>
            <wp:extent cx="8890" cy="8255"/>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197485</wp:posOffset>
            </wp:positionH>
            <wp:positionV relativeFrom="paragraph">
              <wp:posOffset>363220</wp:posOffset>
            </wp:positionV>
            <wp:extent cx="8890" cy="8255"/>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9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214630</wp:posOffset>
            </wp:positionH>
            <wp:positionV relativeFrom="paragraph">
              <wp:posOffset>363220</wp:posOffset>
            </wp:positionV>
            <wp:extent cx="8890" cy="8255"/>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9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231775</wp:posOffset>
            </wp:positionH>
            <wp:positionV relativeFrom="paragraph">
              <wp:posOffset>363220</wp:posOffset>
            </wp:positionV>
            <wp:extent cx="8890" cy="8255"/>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9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248920</wp:posOffset>
            </wp:positionH>
            <wp:positionV relativeFrom="paragraph">
              <wp:posOffset>363220</wp:posOffset>
            </wp:positionV>
            <wp:extent cx="8890" cy="8255"/>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9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266065</wp:posOffset>
            </wp:positionH>
            <wp:positionV relativeFrom="paragraph">
              <wp:posOffset>363220</wp:posOffset>
            </wp:positionV>
            <wp:extent cx="8890" cy="825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9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363220</wp:posOffset>
            </wp:positionV>
            <wp:extent cx="8890" cy="825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0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300355</wp:posOffset>
            </wp:positionH>
            <wp:positionV relativeFrom="paragraph">
              <wp:posOffset>363220</wp:posOffset>
            </wp:positionV>
            <wp:extent cx="8890" cy="8255"/>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0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317500</wp:posOffset>
            </wp:positionH>
            <wp:positionV relativeFrom="paragraph">
              <wp:posOffset>363220</wp:posOffset>
            </wp:positionV>
            <wp:extent cx="8890" cy="825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0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334645</wp:posOffset>
            </wp:positionH>
            <wp:positionV relativeFrom="paragraph">
              <wp:posOffset>363220</wp:posOffset>
            </wp:positionV>
            <wp:extent cx="8890" cy="8255"/>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50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351790</wp:posOffset>
            </wp:positionH>
            <wp:positionV relativeFrom="paragraph">
              <wp:posOffset>363220</wp:posOffset>
            </wp:positionV>
            <wp:extent cx="8890" cy="8255"/>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0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368935</wp:posOffset>
            </wp:positionH>
            <wp:positionV relativeFrom="paragraph">
              <wp:posOffset>363220</wp:posOffset>
            </wp:positionV>
            <wp:extent cx="8890" cy="8255"/>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0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386080</wp:posOffset>
            </wp:positionH>
            <wp:positionV relativeFrom="paragraph">
              <wp:posOffset>363220</wp:posOffset>
            </wp:positionV>
            <wp:extent cx="8890" cy="8255"/>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0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403225</wp:posOffset>
            </wp:positionH>
            <wp:positionV relativeFrom="paragraph">
              <wp:posOffset>363220</wp:posOffset>
            </wp:positionV>
            <wp:extent cx="8890" cy="8255"/>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0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421005</wp:posOffset>
            </wp:positionH>
            <wp:positionV relativeFrom="paragraph">
              <wp:posOffset>363220</wp:posOffset>
            </wp:positionV>
            <wp:extent cx="8890" cy="825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50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438150</wp:posOffset>
            </wp:positionH>
            <wp:positionV relativeFrom="paragraph">
              <wp:posOffset>363220</wp:posOffset>
            </wp:positionV>
            <wp:extent cx="8890" cy="8255"/>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0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455295</wp:posOffset>
            </wp:positionH>
            <wp:positionV relativeFrom="paragraph">
              <wp:posOffset>363220</wp:posOffset>
            </wp:positionV>
            <wp:extent cx="8890" cy="8255"/>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51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472440</wp:posOffset>
            </wp:positionH>
            <wp:positionV relativeFrom="paragraph">
              <wp:posOffset>363220</wp:posOffset>
            </wp:positionV>
            <wp:extent cx="8890" cy="8255"/>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1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489585</wp:posOffset>
            </wp:positionH>
            <wp:positionV relativeFrom="paragraph">
              <wp:posOffset>363220</wp:posOffset>
            </wp:positionV>
            <wp:extent cx="8890" cy="8255"/>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1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506730</wp:posOffset>
            </wp:positionH>
            <wp:positionV relativeFrom="paragraph">
              <wp:posOffset>363220</wp:posOffset>
            </wp:positionV>
            <wp:extent cx="8890" cy="8255"/>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1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523875</wp:posOffset>
            </wp:positionH>
            <wp:positionV relativeFrom="paragraph">
              <wp:posOffset>363220</wp:posOffset>
            </wp:positionV>
            <wp:extent cx="8890" cy="8255"/>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1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363220</wp:posOffset>
            </wp:positionV>
            <wp:extent cx="8890" cy="8255"/>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1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558165</wp:posOffset>
            </wp:positionH>
            <wp:positionV relativeFrom="paragraph">
              <wp:posOffset>363220</wp:posOffset>
            </wp:positionV>
            <wp:extent cx="8890" cy="8255"/>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1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575310</wp:posOffset>
            </wp:positionH>
            <wp:positionV relativeFrom="paragraph">
              <wp:posOffset>363220</wp:posOffset>
            </wp:positionV>
            <wp:extent cx="8890" cy="8255"/>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1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592455</wp:posOffset>
            </wp:positionH>
            <wp:positionV relativeFrom="paragraph">
              <wp:posOffset>363220</wp:posOffset>
            </wp:positionV>
            <wp:extent cx="8890" cy="8255"/>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1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609600</wp:posOffset>
            </wp:positionH>
            <wp:positionV relativeFrom="paragraph">
              <wp:posOffset>363220</wp:posOffset>
            </wp:positionV>
            <wp:extent cx="8890" cy="8255"/>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1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626745</wp:posOffset>
            </wp:positionH>
            <wp:positionV relativeFrom="paragraph">
              <wp:posOffset>363220</wp:posOffset>
            </wp:positionV>
            <wp:extent cx="8890" cy="825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2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643890</wp:posOffset>
            </wp:positionH>
            <wp:positionV relativeFrom="paragraph">
              <wp:posOffset>363220</wp:posOffset>
            </wp:positionV>
            <wp:extent cx="8890" cy="8255"/>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2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661035</wp:posOffset>
            </wp:positionH>
            <wp:positionV relativeFrom="paragraph">
              <wp:posOffset>363220</wp:posOffset>
            </wp:positionV>
            <wp:extent cx="8890" cy="8255"/>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2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678180</wp:posOffset>
            </wp:positionH>
            <wp:positionV relativeFrom="paragraph">
              <wp:posOffset>363220</wp:posOffset>
            </wp:positionV>
            <wp:extent cx="8890" cy="8255"/>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2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695325</wp:posOffset>
            </wp:positionH>
            <wp:positionV relativeFrom="paragraph">
              <wp:posOffset>363220</wp:posOffset>
            </wp:positionV>
            <wp:extent cx="8890" cy="8255"/>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2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712470</wp:posOffset>
            </wp:positionH>
            <wp:positionV relativeFrom="paragraph">
              <wp:posOffset>363220</wp:posOffset>
            </wp:positionV>
            <wp:extent cx="8890" cy="8255"/>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2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729615</wp:posOffset>
            </wp:positionH>
            <wp:positionV relativeFrom="paragraph">
              <wp:posOffset>363220</wp:posOffset>
            </wp:positionV>
            <wp:extent cx="8890" cy="8255"/>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2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746760</wp:posOffset>
            </wp:positionH>
            <wp:positionV relativeFrom="paragraph">
              <wp:posOffset>363220</wp:posOffset>
            </wp:positionV>
            <wp:extent cx="8890" cy="8255"/>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2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763905</wp:posOffset>
            </wp:positionH>
            <wp:positionV relativeFrom="paragraph">
              <wp:posOffset>363220</wp:posOffset>
            </wp:positionV>
            <wp:extent cx="8890" cy="8255"/>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2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781050</wp:posOffset>
            </wp:positionH>
            <wp:positionV relativeFrom="paragraph">
              <wp:posOffset>363220</wp:posOffset>
            </wp:positionV>
            <wp:extent cx="8890" cy="8255"/>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2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798195</wp:posOffset>
            </wp:positionH>
            <wp:positionV relativeFrom="paragraph">
              <wp:posOffset>363220</wp:posOffset>
            </wp:positionV>
            <wp:extent cx="8890" cy="8255"/>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3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815340</wp:posOffset>
            </wp:positionH>
            <wp:positionV relativeFrom="paragraph">
              <wp:posOffset>363220</wp:posOffset>
            </wp:positionV>
            <wp:extent cx="8890" cy="8255"/>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3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832485</wp:posOffset>
            </wp:positionH>
            <wp:positionV relativeFrom="paragraph">
              <wp:posOffset>363220</wp:posOffset>
            </wp:positionV>
            <wp:extent cx="8890" cy="8255"/>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3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849630</wp:posOffset>
            </wp:positionH>
            <wp:positionV relativeFrom="paragraph">
              <wp:posOffset>363220</wp:posOffset>
            </wp:positionV>
            <wp:extent cx="8890" cy="8255"/>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3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866775</wp:posOffset>
            </wp:positionH>
            <wp:positionV relativeFrom="paragraph">
              <wp:posOffset>363220</wp:posOffset>
            </wp:positionV>
            <wp:extent cx="8890" cy="8255"/>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3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883920</wp:posOffset>
            </wp:positionH>
            <wp:positionV relativeFrom="paragraph">
              <wp:posOffset>363220</wp:posOffset>
            </wp:positionV>
            <wp:extent cx="8890" cy="8255"/>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3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901065</wp:posOffset>
            </wp:positionH>
            <wp:positionV relativeFrom="paragraph">
              <wp:posOffset>363220</wp:posOffset>
            </wp:positionV>
            <wp:extent cx="8890" cy="8255"/>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3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918210</wp:posOffset>
            </wp:positionH>
            <wp:positionV relativeFrom="paragraph">
              <wp:posOffset>363220</wp:posOffset>
            </wp:positionV>
            <wp:extent cx="8890" cy="8255"/>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3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935355</wp:posOffset>
            </wp:positionH>
            <wp:positionV relativeFrom="paragraph">
              <wp:posOffset>363220</wp:posOffset>
            </wp:positionV>
            <wp:extent cx="8890" cy="8255"/>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3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952500</wp:posOffset>
            </wp:positionH>
            <wp:positionV relativeFrom="paragraph">
              <wp:posOffset>363220</wp:posOffset>
            </wp:positionV>
            <wp:extent cx="8890" cy="8255"/>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3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969645</wp:posOffset>
            </wp:positionH>
            <wp:positionV relativeFrom="paragraph">
              <wp:posOffset>363220</wp:posOffset>
            </wp:positionV>
            <wp:extent cx="8890" cy="8255"/>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4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986790</wp:posOffset>
            </wp:positionH>
            <wp:positionV relativeFrom="paragraph">
              <wp:posOffset>363220</wp:posOffset>
            </wp:positionV>
            <wp:extent cx="8890" cy="8255"/>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4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1003935</wp:posOffset>
            </wp:positionH>
            <wp:positionV relativeFrom="paragraph">
              <wp:posOffset>363220</wp:posOffset>
            </wp:positionV>
            <wp:extent cx="8890" cy="8255"/>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4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1021080</wp:posOffset>
            </wp:positionH>
            <wp:positionV relativeFrom="paragraph">
              <wp:posOffset>363220</wp:posOffset>
            </wp:positionV>
            <wp:extent cx="8890" cy="8255"/>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4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1038225</wp:posOffset>
            </wp:positionH>
            <wp:positionV relativeFrom="paragraph">
              <wp:posOffset>363220</wp:posOffset>
            </wp:positionV>
            <wp:extent cx="8890" cy="8255"/>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4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1055370</wp:posOffset>
            </wp:positionH>
            <wp:positionV relativeFrom="paragraph">
              <wp:posOffset>363220</wp:posOffset>
            </wp:positionV>
            <wp:extent cx="8890" cy="8255"/>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4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1072515</wp:posOffset>
            </wp:positionH>
            <wp:positionV relativeFrom="paragraph">
              <wp:posOffset>363220</wp:posOffset>
            </wp:positionV>
            <wp:extent cx="8890" cy="8255"/>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4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1089660</wp:posOffset>
            </wp:positionH>
            <wp:positionV relativeFrom="paragraph">
              <wp:posOffset>363220</wp:posOffset>
            </wp:positionV>
            <wp:extent cx="8890" cy="8255"/>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4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1106805</wp:posOffset>
            </wp:positionH>
            <wp:positionV relativeFrom="paragraph">
              <wp:posOffset>363220</wp:posOffset>
            </wp:positionV>
            <wp:extent cx="8890" cy="8255"/>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4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1123950</wp:posOffset>
            </wp:positionH>
            <wp:positionV relativeFrom="paragraph">
              <wp:posOffset>363220</wp:posOffset>
            </wp:positionV>
            <wp:extent cx="8890" cy="8255"/>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4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1141095</wp:posOffset>
            </wp:positionH>
            <wp:positionV relativeFrom="paragraph">
              <wp:posOffset>363220</wp:posOffset>
            </wp:positionV>
            <wp:extent cx="8890" cy="8255"/>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5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1158240</wp:posOffset>
            </wp:positionH>
            <wp:positionV relativeFrom="paragraph">
              <wp:posOffset>363220</wp:posOffset>
            </wp:positionV>
            <wp:extent cx="8890" cy="8255"/>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5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1175385</wp:posOffset>
            </wp:positionH>
            <wp:positionV relativeFrom="paragraph">
              <wp:posOffset>363220</wp:posOffset>
            </wp:positionV>
            <wp:extent cx="8890" cy="8255"/>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5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1192530</wp:posOffset>
            </wp:positionH>
            <wp:positionV relativeFrom="paragraph">
              <wp:posOffset>363220</wp:posOffset>
            </wp:positionV>
            <wp:extent cx="8890" cy="8255"/>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5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1209675</wp:posOffset>
            </wp:positionH>
            <wp:positionV relativeFrom="paragraph">
              <wp:posOffset>363220</wp:posOffset>
            </wp:positionV>
            <wp:extent cx="8890" cy="8255"/>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5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1226820</wp:posOffset>
            </wp:positionH>
            <wp:positionV relativeFrom="paragraph">
              <wp:posOffset>363220</wp:posOffset>
            </wp:positionV>
            <wp:extent cx="8890" cy="8255"/>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5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1243965</wp:posOffset>
            </wp:positionH>
            <wp:positionV relativeFrom="paragraph">
              <wp:posOffset>363220</wp:posOffset>
            </wp:positionV>
            <wp:extent cx="8890" cy="8255"/>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5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1261110</wp:posOffset>
            </wp:positionH>
            <wp:positionV relativeFrom="paragraph">
              <wp:posOffset>363220</wp:posOffset>
            </wp:positionV>
            <wp:extent cx="8890" cy="8255"/>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5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1278255</wp:posOffset>
            </wp:positionH>
            <wp:positionV relativeFrom="paragraph">
              <wp:posOffset>363220</wp:posOffset>
            </wp:positionV>
            <wp:extent cx="8890" cy="8255"/>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5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1295400</wp:posOffset>
            </wp:positionH>
            <wp:positionV relativeFrom="paragraph">
              <wp:posOffset>363220</wp:posOffset>
            </wp:positionV>
            <wp:extent cx="8890" cy="8255"/>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5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1312545</wp:posOffset>
            </wp:positionH>
            <wp:positionV relativeFrom="paragraph">
              <wp:posOffset>363220</wp:posOffset>
            </wp:positionV>
            <wp:extent cx="8890" cy="8255"/>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6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1329690</wp:posOffset>
            </wp:positionH>
            <wp:positionV relativeFrom="paragraph">
              <wp:posOffset>363220</wp:posOffset>
            </wp:positionV>
            <wp:extent cx="8890" cy="8255"/>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6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1346835</wp:posOffset>
            </wp:positionH>
            <wp:positionV relativeFrom="paragraph">
              <wp:posOffset>363220</wp:posOffset>
            </wp:positionV>
            <wp:extent cx="8890" cy="8255"/>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6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1363980</wp:posOffset>
            </wp:positionH>
            <wp:positionV relativeFrom="paragraph">
              <wp:posOffset>363220</wp:posOffset>
            </wp:positionV>
            <wp:extent cx="8890" cy="8255"/>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6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1381125</wp:posOffset>
            </wp:positionH>
            <wp:positionV relativeFrom="paragraph">
              <wp:posOffset>363220</wp:posOffset>
            </wp:positionV>
            <wp:extent cx="8890" cy="8255"/>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6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1398270</wp:posOffset>
            </wp:positionH>
            <wp:positionV relativeFrom="paragraph">
              <wp:posOffset>363220</wp:posOffset>
            </wp:positionV>
            <wp:extent cx="8890" cy="8255"/>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6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1415415</wp:posOffset>
            </wp:positionH>
            <wp:positionV relativeFrom="paragraph">
              <wp:posOffset>363220</wp:posOffset>
            </wp:positionV>
            <wp:extent cx="8890" cy="8255"/>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6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1432560</wp:posOffset>
            </wp:positionH>
            <wp:positionV relativeFrom="paragraph">
              <wp:posOffset>363220</wp:posOffset>
            </wp:positionV>
            <wp:extent cx="8890" cy="8255"/>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6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1449705</wp:posOffset>
            </wp:positionH>
            <wp:positionV relativeFrom="paragraph">
              <wp:posOffset>363220</wp:posOffset>
            </wp:positionV>
            <wp:extent cx="8890" cy="8255"/>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6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1466850</wp:posOffset>
            </wp:positionH>
            <wp:positionV relativeFrom="paragraph">
              <wp:posOffset>363220</wp:posOffset>
            </wp:positionV>
            <wp:extent cx="8890" cy="8255"/>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6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1483995</wp:posOffset>
            </wp:positionH>
            <wp:positionV relativeFrom="paragraph">
              <wp:posOffset>363220</wp:posOffset>
            </wp:positionV>
            <wp:extent cx="8890" cy="8255"/>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7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1501140</wp:posOffset>
            </wp:positionH>
            <wp:positionV relativeFrom="paragraph">
              <wp:posOffset>363220</wp:posOffset>
            </wp:positionV>
            <wp:extent cx="8890" cy="8255"/>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7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1518285</wp:posOffset>
            </wp:positionH>
            <wp:positionV relativeFrom="paragraph">
              <wp:posOffset>363220</wp:posOffset>
            </wp:positionV>
            <wp:extent cx="8890" cy="8255"/>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7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1535430</wp:posOffset>
            </wp:positionH>
            <wp:positionV relativeFrom="paragraph">
              <wp:posOffset>363220</wp:posOffset>
            </wp:positionV>
            <wp:extent cx="8890" cy="8255"/>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7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1552575</wp:posOffset>
            </wp:positionH>
            <wp:positionV relativeFrom="paragraph">
              <wp:posOffset>363220</wp:posOffset>
            </wp:positionV>
            <wp:extent cx="8890" cy="8255"/>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7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1569720</wp:posOffset>
            </wp:positionH>
            <wp:positionV relativeFrom="paragraph">
              <wp:posOffset>363220</wp:posOffset>
            </wp:positionV>
            <wp:extent cx="8890" cy="8255"/>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7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1586865</wp:posOffset>
            </wp:positionH>
            <wp:positionV relativeFrom="paragraph">
              <wp:posOffset>363220</wp:posOffset>
            </wp:positionV>
            <wp:extent cx="8890" cy="8255"/>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7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1604010</wp:posOffset>
            </wp:positionH>
            <wp:positionV relativeFrom="paragraph">
              <wp:posOffset>363220</wp:posOffset>
            </wp:positionV>
            <wp:extent cx="8890" cy="8255"/>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7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1621155</wp:posOffset>
            </wp:positionH>
            <wp:positionV relativeFrom="paragraph">
              <wp:posOffset>363220</wp:posOffset>
            </wp:positionV>
            <wp:extent cx="8890" cy="8255"/>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7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1638300</wp:posOffset>
            </wp:positionH>
            <wp:positionV relativeFrom="paragraph">
              <wp:posOffset>363220</wp:posOffset>
            </wp:positionV>
            <wp:extent cx="8890" cy="8255"/>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7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1655445</wp:posOffset>
            </wp:positionH>
            <wp:positionV relativeFrom="paragraph">
              <wp:posOffset>363220</wp:posOffset>
            </wp:positionV>
            <wp:extent cx="8890" cy="8255"/>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8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1672590</wp:posOffset>
            </wp:positionH>
            <wp:positionV relativeFrom="paragraph">
              <wp:posOffset>363220</wp:posOffset>
            </wp:positionV>
            <wp:extent cx="8890" cy="8255"/>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8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1689735</wp:posOffset>
            </wp:positionH>
            <wp:positionV relativeFrom="paragraph">
              <wp:posOffset>363220</wp:posOffset>
            </wp:positionV>
            <wp:extent cx="8890" cy="8255"/>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8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1706880</wp:posOffset>
            </wp:positionH>
            <wp:positionV relativeFrom="paragraph">
              <wp:posOffset>363220</wp:posOffset>
            </wp:positionV>
            <wp:extent cx="8890" cy="8255"/>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8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1724025</wp:posOffset>
            </wp:positionH>
            <wp:positionV relativeFrom="paragraph">
              <wp:posOffset>363220</wp:posOffset>
            </wp:positionV>
            <wp:extent cx="8890" cy="8255"/>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8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1741170</wp:posOffset>
            </wp:positionH>
            <wp:positionV relativeFrom="paragraph">
              <wp:posOffset>363220</wp:posOffset>
            </wp:positionV>
            <wp:extent cx="8890" cy="8255"/>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8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1758315</wp:posOffset>
            </wp:positionH>
            <wp:positionV relativeFrom="paragraph">
              <wp:posOffset>363220</wp:posOffset>
            </wp:positionV>
            <wp:extent cx="8890" cy="8255"/>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8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1775460</wp:posOffset>
            </wp:positionH>
            <wp:positionV relativeFrom="paragraph">
              <wp:posOffset>363220</wp:posOffset>
            </wp:positionV>
            <wp:extent cx="8890" cy="8255"/>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8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1792605</wp:posOffset>
            </wp:positionH>
            <wp:positionV relativeFrom="paragraph">
              <wp:posOffset>363220</wp:posOffset>
            </wp:positionV>
            <wp:extent cx="8890" cy="8255"/>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8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1809750</wp:posOffset>
            </wp:positionH>
            <wp:positionV relativeFrom="paragraph">
              <wp:posOffset>363220</wp:posOffset>
            </wp:positionV>
            <wp:extent cx="8890" cy="8255"/>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8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1826895</wp:posOffset>
            </wp:positionH>
            <wp:positionV relativeFrom="paragraph">
              <wp:posOffset>363220</wp:posOffset>
            </wp:positionV>
            <wp:extent cx="8890" cy="8255"/>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9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1844040</wp:posOffset>
            </wp:positionH>
            <wp:positionV relativeFrom="paragraph">
              <wp:posOffset>363220</wp:posOffset>
            </wp:positionV>
            <wp:extent cx="8890" cy="8255"/>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9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1861185</wp:posOffset>
            </wp:positionH>
            <wp:positionV relativeFrom="paragraph">
              <wp:posOffset>363220</wp:posOffset>
            </wp:positionV>
            <wp:extent cx="8890" cy="8255"/>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9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1878330</wp:posOffset>
            </wp:positionH>
            <wp:positionV relativeFrom="paragraph">
              <wp:posOffset>363220</wp:posOffset>
            </wp:positionV>
            <wp:extent cx="8890" cy="8255"/>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9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1895475</wp:posOffset>
            </wp:positionH>
            <wp:positionV relativeFrom="paragraph">
              <wp:posOffset>363220</wp:posOffset>
            </wp:positionV>
            <wp:extent cx="8890" cy="8255"/>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9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1912620</wp:posOffset>
            </wp:positionH>
            <wp:positionV relativeFrom="paragraph">
              <wp:posOffset>363220</wp:posOffset>
            </wp:positionV>
            <wp:extent cx="8890" cy="8255"/>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9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1929765</wp:posOffset>
            </wp:positionH>
            <wp:positionV relativeFrom="paragraph">
              <wp:posOffset>363220</wp:posOffset>
            </wp:positionV>
            <wp:extent cx="8890" cy="8255"/>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9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1946910</wp:posOffset>
            </wp:positionH>
            <wp:positionV relativeFrom="paragraph">
              <wp:posOffset>363220</wp:posOffset>
            </wp:positionV>
            <wp:extent cx="8890" cy="8255"/>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9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1964055</wp:posOffset>
            </wp:positionH>
            <wp:positionV relativeFrom="paragraph">
              <wp:posOffset>363220</wp:posOffset>
            </wp:positionV>
            <wp:extent cx="8890" cy="8255"/>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9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1981200</wp:posOffset>
            </wp:positionH>
            <wp:positionV relativeFrom="paragraph">
              <wp:posOffset>363220</wp:posOffset>
            </wp:positionV>
            <wp:extent cx="8890" cy="8255"/>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9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1998345</wp:posOffset>
            </wp:positionH>
            <wp:positionV relativeFrom="paragraph">
              <wp:posOffset>363220</wp:posOffset>
            </wp:positionV>
            <wp:extent cx="8890" cy="8255"/>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60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2015490</wp:posOffset>
            </wp:positionH>
            <wp:positionV relativeFrom="paragraph">
              <wp:posOffset>363220</wp:posOffset>
            </wp:positionV>
            <wp:extent cx="8890" cy="8255"/>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60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2032635</wp:posOffset>
            </wp:positionH>
            <wp:positionV relativeFrom="paragraph">
              <wp:posOffset>363220</wp:posOffset>
            </wp:positionV>
            <wp:extent cx="8890" cy="8255"/>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60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2050415</wp:posOffset>
            </wp:positionH>
            <wp:positionV relativeFrom="paragraph">
              <wp:posOffset>363220</wp:posOffset>
            </wp:positionV>
            <wp:extent cx="8890" cy="8255"/>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60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2067560</wp:posOffset>
            </wp:positionH>
            <wp:positionV relativeFrom="paragraph">
              <wp:posOffset>363220</wp:posOffset>
            </wp:positionV>
            <wp:extent cx="8890" cy="8255"/>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60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2084705</wp:posOffset>
            </wp:positionH>
            <wp:positionV relativeFrom="paragraph">
              <wp:posOffset>363220</wp:posOffset>
            </wp:positionV>
            <wp:extent cx="8890" cy="8255"/>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60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2101850</wp:posOffset>
            </wp:positionH>
            <wp:positionV relativeFrom="paragraph">
              <wp:posOffset>363220</wp:posOffset>
            </wp:positionV>
            <wp:extent cx="8890" cy="8255"/>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60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2118995</wp:posOffset>
            </wp:positionH>
            <wp:positionV relativeFrom="paragraph">
              <wp:posOffset>363220</wp:posOffset>
            </wp:positionV>
            <wp:extent cx="8890" cy="8255"/>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60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2136140</wp:posOffset>
            </wp:positionH>
            <wp:positionV relativeFrom="paragraph">
              <wp:posOffset>363220</wp:posOffset>
            </wp:positionV>
            <wp:extent cx="8890" cy="8255"/>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60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2153285</wp:posOffset>
            </wp:positionH>
            <wp:positionV relativeFrom="paragraph">
              <wp:posOffset>363220</wp:posOffset>
            </wp:positionV>
            <wp:extent cx="8890" cy="8255"/>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60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2170430</wp:posOffset>
            </wp:positionH>
            <wp:positionV relativeFrom="paragraph">
              <wp:posOffset>363220</wp:posOffset>
            </wp:positionV>
            <wp:extent cx="8890" cy="8255"/>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1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2187575</wp:posOffset>
            </wp:positionH>
            <wp:positionV relativeFrom="paragraph">
              <wp:posOffset>363220</wp:posOffset>
            </wp:positionV>
            <wp:extent cx="8890" cy="8255"/>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61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2204720</wp:posOffset>
            </wp:positionH>
            <wp:positionV relativeFrom="paragraph">
              <wp:posOffset>363220</wp:posOffset>
            </wp:positionV>
            <wp:extent cx="8890" cy="8255"/>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1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2221865</wp:posOffset>
            </wp:positionH>
            <wp:positionV relativeFrom="paragraph">
              <wp:posOffset>363220</wp:posOffset>
            </wp:positionV>
            <wp:extent cx="8890" cy="8255"/>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1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2239010</wp:posOffset>
            </wp:positionH>
            <wp:positionV relativeFrom="paragraph">
              <wp:posOffset>363220</wp:posOffset>
            </wp:positionV>
            <wp:extent cx="8890" cy="8255"/>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61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2256155</wp:posOffset>
            </wp:positionH>
            <wp:positionV relativeFrom="paragraph">
              <wp:posOffset>363220</wp:posOffset>
            </wp:positionV>
            <wp:extent cx="8890" cy="8255"/>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1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2273300</wp:posOffset>
            </wp:positionH>
            <wp:positionV relativeFrom="paragraph">
              <wp:posOffset>363220</wp:posOffset>
            </wp:positionV>
            <wp:extent cx="8890" cy="8255"/>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1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2290445</wp:posOffset>
            </wp:positionH>
            <wp:positionV relativeFrom="paragraph">
              <wp:posOffset>363220</wp:posOffset>
            </wp:positionV>
            <wp:extent cx="8890" cy="8255"/>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61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2307590</wp:posOffset>
            </wp:positionH>
            <wp:positionV relativeFrom="paragraph">
              <wp:posOffset>363220</wp:posOffset>
            </wp:positionV>
            <wp:extent cx="8890" cy="8255"/>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1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2324735</wp:posOffset>
            </wp:positionH>
            <wp:positionV relativeFrom="paragraph">
              <wp:posOffset>363220</wp:posOffset>
            </wp:positionV>
            <wp:extent cx="8890" cy="8255"/>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1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2341880</wp:posOffset>
            </wp:positionH>
            <wp:positionV relativeFrom="paragraph">
              <wp:posOffset>363220</wp:posOffset>
            </wp:positionV>
            <wp:extent cx="8890" cy="8255"/>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2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2359025</wp:posOffset>
            </wp:positionH>
            <wp:positionV relativeFrom="paragraph">
              <wp:posOffset>363220</wp:posOffset>
            </wp:positionV>
            <wp:extent cx="8890" cy="8255"/>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2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2376170</wp:posOffset>
            </wp:positionH>
            <wp:positionV relativeFrom="paragraph">
              <wp:posOffset>363220</wp:posOffset>
            </wp:positionV>
            <wp:extent cx="8890" cy="8255"/>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2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2393315</wp:posOffset>
            </wp:positionH>
            <wp:positionV relativeFrom="paragraph">
              <wp:posOffset>363220</wp:posOffset>
            </wp:positionV>
            <wp:extent cx="8890" cy="8255"/>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2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2410460</wp:posOffset>
            </wp:positionH>
            <wp:positionV relativeFrom="paragraph">
              <wp:posOffset>363220</wp:posOffset>
            </wp:positionV>
            <wp:extent cx="8890" cy="8255"/>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2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2427605</wp:posOffset>
            </wp:positionH>
            <wp:positionV relativeFrom="paragraph">
              <wp:posOffset>363220</wp:posOffset>
            </wp:positionV>
            <wp:extent cx="8890" cy="8255"/>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2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2444750</wp:posOffset>
            </wp:positionH>
            <wp:positionV relativeFrom="paragraph">
              <wp:posOffset>363220</wp:posOffset>
            </wp:positionV>
            <wp:extent cx="8890" cy="8255"/>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2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2461895</wp:posOffset>
            </wp:positionH>
            <wp:positionV relativeFrom="paragraph">
              <wp:posOffset>363220</wp:posOffset>
            </wp:positionV>
            <wp:extent cx="8890" cy="8255"/>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2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2479040</wp:posOffset>
            </wp:positionH>
            <wp:positionV relativeFrom="paragraph">
              <wp:posOffset>363220</wp:posOffset>
            </wp:positionV>
            <wp:extent cx="8890" cy="8255"/>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2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2496185</wp:posOffset>
            </wp:positionH>
            <wp:positionV relativeFrom="paragraph">
              <wp:posOffset>363220</wp:posOffset>
            </wp:positionV>
            <wp:extent cx="8890" cy="8255"/>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2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2513330</wp:posOffset>
            </wp:positionH>
            <wp:positionV relativeFrom="paragraph">
              <wp:posOffset>363220</wp:posOffset>
            </wp:positionV>
            <wp:extent cx="8890" cy="8255"/>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3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2530475</wp:posOffset>
            </wp:positionH>
            <wp:positionV relativeFrom="paragraph">
              <wp:posOffset>363220</wp:posOffset>
            </wp:positionV>
            <wp:extent cx="8890" cy="8255"/>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3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2547620</wp:posOffset>
            </wp:positionH>
            <wp:positionV relativeFrom="paragraph">
              <wp:posOffset>363220</wp:posOffset>
            </wp:positionV>
            <wp:extent cx="8890" cy="8255"/>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3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2564765</wp:posOffset>
            </wp:positionH>
            <wp:positionV relativeFrom="paragraph">
              <wp:posOffset>363220</wp:posOffset>
            </wp:positionV>
            <wp:extent cx="8890" cy="8255"/>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3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2581910</wp:posOffset>
            </wp:positionH>
            <wp:positionV relativeFrom="paragraph">
              <wp:posOffset>363220</wp:posOffset>
            </wp:positionV>
            <wp:extent cx="8890" cy="8255"/>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3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2599055</wp:posOffset>
            </wp:positionH>
            <wp:positionV relativeFrom="paragraph">
              <wp:posOffset>363220</wp:posOffset>
            </wp:positionV>
            <wp:extent cx="8890" cy="8255"/>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3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2616200</wp:posOffset>
            </wp:positionH>
            <wp:positionV relativeFrom="paragraph">
              <wp:posOffset>363220</wp:posOffset>
            </wp:positionV>
            <wp:extent cx="8890" cy="8255"/>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3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2633345</wp:posOffset>
            </wp:positionH>
            <wp:positionV relativeFrom="paragraph">
              <wp:posOffset>363220</wp:posOffset>
            </wp:positionV>
            <wp:extent cx="8890" cy="8255"/>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3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2650490</wp:posOffset>
            </wp:positionH>
            <wp:positionV relativeFrom="paragraph">
              <wp:posOffset>363220</wp:posOffset>
            </wp:positionV>
            <wp:extent cx="8890" cy="8255"/>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3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2667635</wp:posOffset>
            </wp:positionH>
            <wp:positionV relativeFrom="paragraph">
              <wp:posOffset>363220</wp:posOffset>
            </wp:positionV>
            <wp:extent cx="8890" cy="8255"/>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3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2684780</wp:posOffset>
            </wp:positionH>
            <wp:positionV relativeFrom="paragraph">
              <wp:posOffset>363220</wp:posOffset>
            </wp:positionV>
            <wp:extent cx="8890" cy="8255"/>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4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2701925</wp:posOffset>
            </wp:positionH>
            <wp:positionV relativeFrom="paragraph">
              <wp:posOffset>363220</wp:posOffset>
            </wp:positionV>
            <wp:extent cx="8890" cy="8255"/>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4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2719070</wp:posOffset>
            </wp:positionH>
            <wp:positionV relativeFrom="paragraph">
              <wp:posOffset>363220</wp:posOffset>
            </wp:positionV>
            <wp:extent cx="8890" cy="8255"/>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4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2736215</wp:posOffset>
            </wp:positionH>
            <wp:positionV relativeFrom="paragraph">
              <wp:posOffset>363220</wp:posOffset>
            </wp:positionV>
            <wp:extent cx="8890" cy="8255"/>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4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2753360</wp:posOffset>
            </wp:positionH>
            <wp:positionV relativeFrom="paragraph">
              <wp:posOffset>363220</wp:posOffset>
            </wp:positionV>
            <wp:extent cx="8890" cy="8255"/>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4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2770505</wp:posOffset>
            </wp:positionH>
            <wp:positionV relativeFrom="paragraph">
              <wp:posOffset>363220</wp:posOffset>
            </wp:positionV>
            <wp:extent cx="8890" cy="8255"/>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4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2787650</wp:posOffset>
            </wp:positionH>
            <wp:positionV relativeFrom="paragraph">
              <wp:posOffset>363220</wp:posOffset>
            </wp:positionV>
            <wp:extent cx="8890" cy="8255"/>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4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2804795</wp:posOffset>
            </wp:positionH>
            <wp:positionV relativeFrom="paragraph">
              <wp:posOffset>363220</wp:posOffset>
            </wp:positionV>
            <wp:extent cx="8890" cy="8255"/>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4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2821940</wp:posOffset>
            </wp:positionH>
            <wp:positionV relativeFrom="paragraph">
              <wp:posOffset>363220</wp:posOffset>
            </wp:positionV>
            <wp:extent cx="8890" cy="8255"/>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4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2839085</wp:posOffset>
            </wp:positionH>
            <wp:positionV relativeFrom="paragraph">
              <wp:posOffset>363220</wp:posOffset>
            </wp:positionV>
            <wp:extent cx="8890" cy="8255"/>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4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2856230</wp:posOffset>
            </wp:positionH>
            <wp:positionV relativeFrom="paragraph">
              <wp:posOffset>363220</wp:posOffset>
            </wp:positionV>
            <wp:extent cx="8890" cy="8255"/>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5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2873375</wp:posOffset>
            </wp:positionH>
            <wp:positionV relativeFrom="paragraph">
              <wp:posOffset>363220</wp:posOffset>
            </wp:positionV>
            <wp:extent cx="8890" cy="8255"/>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5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2890520</wp:posOffset>
            </wp:positionH>
            <wp:positionV relativeFrom="paragraph">
              <wp:posOffset>363220</wp:posOffset>
            </wp:positionV>
            <wp:extent cx="8890" cy="8255"/>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5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2907665</wp:posOffset>
            </wp:positionH>
            <wp:positionV relativeFrom="paragraph">
              <wp:posOffset>363220</wp:posOffset>
            </wp:positionV>
            <wp:extent cx="8890" cy="8255"/>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5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2924810</wp:posOffset>
            </wp:positionH>
            <wp:positionV relativeFrom="paragraph">
              <wp:posOffset>363220</wp:posOffset>
            </wp:positionV>
            <wp:extent cx="8890" cy="8255"/>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5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2941955</wp:posOffset>
            </wp:positionH>
            <wp:positionV relativeFrom="paragraph">
              <wp:posOffset>363220</wp:posOffset>
            </wp:positionV>
            <wp:extent cx="8890" cy="8255"/>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5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2959100</wp:posOffset>
            </wp:positionH>
            <wp:positionV relativeFrom="paragraph">
              <wp:posOffset>363220</wp:posOffset>
            </wp:positionV>
            <wp:extent cx="8890" cy="8255"/>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5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2976245</wp:posOffset>
            </wp:positionH>
            <wp:positionV relativeFrom="paragraph">
              <wp:posOffset>363220</wp:posOffset>
            </wp:positionV>
            <wp:extent cx="8890" cy="8255"/>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5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2993390</wp:posOffset>
            </wp:positionH>
            <wp:positionV relativeFrom="paragraph">
              <wp:posOffset>363220</wp:posOffset>
            </wp:positionV>
            <wp:extent cx="8890" cy="8255"/>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5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3010535</wp:posOffset>
            </wp:positionH>
            <wp:positionV relativeFrom="paragraph">
              <wp:posOffset>363220</wp:posOffset>
            </wp:positionV>
            <wp:extent cx="8890" cy="8255"/>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5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3027680</wp:posOffset>
            </wp:positionH>
            <wp:positionV relativeFrom="paragraph">
              <wp:posOffset>363220</wp:posOffset>
            </wp:positionV>
            <wp:extent cx="8890" cy="8255"/>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6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3044825</wp:posOffset>
            </wp:positionH>
            <wp:positionV relativeFrom="paragraph">
              <wp:posOffset>363220</wp:posOffset>
            </wp:positionV>
            <wp:extent cx="8890" cy="8255"/>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6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3061970</wp:posOffset>
            </wp:positionH>
            <wp:positionV relativeFrom="paragraph">
              <wp:posOffset>363220</wp:posOffset>
            </wp:positionV>
            <wp:extent cx="8890" cy="8255"/>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6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3079115</wp:posOffset>
            </wp:positionH>
            <wp:positionV relativeFrom="paragraph">
              <wp:posOffset>363220</wp:posOffset>
            </wp:positionV>
            <wp:extent cx="8890" cy="8255"/>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6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3096260</wp:posOffset>
            </wp:positionH>
            <wp:positionV relativeFrom="paragraph">
              <wp:posOffset>363220</wp:posOffset>
            </wp:positionV>
            <wp:extent cx="8890" cy="8255"/>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6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3113405</wp:posOffset>
            </wp:positionH>
            <wp:positionV relativeFrom="paragraph">
              <wp:posOffset>363220</wp:posOffset>
            </wp:positionV>
            <wp:extent cx="8890" cy="8255"/>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6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3130550</wp:posOffset>
            </wp:positionH>
            <wp:positionV relativeFrom="paragraph">
              <wp:posOffset>363220</wp:posOffset>
            </wp:positionV>
            <wp:extent cx="8890" cy="8255"/>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6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3147695</wp:posOffset>
            </wp:positionH>
            <wp:positionV relativeFrom="paragraph">
              <wp:posOffset>363220</wp:posOffset>
            </wp:positionV>
            <wp:extent cx="8890" cy="8255"/>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6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3164840</wp:posOffset>
            </wp:positionH>
            <wp:positionV relativeFrom="paragraph">
              <wp:posOffset>363220</wp:posOffset>
            </wp:positionV>
            <wp:extent cx="8890" cy="8255"/>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6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3181985</wp:posOffset>
            </wp:positionH>
            <wp:positionV relativeFrom="paragraph">
              <wp:posOffset>363220</wp:posOffset>
            </wp:positionV>
            <wp:extent cx="8890" cy="8255"/>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6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3199130</wp:posOffset>
            </wp:positionH>
            <wp:positionV relativeFrom="paragraph">
              <wp:posOffset>363220</wp:posOffset>
            </wp:positionV>
            <wp:extent cx="8890" cy="8255"/>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7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3216275</wp:posOffset>
            </wp:positionH>
            <wp:positionV relativeFrom="paragraph">
              <wp:posOffset>363220</wp:posOffset>
            </wp:positionV>
            <wp:extent cx="8890" cy="8255"/>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7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3233420</wp:posOffset>
            </wp:positionH>
            <wp:positionV relativeFrom="paragraph">
              <wp:posOffset>363220</wp:posOffset>
            </wp:positionV>
            <wp:extent cx="8890" cy="8255"/>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7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3250565</wp:posOffset>
            </wp:positionH>
            <wp:positionV relativeFrom="paragraph">
              <wp:posOffset>363220</wp:posOffset>
            </wp:positionV>
            <wp:extent cx="8890" cy="8255"/>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7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3267710</wp:posOffset>
            </wp:positionH>
            <wp:positionV relativeFrom="paragraph">
              <wp:posOffset>363220</wp:posOffset>
            </wp:positionV>
            <wp:extent cx="8890" cy="8255"/>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7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3284855</wp:posOffset>
            </wp:positionH>
            <wp:positionV relativeFrom="paragraph">
              <wp:posOffset>363220</wp:posOffset>
            </wp:positionV>
            <wp:extent cx="8890" cy="8255"/>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7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3302000</wp:posOffset>
            </wp:positionH>
            <wp:positionV relativeFrom="paragraph">
              <wp:posOffset>363220</wp:posOffset>
            </wp:positionV>
            <wp:extent cx="8890" cy="8255"/>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7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3319145</wp:posOffset>
            </wp:positionH>
            <wp:positionV relativeFrom="paragraph">
              <wp:posOffset>363220</wp:posOffset>
            </wp:positionV>
            <wp:extent cx="8890" cy="8255"/>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7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3336290</wp:posOffset>
            </wp:positionH>
            <wp:positionV relativeFrom="paragraph">
              <wp:posOffset>363220</wp:posOffset>
            </wp:positionV>
            <wp:extent cx="8890" cy="8255"/>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7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3353435</wp:posOffset>
            </wp:positionH>
            <wp:positionV relativeFrom="paragraph">
              <wp:posOffset>363220</wp:posOffset>
            </wp:positionV>
            <wp:extent cx="8890" cy="8255"/>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7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3370580</wp:posOffset>
            </wp:positionH>
            <wp:positionV relativeFrom="paragraph">
              <wp:posOffset>363220</wp:posOffset>
            </wp:positionV>
            <wp:extent cx="8890" cy="8255"/>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8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3387725</wp:posOffset>
            </wp:positionH>
            <wp:positionV relativeFrom="paragraph">
              <wp:posOffset>363220</wp:posOffset>
            </wp:positionV>
            <wp:extent cx="8890" cy="8255"/>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8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3404870</wp:posOffset>
            </wp:positionH>
            <wp:positionV relativeFrom="paragraph">
              <wp:posOffset>363220</wp:posOffset>
            </wp:positionV>
            <wp:extent cx="8890" cy="8255"/>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8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3422015</wp:posOffset>
            </wp:positionH>
            <wp:positionV relativeFrom="paragraph">
              <wp:posOffset>363220</wp:posOffset>
            </wp:positionV>
            <wp:extent cx="8890" cy="8255"/>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8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3439160</wp:posOffset>
            </wp:positionH>
            <wp:positionV relativeFrom="paragraph">
              <wp:posOffset>363220</wp:posOffset>
            </wp:positionV>
            <wp:extent cx="8890" cy="8255"/>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84">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3456305</wp:posOffset>
            </wp:positionH>
            <wp:positionV relativeFrom="paragraph">
              <wp:posOffset>363220</wp:posOffset>
            </wp:positionV>
            <wp:extent cx="8890" cy="8255"/>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8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3473450</wp:posOffset>
            </wp:positionH>
            <wp:positionV relativeFrom="paragraph">
              <wp:posOffset>363220</wp:posOffset>
            </wp:positionV>
            <wp:extent cx="8890" cy="8255"/>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8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3490595</wp:posOffset>
            </wp:positionH>
            <wp:positionV relativeFrom="paragraph">
              <wp:posOffset>363220</wp:posOffset>
            </wp:positionV>
            <wp:extent cx="8890" cy="8255"/>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8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3507740</wp:posOffset>
            </wp:positionH>
            <wp:positionV relativeFrom="paragraph">
              <wp:posOffset>363220</wp:posOffset>
            </wp:positionV>
            <wp:extent cx="8890" cy="8255"/>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8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3524885</wp:posOffset>
            </wp:positionH>
            <wp:positionV relativeFrom="paragraph">
              <wp:posOffset>363220</wp:posOffset>
            </wp:positionV>
            <wp:extent cx="8890" cy="8255"/>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89">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3542030</wp:posOffset>
            </wp:positionH>
            <wp:positionV relativeFrom="paragraph">
              <wp:posOffset>363220</wp:posOffset>
            </wp:positionV>
            <wp:extent cx="8890" cy="8255"/>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9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3559175</wp:posOffset>
            </wp:positionH>
            <wp:positionV relativeFrom="paragraph">
              <wp:posOffset>363220</wp:posOffset>
            </wp:positionV>
            <wp:extent cx="8890" cy="8255"/>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91">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3576320</wp:posOffset>
            </wp:positionH>
            <wp:positionV relativeFrom="paragraph">
              <wp:posOffset>363220</wp:posOffset>
            </wp:positionV>
            <wp:extent cx="8890" cy="8255"/>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92">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3593465</wp:posOffset>
            </wp:positionH>
            <wp:positionV relativeFrom="paragraph">
              <wp:posOffset>363220</wp:posOffset>
            </wp:positionV>
            <wp:extent cx="8890" cy="8255"/>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93">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3610610</wp:posOffset>
            </wp:positionH>
            <wp:positionV relativeFrom="paragraph">
              <wp:posOffset>363220</wp:posOffset>
            </wp:positionV>
            <wp:extent cx="8890" cy="8255"/>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94">
                      <a:extLst>
                        <a:ext uri="{28A0092B-C50C-407E-A947-70E740481C1C}"/>
                      </a:extLst>
                    </a:blip>
                    <a:srcRect/>
                    <a:stretch>
                      <a:fillRect/>
                    </a:stretch>
                  </pic:blipFill>
                  <pic:spPr bwMode="auto">
                    <a:xfrm>
                      <a:off x="0" y="0"/>
                      <a:ext cx="8890"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000" w:space="720"/>
            <w:col w:w="5700"/>
          </w:cols>
          <w:pgMar w:left="240" w:top="702" w:right="239" w:bottom="1440" w:gutter="0" w:footer="0" w:header="0"/>
          <w:type w:val="continuous"/>
        </w:sectPr>
      </w:pPr>
    </w:p>
    <w:p>
      <w:pPr>
        <w:spacing w:after="0" w:line="200" w:lineRule="exact"/>
        <w:rPr>
          <w:sz w:val="20"/>
          <w:szCs w:val="20"/>
          <w:color w:val="auto"/>
        </w:rPr>
      </w:pPr>
    </w:p>
    <w:p>
      <w:pPr>
        <w:spacing w:after="0" w:line="21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Kesselman &amp; Kesselman, Trade Tower, 25 Hamered Street, Tel-Aviv 6812508, Israel,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8890" cy="889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9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-104775</wp:posOffset>
            </wp:positionV>
            <wp:extent cx="8890" cy="889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9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-87630</wp:posOffset>
            </wp:positionV>
            <wp:extent cx="8890" cy="889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9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-70485</wp:posOffset>
            </wp:positionV>
            <wp:extent cx="8890" cy="889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9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-53340</wp:posOffset>
            </wp:positionV>
            <wp:extent cx="8890" cy="889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9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-36195</wp:posOffset>
            </wp:positionV>
            <wp:extent cx="8890" cy="889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70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-19050</wp:posOffset>
            </wp:positionV>
            <wp:extent cx="8890" cy="889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0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-1905</wp:posOffset>
            </wp:positionV>
            <wp:extent cx="8890" cy="889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02">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3" w:lineRule="exact"/>
        <w:rPr>
          <w:sz w:val="20"/>
          <w:szCs w:val="20"/>
          <w:color w:val="auto"/>
        </w:rPr>
      </w:pPr>
    </w:p>
    <w:p>
      <w:pPr>
        <w:ind w:left="100"/>
        <w:spacing w:after="0"/>
        <w:rPr>
          <w:sz w:val="20"/>
          <w:szCs w:val="20"/>
          <w:color w:val="auto"/>
        </w:rPr>
      </w:pPr>
      <w:r>
        <w:rPr>
          <w:rFonts w:ascii="Arial" w:cs="Arial" w:eastAsia="Arial" w:hAnsi="Arial"/>
          <w:sz w:val="16"/>
          <w:szCs w:val="16"/>
          <w:i w:val="1"/>
          <w:iCs w:val="1"/>
          <w:color w:val="auto"/>
        </w:rPr>
        <w:t>P.O Box 50005 Tel-Aviv 6150001 Telephone: +972 -3- 7954555, Fax:+972 -3- 7954556, www.pwc.com/il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8890" cy="889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70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-99060</wp:posOffset>
            </wp:positionV>
            <wp:extent cx="8890" cy="889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70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-81915</wp:posOffset>
            </wp:positionV>
            <wp:extent cx="8890" cy="889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0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-64770</wp:posOffset>
            </wp:positionV>
            <wp:extent cx="8890" cy="889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0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-47625</wp:posOffset>
            </wp:positionV>
            <wp:extent cx="8890" cy="889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0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-30480</wp:posOffset>
            </wp:positionV>
            <wp:extent cx="8890" cy="889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0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-13335</wp:posOffset>
            </wp:positionV>
            <wp:extent cx="8890" cy="889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0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3175</wp:posOffset>
            </wp:positionV>
            <wp:extent cx="8890" cy="889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1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20320</wp:posOffset>
            </wp:positionV>
            <wp:extent cx="8890" cy="889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1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37465</wp:posOffset>
            </wp:positionV>
            <wp:extent cx="8890" cy="889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1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286385</wp:posOffset>
            </wp:positionV>
            <wp:extent cx="7246620" cy="889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380365</wp:posOffset>
            </wp:positionV>
            <wp:extent cx="7246620" cy="3429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20"/>
      </w:cols>
      <w:pgMar w:left="240" w:top="702"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B7E0AA"/>
    <w:multiLevelType w:val="hybridMultilevel"/>
    <w:lvl w:ilvl="0">
      <w:lvlJc w:val="left"/>
      <w:lvlText w:val="☐"/>
      <w:numFmt w:val="bullet"/>
      <w:start w:val="1"/>
    </w:lvl>
  </w:abstractNum>
  <w:abstractNum w:abstractNumId="1">
    <w:nsid w:val="6EB5BD4"/>
    <w:multiLevelType w:val="hybridMultilevel"/>
    <w:lvl w:ilvl="0">
      <w:lvlJc w:val="left"/>
      <w:lvlText w:val="☒"/>
      <w:numFmt w:val="bullet"/>
      <w:start w:val="1"/>
    </w:lvl>
  </w:abstractNum>
  <w:abstractNum w:abstractNumId="2">
    <w:nsid w:val="6F6DD9AC"/>
    <w:multiLevelType w:val="hybridMultilevel"/>
    <w:lvl w:ilvl="0">
      <w:lvlJc w:val="left"/>
      <w:lvlText w:val="☐"/>
      <w:numFmt w:val="bullet"/>
      <w:start w:val="1"/>
    </w:lvl>
  </w:abstractNum>
  <w:abstractNum w:abstractNumId="3">
    <w:nsid w:val="94211F2"/>
    <w:multiLevelType w:val="hybridMultilevel"/>
    <w:lvl w:ilvl="0">
      <w:lvlJc w:val="left"/>
      <w:lvlText w:val="•"/>
      <w:numFmt w:val="bullet"/>
      <w:start w:val="1"/>
    </w:lvl>
  </w:abstractNum>
  <w:abstractNum w:abstractNumId="4">
    <w:nsid w:val="885E1B"/>
    <w:multiLevelType w:val="hybridMultilevel"/>
    <w:lvl w:ilvl="0">
      <w:lvlJc w:val="left"/>
      <w:lvlText w:val="%1."/>
      <w:numFmt w:val="upperLetter"/>
      <w:start w:val="1"/>
    </w:lvl>
  </w:abstractNum>
  <w:abstractNum w:abstractNumId="5">
    <w:nsid w:val="76272110"/>
    <w:multiLevelType w:val="hybridMultilevel"/>
    <w:lvl w:ilvl="0">
      <w:lvlJc w:val="left"/>
      <w:lvlText w:val="*"/>
      <w:numFmt w:val="bullet"/>
      <w:start w:val="1"/>
    </w:lvl>
  </w:abstractNum>
  <w:abstractNum w:abstractNumId="6">
    <w:nsid w:val="4C04A8AF"/>
    <w:multiLevelType w:val="hybridMultilevel"/>
    <w:lvl w:ilvl="0">
      <w:lvlJc w:val="left"/>
      <w:lvlText w:val="%1."/>
      <w:numFmt w:val="upperLetter"/>
      <w:start w:val="4"/>
    </w:lvl>
  </w:abstractNum>
  <w:abstractNum w:abstractNumId="7">
    <w:nsid w:val="1716703B"/>
    <w:multiLevelType w:val="hybridMultilevel"/>
    <w:lvl w:ilvl="0">
      <w:lvlJc w:val="left"/>
      <w:lvlText w:val="•"/>
      <w:numFmt w:val="bullet"/>
      <w:start w:val="1"/>
    </w:lvl>
  </w:abstractNum>
  <w:abstractNum w:abstractNumId="8">
    <w:nsid w:val="14E17E33"/>
    <w:multiLevelType w:val="hybridMultilevel"/>
    <w:lvl w:ilvl="0">
      <w:lvlJc w:val="left"/>
      <w:lvlText w:val="•"/>
      <w:numFmt w:val="bullet"/>
      <w:start w:val="1"/>
    </w:lvl>
  </w:abstractNum>
  <w:abstractNum w:abstractNumId="9">
    <w:nsid w:val="3222E7CD"/>
    <w:multiLevelType w:val="hybridMultilevel"/>
    <w:lvl w:ilvl="0">
      <w:lvlJc w:val="left"/>
      <w:lvlText w:val="•"/>
      <w:numFmt w:val="bullet"/>
      <w:start w:val="1"/>
    </w:lvl>
  </w:abstractNum>
  <w:abstractNum w:abstractNumId="10">
    <w:nsid w:val="74DE0EE3"/>
    <w:multiLevelType w:val="hybridMultilevel"/>
    <w:lvl w:ilvl="0">
      <w:lvlJc w:val="left"/>
      <w:lvlText w:val="•"/>
      <w:numFmt w:val="bullet"/>
      <w:start w:val="1"/>
    </w:lvl>
  </w:abstractNum>
  <w:abstractNum w:abstractNumId="11">
    <w:nsid w:val="68EBC550"/>
    <w:multiLevelType w:val="hybridMultilevel"/>
    <w:lvl w:ilvl="0">
      <w:lvlJc w:val="left"/>
      <w:lvlText w:val="•"/>
      <w:numFmt w:val="bullet"/>
      <w:start w:val="1"/>
    </w:lvl>
  </w:abstractNum>
  <w:abstractNum w:abstractNumId="12">
    <w:nsid w:val="2DF6D648"/>
    <w:multiLevelType w:val="hybridMultilevel"/>
    <w:lvl w:ilvl="0">
      <w:lvlJc w:val="left"/>
      <w:lvlText w:val="•"/>
      <w:numFmt w:val="bullet"/>
      <w:start w:val="1"/>
    </w:lvl>
  </w:abstractNum>
  <w:abstractNum w:abstractNumId="13">
    <w:nsid w:val="46B7D447"/>
    <w:multiLevelType w:val="hybridMultilevel"/>
    <w:lvl w:ilvl="0">
      <w:lvlJc w:val="left"/>
      <w:lvlText w:val="•"/>
      <w:numFmt w:val="bullet"/>
      <w:start w:val="1"/>
    </w:lvl>
  </w:abstractNum>
  <w:abstractNum w:abstractNumId="14">
    <w:nsid w:val="4A2AC315"/>
    <w:multiLevelType w:val="hybridMultilevel"/>
    <w:lvl w:ilvl="0">
      <w:lvlJc w:val="left"/>
      <w:lvlText w:val="•"/>
      <w:numFmt w:val="bullet"/>
      <w:start w:val="1"/>
    </w:lvl>
  </w:abstractNum>
  <w:abstractNum w:abstractNumId="15">
    <w:nsid w:val="39EE015C"/>
    <w:multiLevelType w:val="hybridMultilevel"/>
    <w:lvl w:ilvl="0">
      <w:lvlJc w:val="left"/>
      <w:lvlText w:val="•"/>
      <w:numFmt w:val="bullet"/>
      <w:start w:val="1"/>
    </w:lvl>
  </w:abstractNum>
  <w:abstractNum w:abstractNumId="16">
    <w:nsid w:val="57FC4FBB"/>
    <w:multiLevelType w:val="hybridMultilevel"/>
    <w:lvl w:ilvl="0">
      <w:lvlJc w:val="left"/>
      <w:lvlText w:val="•"/>
      <w:numFmt w:val="bullet"/>
      <w:start w:val="1"/>
    </w:lvl>
  </w:abstractNum>
  <w:abstractNum w:abstractNumId="17">
    <w:nsid w:val="CC1016F"/>
    <w:multiLevelType w:val="hybridMultilevel"/>
    <w:lvl w:ilvl="0">
      <w:lvlJc w:val="left"/>
      <w:lvlText w:val="•"/>
      <w:numFmt w:val="bullet"/>
      <w:start w:val="1"/>
    </w:lvl>
  </w:abstractNum>
  <w:abstractNum w:abstractNumId="18">
    <w:nsid w:val="43F18422"/>
    <w:multiLevelType w:val="hybridMultilevel"/>
    <w:lvl w:ilvl="0">
      <w:lvlJc w:val="left"/>
      <w:lvlText w:val="•"/>
      <w:numFmt w:val="bullet"/>
      <w:start w:val="1"/>
    </w:lvl>
  </w:abstractNum>
  <w:abstractNum w:abstractNumId="19">
    <w:nsid w:val="60EF0119"/>
    <w:multiLevelType w:val="hybridMultilevel"/>
    <w:lvl w:ilvl="0">
      <w:lvlJc w:val="left"/>
      <w:lvlText w:val="•"/>
      <w:numFmt w:val="bullet"/>
      <w:start w:val="1"/>
    </w:lvl>
  </w:abstractNum>
  <w:abstractNum w:abstractNumId="20">
    <w:nsid w:val="26F324BA"/>
    <w:multiLevelType w:val="hybridMultilevel"/>
    <w:lvl w:ilvl="0">
      <w:lvlJc w:val="left"/>
      <w:lvlText w:val="•"/>
      <w:numFmt w:val="bullet"/>
      <w:start w:val="1"/>
    </w:lvl>
  </w:abstractNum>
  <w:abstractNum w:abstractNumId="21">
    <w:nsid w:val="7F01579B"/>
    <w:multiLevelType w:val="hybridMultilevel"/>
    <w:lvl w:ilvl="0">
      <w:lvlJc w:val="left"/>
      <w:lvlText w:val="•"/>
      <w:numFmt w:val="bullet"/>
      <w:start w:val="1"/>
    </w:lvl>
  </w:abstractNum>
  <w:abstractNum w:abstractNumId="22">
    <w:nsid w:val="49DA307D"/>
    <w:multiLevelType w:val="hybridMultilevel"/>
    <w:lvl w:ilvl="0">
      <w:lvlJc w:val="left"/>
      <w:lvlText w:val="•"/>
      <w:numFmt w:val="bullet"/>
      <w:start w:val="1"/>
    </w:lvl>
  </w:abstractNum>
  <w:abstractNum w:abstractNumId="23">
    <w:nsid w:val="7055A5F5"/>
    <w:multiLevelType w:val="hybridMultilevel"/>
    <w:lvl w:ilvl="0">
      <w:lvlJc w:val="left"/>
      <w:lvlText w:val="•"/>
      <w:numFmt w:val="bullet"/>
      <w:start w:val="1"/>
    </w:lvl>
  </w:abstractNum>
  <w:abstractNum w:abstractNumId="24">
    <w:nsid w:val="5FB8370B"/>
    <w:multiLevelType w:val="hybridMultilevel"/>
    <w:lvl w:ilvl="0">
      <w:lvlJc w:val="left"/>
      <w:lvlText w:val="•"/>
      <w:numFmt w:val="bullet"/>
      <w:start w:val="1"/>
    </w:lvl>
  </w:abstractNum>
  <w:abstractNum w:abstractNumId="25">
    <w:nsid w:val="50801EE1"/>
    <w:multiLevelType w:val="hybridMultilevel"/>
    <w:lvl w:ilvl="0">
      <w:lvlJc w:val="left"/>
      <w:lvlText w:val="•"/>
      <w:numFmt w:val="bullet"/>
      <w:start w:val="1"/>
    </w:lvl>
  </w:abstractNum>
  <w:abstractNum w:abstractNumId="26">
    <w:nsid w:val="488AC1A"/>
    <w:multiLevelType w:val="hybridMultilevel"/>
    <w:lvl w:ilvl="0">
      <w:lvlJc w:val="left"/>
      <w:lvlText w:val="•"/>
      <w:numFmt w:val="bullet"/>
      <w:start w:val="1"/>
    </w:lvl>
  </w:abstractNum>
  <w:abstractNum w:abstractNumId="27">
    <w:nsid w:val="5FB8011C"/>
    <w:multiLevelType w:val="hybridMultilevel"/>
    <w:lvl w:ilvl="0">
      <w:lvlJc w:val="left"/>
      <w:lvlText w:val="•"/>
      <w:numFmt w:val="bullet"/>
      <w:start w:val="1"/>
    </w:lvl>
  </w:abstractNum>
  <w:abstractNum w:abstractNumId="28">
    <w:nsid w:val="6AA78F7F"/>
    <w:multiLevelType w:val="hybridMultilevel"/>
    <w:lvl w:ilvl="0">
      <w:lvlJc w:val="left"/>
      <w:lvlText w:val="•"/>
      <w:numFmt w:val="bullet"/>
      <w:start w:val="1"/>
    </w:lvl>
  </w:abstractNum>
  <w:abstractNum w:abstractNumId="29">
    <w:nsid w:val="7672BD23"/>
    <w:multiLevelType w:val="hybridMultilevel"/>
    <w:lvl w:ilvl="0">
      <w:lvlJc w:val="left"/>
      <w:lvlText w:val="•"/>
      <w:numFmt w:val="bullet"/>
      <w:start w:val="1"/>
    </w:lvl>
  </w:abstractNum>
  <w:abstractNum w:abstractNumId="30">
    <w:nsid w:val="6FC75AF8"/>
    <w:multiLevelType w:val="hybridMultilevel"/>
    <w:lvl w:ilvl="0">
      <w:lvlJc w:val="left"/>
      <w:lvlText w:val="•"/>
      <w:numFmt w:val="bullet"/>
      <w:start w:val="1"/>
    </w:lvl>
  </w:abstractNum>
  <w:abstractNum w:abstractNumId="31">
    <w:nsid w:val="6A5F7029"/>
    <w:multiLevelType w:val="hybridMultilevel"/>
    <w:lvl w:ilvl="0">
      <w:lvlJc w:val="left"/>
      <w:lvlText w:val="•"/>
      <w:numFmt w:val="bullet"/>
      <w:start w:val="1"/>
    </w:lvl>
  </w:abstractNum>
  <w:abstractNum w:abstractNumId="32">
    <w:nsid w:val="7D5E18F8"/>
    <w:multiLevelType w:val="hybridMultilevel"/>
    <w:lvl w:ilvl="0">
      <w:lvlJc w:val="left"/>
      <w:lvlText w:val="•"/>
      <w:numFmt w:val="bullet"/>
      <w:start w:val="1"/>
    </w:lvl>
  </w:abstractNum>
  <w:abstractNum w:abstractNumId="33">
    <w:nsid w:val="5F3534A4"/>
    <w:multiLevelType w:val="hybridMultilevel"/>
    <w:lvl w:ilvl="0">
      <w:lvlJc w:val="left"/>
      <w:lvlText w:val="%1."/>
      <w:numFmt w:val="upperLetter"/>
      <w:start w:val="1"/>
    </w:lvl>
  </w:abstractNum>
  <w:abstractNum w:abstractNumId="34">
    <w:nsid w:val="73A1821B"/>
    <w:multiLevelType w:val="hybridMultilevel"/>
    <w:lvl w:ilvl="0">
      <w:lvlJc w:val="left"/>
      <w:lvlText w:val="%1."/>
      <w:numFmt w:val="upperLetter"/>
      <w:start w:val="2"/>
    </w:lvl>
  </w:abstractNum>
  <w:abstractNum w:abstractNumId="35">
    <w:nsid w:val="7DE67713"/>
    <w:multiLevelType w:val="hybridMultilevel"/>
    <w:lvl w:ilvl="0">
      <w:lvlJc w:val="left"/>
      <w:lvlText w:val="•"/>
      <w:numFmt w:val="bullet"/>
      <w:start w:val="1"/>
    </w:lvl>
  </w:abstractNum>
  <w:abstractNum w:abstractNumId="36">
    <w:nsid w:val="555C55B5"/>
    <w:multiLevelType w:val="hybridMultilevel"/>
    <w:lvl w:ilvl="0">
      <w:lvlJc w:val="left"/>
      <w:lvlText w:val="•"/>
      <w:numFmt w:val="bullet"/>
      <w:start w:val="1"/>
    </w:lvl>
  </w:abstractNum>
  <w:abstractNum w:abstractNumId="37">
    <w:nsid w:val="3FA62ACA"/>
    <w:multiLevelType w:val="hybridMultilevel"/>
    <w:lvl w:ilvl="0">
      <w:lvlJc w:val="left"/>
      <w:lvlText w:val="•"/>
      <w:numFmt w:val="bullet"/>
      <w:start w:val="1"/>
    </w:lvl>
  </w:abstractNum>
  <w:abstractNum w:abstractNumId="38">
    <w:nsid w:val="14FCE74E"/>
    <w:multiLevelType w:val="hybridMultilevel"/>
    <w:lvl w:ilvl="0">
      <w:lvlJc w:val="left"/>
      <w:lvlText w:val="•"/>
      <w:numFmt w:val="bullet"/>
      <w:start w:val="1"/>
    </w:lvl>
  </w:abstractNum>
  <w:abstractNum w:abstractNumId="39">
    <w:nsid w:val="6A3DD3E8"/>
    <w:multiLevelType w:val="hybridMultilevel"/>
    <w:lvl w:ilvl="0">
      <w:lvlJc w:val="left"/>
      <w:lvlText w:val="•"/>
      <w:numFmt w:val="bullet"/>
      <w:start w:val="1"/>
    </w:lvl>
  </w:abstractNum>
  <w:abstractNum w:abstractNumId="40">
    <w:nsid w:val="71C91298"/>
    <w:multiLevelType w:val="hybridMultilevel"/>
    <w:lvl w:ilvl="0">
      <w:lvlJc w:val="left"/>
      <w:lvlText w:val="•"/>
      <w:numFmt w:val="bullet"/>
      <w:start w:val="1"/>
    </w:lvl>
  </w:abstractNum>
  <w:abstractNum w:abstractNumId="41">
    <w:nsid w:val="9DAF632"/>
    <w:multiLevelType w:val="hybridMultilevel"/>
    <w:lvl w:ilvl="0">
      <w:lvlJc w:val="left"/>
      <w:lvlText w:val="•"/>
      <w:numFmt w:val="bullet"/>
      <w:start w:val="1"/>
    </w:lvl>
  </w:abstractNum>
  <w:abstractNum w:abstractNumId="42">
    <w:nsid w:val="53299938"/>
    <w:multiLevelType w:val="hybridMultilevel"/>
    <w:lvl w:ilvl="0">
      <w:lvlJc w:val="left"/>
      <w:lvlText w:val="•"/>
      <w:numFmt w:val="bullet"/>
      <w:start w:val="1"/>
    </w:lvl>
  </w:abstractNum>
  <w:abstractNum w:abstractNumId="43">
    <w:nsid w:val="1FBFE8E0"/>
    <w:multiLevelType w:val="hybridMultilevel"/>
    <w:lvl w:ilvl="0">
      <w:lvlJc w:val="left"/>
      <w:lvlText w:val="(%1)"/>
      <w:numFmt w:val="decimal"/>
      <w:start w:val="2"/>
    </w:lvl>
  </w:abstractNum>
  <w:abstractNum w:abstractNumId="44">
    <w:nsid w:val="5092CA79"/>
    <w:multiLevelType w:val="hybridMultilevel"/>
    <w:lvl w:ilvl="0">
      <w:lvlJc w:val="left"/>
      <w:lvlText w:val="•"/>
      <w:numFmt w:val="bullet"/>
      <w:start w:val="1"/>
    </w:lvl>
  </w:abstractNum>
  <w:abstractNum w:abstractNumId="45">
    <w:nsid w:val="1D545C4D"/>
    <w:multiLevelType w:val="hybridMultilevel"/>
    <w:lvl w:ilvl="0">
      <w:lvlJc w:val="left"/>
      <w:lvlText w:val="•"/>
      <w:numFmt w:val="bullet"/>
      <w:start w:val="1"/>
    </w:lvl>
  </w:abstractNum>
  <w:abstractNum w:abstractNumId="46">
    <w:nsid w:val="59ADEA3D"/>
    <w:multiLevelType w:val="hybridMultilevel"/>
    <w:lvl w:ilvl="0">
      <w:lvlJc w:val="left"/>
      <w:lvlText w:val="(%1)"/>
      <w:numFmt w:val="decimal"/>
      <w:start w:val="3"/>
    </w:lvl>
  </w:abstractNum>
  <w:abstractNum w:abstractNumId="47">
    <w:nsid w:val="288F1A34"/>
    <w:multiLevelType w:val="hybridMultilevel"/>
    <w:lvl w:ilvl="0">
      <w:lvlJc w:val="left"/>
      <w:lvlText w:val="•"/>
      <w:numFmt w:val="bullet"/>
      <w:start w:val="1"/>
    </w:lvl>
  </w:abstractNum>
  <w:abstractNum w:abstractNumId="48">
    <w:nsid w:val="2A155DBC"/>
    <w:multiLevelType w:val="hybridMultilevel"/>
    <w:lvl w:ilvl="0">
      <w:lvlJc w:val="left"/>
      <w:lvlText w:val="•"/>
      <w:numFmt w:val="bullet"/>
      <w:start w:val="1"/>
    </w:lvl>
  </w:abstractNum>
  <w:abstractNum w:abstractNumId="49">
    <w:nsid w:val="1D9F6E5F"/>
    <w:multiLevelType w:val="hybridMultilevel"/>
    <w:lvl w:ilvl="0">
      <w:lvlJc w:val="left"/>
      <w:lvlText w:val="•"/>
      <w:numFmt w:val="bullet"/>
      <w:start w:val="1"/>
    </w:lvl>
  </w:abstractNum>
  <w:abstractNum w:abstractNumId="50">
    <w:nsid w:val="97E1B4E"/>
    <w:multiLevelType w:val="hybridMultilevel"/>
    <w:lvl w:ilvl="0">
      <w:lvlJc w:val="left"/>
      <w:lvlText w:val="•"/>
      <w:numFmt w:val="bullet"/>
      <w:start w:val="1"/>
    </w:lvl>
  </w:abstractNum>
  <w:abstractNum w:abstractNumId="51">
    <w:nsid w:val="51088277"/>
    <w:multiLevelType w:val="hybridMultilevel"/>
    <w:lvl w:ilvl="0">
      <w:lvlJc w:val="left"/>
      <w:lvlText w:val="•"/>
      <w:numFmt w:val="bullet"/>
      <w:start w:val="1"/>
    </w:lvl>
  </w:abstractNum>
  <w:abstractNum w:abstractNumId="52">
    <w:nsid w:val="1CA0C5FA"/>
    <w:multiLevelType w:val="hybridMultilevel"/>
    <w:lvl w:ilvl="0">
      <w:lvlJc w:val="left"/>
      <w:lvlText w:val="%1."/>
      <w:numFmt w:val="upperLetter"/>
      <w:start w:val="3"/>
    </w:lvl>
  </w:abstractNum>
  <w:abstractNum w:abstractNumId="53">
    <w:nsid w:val="53584BCB"/>
    <w:multiLevelType w:val="hybridMultilevel"/>
    <w:lvl w:ilvl="0">
      <w:lvlJc w:val="left"/>
      <w:lvlText w:val="%1."/>
      <w:numFmt w:val="upperLetter"/>
      <w:start w:val="4"/>
    </w:lvl>
  </w:abstractNum>
  <w:abstractNum w:abstractNumId="54">
    <w:nsid w:val="415E286C"/>
    <w:multiLevelType w:val="hybridMultilevel"/>
    <w:lvl w:ilvl="0">
      <w:lvlJc w:val="left"/>
      <w:lvlText w:val="%1."/>
      <w:numFmt w:val="upperLetter"/>
      <w:start w:val="1"/>
    </w:lvl>
  </w:abstractNum>
  <w:abstractNum w:abstractNumId="55">
    <w:nsid w:val="7C58FD05"/>
    <w:multiLevelType w:val="hybridMultilevel"/>
    <w:lvl w:ilvl="0">
      <w:lvlJc w:val="left"/>
      <w:lvlText w:val="•"/>
      <w:numFmt w:val="bullet"/>
      <w:start w:val="1"/>
    </w:lvl>
  </w:abstractNum>
  <w:abstractNum w:abstractNumId="56">
    <w:nsid w:val="23D86AAC"/>
    <w:multiLevelType w:val="hybridMultilevel"/>
    <w:lvl w:ilvl="0">
      <w:lvlJc w:val="left"/>
      <w:lvlText w:val="•"/>
      <w:numFmt w:val="bullet"/>
      <w:start w:val="1"/>
    </w:lvl>
  </w:abstractNum>
  <w:abstractNum w:abstractNumId="57">
    <w:nsid w:val="45E6D486"/>
    <w:multiLevelType w:val="hybridMultilevel"/>
    <w:lvl w:ilvl="0">
      <w:lvlJc w:val="left"/>
      <w:lvlText w:val="(%1)"/>
      <w:numFmt w:val="lowerLetter"/>
      <w:start w:val="4"/>
    </w:lvl>
  </w:abstractNum>
  <w:abstractNum w:abstractNumId="58">
    <w:nsid w:val="5C10FE21"/>
    <w:multiLevelType w:val="hybridMultilevel"/>
    <w:lvl w:ilvl="0">
      <w:lvlJc w:val="left"/>
      <w:lvlText w:val="%1."/>
      <w:numFmt w:val="upperLetter"/>
      <w:start w:val="2"/>
    </w:lvl>
  </w:abstractNum>
  <w:abstractNum w:abstractNumId="59">
    <w:nsid w:val="E7FFA2B"/>
    <w:multiLevelType w:val="hybridMultilevel"/>
    <w:lvl w:ilvl="0">
      <w:lvlJc w:val="left"/>
      <w:lvlText w:val="•"/>
      <w:numFmt w:val="bullet"/>
      <w:start w:val="1"/>
    </w:lvl>
  </w:abstractNum>
  <w:abstractNum w:abstractNumId="60">
    <w:nsid w:val="3C5991AA"/>
    <w:multiLevelType w:val="hybridMultilevel"/>
    <w:lvl w:ilvl="0">
      <w:lvlJc w:val="left"/>
      <w:lvlText w:val="%1."/>
      <w:numFmt w:val="upperLetter"/>
      <w:start w:val="3"/>
    </w:lvl>
  </w:abstractNum>
  <w:abstractNum w:abstractNumId="61">
    <w:nsid w:val="4BD8591A"/>
    <w:multiLevelType w:val="hybridMultilevel"/>
    <w:lvl w:ilvl="0">
      <w:lvlJc w:val="left"/>
      <w:lvlText w:val="%1."/>
      <w:numFmt w:val="upperLetter"/>
      <w:start w:val="4"/>
    </w:lvl>
  </w:abstractNum>
  <w:abstractNum w:abstractNumId="62">
    <w:nsid w:val="78DF6A55"/>
    <w:multiLevelType w:val="hybridMultilevel"/>
    <w:lvl w:ilvl="0">
      <w:lvlJc w:val="left"/>
      <w:lvlText w:val="%1."/>
      <w:numFmt w:val="upperLetter"/>
      <w:start w:val="5"/>
    </w:lvl>
  </w:abstractNum>
  <w:abstractNum w:abstractNumId="63">
    <w:nsid w:val="39B7AAA2"/>
    <w:multiLevelType w:val="hybridMultilevel"/>
    <w:lvl w:ilvl="0">
      <w:lvlJc w:val="left"/>
      <w:lvlText w:val="%1."/>
      <w:numFmt w:val="upperLetter"/>
      <w:start w:val="6"/>
    </w:lvl>
  </w:abstractNum>
  <w:abstractNum w:abstractNumId="64">
    <w:nsid w:val="2B0D8DBE"/>
    <w:multiLevelType w:val="hybridMultilevel"/>
    <w:lvl w:ilvl="0">
      <w:lvlJc w:val="left"/>
      <w:lvlText w:val="(%1)"/>
      <w:numFmt w:val="decimal"/>
      <w:start w:val="1"/>
    </w:lvl>
  </w:abstractNum>
  <w:abstractNum w:abstractNumId="65">
    <w:nsid w:val="6C80EC70"/>
    <w:multiLevelType w:val="hybridMultilevel"/>
    <w:lvl w:ilvl="0">
      <w:lvlJc w:val="left"/>
      <w:lvlText w:val="%1."/>
      <w:numFmt w:val="upperLetter"/>
      <w:start w:val="1"/>
    </w:lvl>
  </w:abstractNum>
  <w:abstractNum w:abstractNumId="66">
    <w:nsid w:val="379E21B5"/>
    <w:multiLevelType w:val="hybridMultilevel"/>
    <w:lvl w:ilvl="0">
      <w:lvlJc w:val="left"/>
      <w:lvlText w:val="%1."/>
      <w:numFmt w:val="upperLetter"/>
      <w:start w:val="2"/>
    </w:lvl>
  </w:abstractNum>
  <w:abstractNum w:abstractNumId="67">
    <w:nsid w:val="69E373"/>
    <w:multiLevelType w:val="hybridMultilevel"/>
    <w:lvl w:ilvl="0">
      <w:lvlJc w:val="left"/>
      <w:lvlText w:val="(%1)"/>
      <w:numFmt w:val="decimal"/>
      <w:start w:val="1"/>
    </w:lvl>
  </w:abstractNum>
  <w:abstractNum w:abstractNumId="68">
    <w:nsid w:val="2C27173B"/>
    <w:multiLevelType w:val="hybridMultilevel"/>
    <w:lvl w:ilvl="0">
      <w:lvlJc w:val="left"/>
      <w:lvlText w:val="%1."/>
      <w:numFmt w:val="upperLetter"/>
      <w:start w:val="3"/>
    </w:lvl>
  </w:abstractNum>
  <w:abstractNum w:abstractNumId="69">
    <w:nsid w:val="4C9B0904"/>
    <w:multiLevelType w:val="hybridMultilevel"/>
    <w:lvl w:ilvl="0">
      <w:lvlJc w:val="left"/>
      <w:lvlText w:val="•"/>
      <w:numFmt w:val="bullet"/>
      <w:start w:val="1"/>
    </w:lvl>
  </w:abstractNum>
  <w:abstractNum w:abstractNumId="70">
    <w:nsid w:val="6AA7B75C"/>
    <w:multiLevelType w:val="hybridMultilevel"/>
    <w:lvl w:ilvl="0">
      <w:lvlJc w:val="left"/>
      <w:lvlText w:val="•"/>
      <w:numFmt w:val="bullet"/>
      <w:start w:val="1"/>
    </w:lvl>
  </w:abstractNum>
  <w:abstractNum w:abstractNumId="71">
    <w:nsid w:val="1DF029D3"/>
    <w:multiLevelType w:val="hybridMultilevel"/>
    <w:lvl w:ilvl="0">
      <w:lvlJc w:val="left"/>
      <w:lvlText w:val="•"/>
      <w:numFmt w:val="bullet"/>
      <w:start w:val="1"/>
    </w:lvl>
  </w:abstractNum>
  <w:abstractNum w:abstractNumId="72">
    <w:nsid w:val="5675FF36"/>
    <w:multiLevelType w:val="hybridMultilevel"/>
    <w:lvl w:ilvl="0">
      <w:lvlJc w:val="left"/>
      <w:lvlText w:val="•"/>
      <w:numFmt w:val="bullet"/>
      <w:start w:val="1"/>
    </w:lvl>
  </w:abstractNum>
  <w:abstractNum w:abstractNumId="73">
    <w:nsid w:val="3DD15094"/>
    <w:multiLevelType w:val="hybridMultilevel"/>
    <w:lvl w:ilvl="0">
      <w:lvlJc w:val="left"/>
      <w:lvlText w:val="•"/>
      <w:numFmt w:val="bullet"/>
      <w:start w:val="1"/>
    </w:lvl>
  </w:abstractNum>
  <w:abstractNum w:abstractNumId="74">
    <w:nsid w:val="3DB012B3"/>
    <w:multiLevelType w:val="hybridMultilevel"/>
    <w:lvl w:ilvl="0">
      <w:lvlJc w:val="left"/>
      <w:lvlText w:val="•"/>
      <w:numFmt w:val="bullet"/>
      <w:start w:val="1"/>
    </w:lvl>
  </w:abstractNum>
  <w:abstractNum w:abstractNumId="75">
    <w:nsid w:val="2708C9AF"/>
    <w:multiLevelType w:val="hybridMultilevel"/>
    <w:lvl w:ilvl="0">
      <w:lvlJc w:val="left"/>
      <w:lvlText w:val="•"/>
      <w:numFmt w:val="bullet"/>
      <w:start w:val="1"/>
    </w:lvl>
  </w:abstractNum>
  <w:abstractNum w:abstractNumId="76">
    <w:nsid w:val="5B25ACE2"/>
    <w:multiLevelType w:val="hybridMultilevel"/>
    <w:lvl w:ilvl="0">
      <w:lvlJc w:val="left"/>
      <w:lvlText w:val="(%1)"/>
      <w:numFmt w:val="decimal"/>
      <w:start w:val="1"/>
    </w:lvl>
  </w:abstractNum>
  <w:abstractNum w:abstractNumId="77">
    <w:nsid w:val="175DFCF0"/>
    <w:multiLevelType w:val="hybridMultilevel"/>
    <w:lvl w:ilvl="0">
      <w:lvlJc w:val="left"/>
      <w:lvlText w:val="•"/>
      <w:numFmt w:val="bullet"/>
      <w:start w:val="1"/>
    </w:lvl>
  </w:abstractNum>
  <w:abstractNum w:abstractNumId="78">
    <w:nsid w:val="4F97E3E4"/>
    <w:multiLevelType w:val="hybridMultilevel"/>
    <w:lvl w:ilvl="0">
      <w:lvlJc w:val="left"/>
      <w:lvlText w:val="•"/>
      <w:numFmt w:val="bullet"/>
      <w:start w:val="1"/>
    </w:lvl>
    <w:lvl w:ilvl="1">
      <w:lvlJc w:val="left"/>
      <w:lvlText w:val="\endash "/>
      <w:numFmt w:val="bullet"/>
      <w:start w:val="1"/>
    </w:lvl>
  </w:abstractNum>
  <w:abstractNum w:abstractNumId="79">
    <w:nsid w:val="53B0A9E"/>
    <w:multiLevelType w:val="hybridMultilevel"/>
    <w:lvl w:ilvl="0">
      <w:lvlJc w:val="left"/>
      <w:lvlText w:val="•"/>
      <w:numFmt w:val="bullet"/>
      <w:start w:val="1"/>
    </w:lvl>
  </w:abstractNum>
  <w:abstractNum w:abstractNumId="80">
    <w:nsid w:val="34FD6B4F"/>
    <w:multiLevelType w:val="hybridMultilevel"/>
    <w:lvl w:ilvl="0">
      <w:lvlJc w:val="left"/>
      <w:lvlText w:val="•"/>
      <w:numFmt w:val="bullet"/>
      <w:start w:val="1"/>
    </w:lvl>
  </w:abstractNum>
  <w:abstractNum w:abstractNumId="81">
    <w:nsid w:val="5915FF32"/>
    <w:multiLevelType w:val="hybridMultilevel"/>
    <w:lvl w:ilvl="0">
      <w:lvlJc w:val="left"/>
      <w:lvlText w:val="•"/>
      <w:numFmt w:val="bullet"/>
      <w:start w:val="1"/>
    </w:lvl>
  </w:abstractNum>
  <w:abstractNum w:abstractNumId="82">
    <w:nsid w:val="56438D15"/>
    <w:multiLevelType w:val="hybridMultilevel"/>
    <w:lvl w:ilvl="0">
      <w:lvlJc w:val="left"/>
      <w:lvlText w:val="(%1)"/>
      <w:numFmt w:val="lowerRoman"/>
      <w:start w:val="1"/>
    </w:lvl>
    <w:lvl w:ilvl="1">
      <w:lvlJc w:val="left"/>
      <w:lvlText w:val="•"/>
      <w:numFmt w:val="bullet"/>
      <w:start w:val="1"/>
    </w:lvl>
  </w:abstractNum>
  <w:abstractNum w:abstractNumId="83">
    <w:nsid w:val="519E3149"/>
    <w:multiLevelType w:val="hybridMultilevel"/>
    <w:lvl w:ilvl="0">
      <w:lvlJc w:val="left"/>
      <w:lvlText w:val="•"/>
      <w:numFmt w:val="bullet"/>
      <w:start w:val="1"/>
    </w:lvl>
  </w:abstractNum>
  <w:abstractNum w:abstractNumId="84">
    <w:nsid w:val="2C6E4AFD"/>
    <w:multiLevelType w:val="hybridMultilevel"/>
    <w:lvl w:ilvl="0">
      <w:lvlJc w:val="left"/>
      <w:lvlText w:val="•"/>
      <w:numFmt w:val="bullet"/>
      <w:start w:val="1"/>
    </w:lvl>
  </w:abstractNum>
  <w:abstractNum w:abstractNumId="85">
    <w:nsid w:val="17A1B582"/>
    <w:multiLevelType w:val="hybridMultilevel"/>
    <w:lvl w:ilvl="0">
      <w:lvlJc w:val="left"/>
      <w:lvlText w:val="•"/>
      <w:numFmt w:val="bullet"/>
      <w:start w:val="1"/>
    </w:lvl>
  </w:abstractNum>
  <w:abstractNum w:abstractNumId="86">
    <w:nsid w:val="4DF72E4E"/>
    <w:multiLevelType w:val="hybridMultilevel"/>
    <w:lvl w:ilvl="0">
      <w:lvlJc w:val="left"/>
      <w:lvlText w:val="•"/>
      <w:numFmt w:val="bullet"/>
      <w:start w:val="1"/>
    </w:lvl>
  </w:abstractNum>
  <w:abstractNum w:abstractNumId="87">
    <w:nsid w:val="5046B5A9"/>
    <w:multiLevelType w:val="hybridMultilevel"/>
    <w:lvl w:ilvl="0">
      <w:lvlJc w:val="left"/>
      <w:lvlText w:val="•"/>
      <w:numFmt w:val="bullet"/>
      <w:start w:val="1"/>
    </w:lvl>
  </w:abstractNum>
  <w:abstractNum w:abstractNumId="88">
    <w:nsid w:val="5D888A08"/>
    <w:multiLevelType w:val="hybridMultilevel"/>
    <w:lvl w:ilvl="0">
      <w:lvlJc w:val="left"/>
      <w:lvlText w:val="•"/>
      <w:numFmt w:val="bullet"/>
      <w:start w:val="1"/>
    </w:lvl>
  </w:abstractNum>
  <w:abstractNum w:abstractNumId="89">
    <w:nsid w:val="2A082C70"/>
    <w:multiLevelType w:val="hybridMultilevel"/>
    <w:lvl w:ilvl="0">
      <w:lvlJc w:val="left"/>
      <w:lvlText w:val="%1."/>
      <w:numFmt w:val="upperLetter"/>
      <w:start w:val="4"/>
    </w:lvl>
  </w:abstractNum>
  <w:abstractNum w:abstractNumId="90">
    <w:nsid w:val="5EC6AFD4"/>
    <w:multiLevelType w:val="hybridMultilevel"/>
    <w:lvl w:ilvl="0">
      <w:lvlJc w:val="left"/>
      <w:lvlText w:val="%1."/>
      <w:numFmt w:val="upperLetter"/>
      <w:start w:val="5"/>
    </w:lvl>
  </w:abstractNum>
  <w:abstractNum w:abstractNumId="91">
    <w:nsid w:val="19E21BB2"/>
    <w:multiLevelType w:val="hybridMultilevel"/>
    <w:lvl w:ilvl="0">
      <w:lvlJc w:val="left"/>
      <w:lvlText w:val="%1."/>
      <w:numFmt w:val="upperLetter"/>
      <w:start w:val="1"/>
    </w:lvl>
  </w:abstractNum>
  <w:abstractNum w:abstractNumId="92">
    <w:nsid w:val="75E0858A"/>
    <w:multiLevelType w:val="hybridMultilevel"/>
    <w:lvl w:ilvl="0">
      <w:lvlJc w:val="left"/>
      <w:lvlText w:val="•"/>
      <w:numFmt w:val="bullet"/>
      <w:start w:val="1"/>
    </w:lvl>
  </w:abstractNum>
  <w:abstractNum w:abstractNumId="93">
    <w:nsid w:val="57A61A29"/>
    <w:multiLevelType w:val="hybridMultilevel"/>
    <w:lvl w:ilvl="0">
      <w:lvlJc w:val="left"/>
      <w:lvlText w:val="*"/>
      <w:numFmt w:val="bullet"/>
      <w:start w:val="1"/>
    </w:lvl>
    <w:lvl w:ilvl="1">
      <w:lvlJc w:val="left"/>
      <w:lvlText w:val="(%2)"/>
      <w:numFmt w:val="decimal"/>
      <w:start w:val="1"/>
    </w:lvl>
  </w:abstractNum>
  <w:abstractNum w:abstractNumId="94">
    <w:nsid w:val="5399C654"/>
    <w:multiLevelType w:val="hybridMultilevel"/>
    <w:lvl w:ilvl="0">
      <w:lvlJc w:val="left"/>
      <w:lvlText w:val="%1."/>
      <w:numFmt w:val="upperLetter"/>
      <w:start w:val="2"/>
    </w:lvl>
  </w:abstractNum>
  <w:abstractNum w:abstractNumId="95">
    <w:nsid w:val="20EE1348"/>
    <w:multiLevelType w:val="hybridMultilevel"/>
    <w:lvl w:ilvl="0">
      <w:lvlJc w:val="left"/>
      <w:lvlText w:val="%1."/>
      <w:numFmt w:val="upperLetter"/>
      <w:start w:val="3"/>
    </w:lvl>
  </w:abstractNum>
  <w:abstractNum w:abstractNumId="96">
    <w:nsid w:val="4427069A"/>
    <w:multiLevelType w:val="hybridMultilevel"/>
    <w:lvl w:ilvl="0">
      <w:lvlJc w:val="left"/>
      <w:lvlText w:val="%1."/>
      <w:numFmt w:val="upperLetter"/>
      <w:start w:val="1"/>
    </w:lvl>
  </w:abstractNum>
  <w:abstractNum w:abstractNumId="97">
    <w:nsid w:val="B37E80A"/>
    <w:multiLevelType w:val="hybridMultilevel"/>
    <w:lvl w:ilvl="0">
      <w:lvlJc w:val="left"/>
      <w:lvlText w:val="%1."/>
      <w:numFmt w:val="upperLetter"/>
      <w:start w:val="2"/>
    </w:lvl>
  </w:abstractNum>
  <w:abstractNum w:abstractNumId="98">
    <w:nsid w:val="2157F6BC"/>
    <w:multiLevelType w:val="hybridMultilevel"/>
    <w:lvl w:ilvl="0">
      <w:lvlJc w:val="left"/>
      <w:lvlText w:val="%1."/>
      <w:numFmt w:val="upperLetter"/>
      <w:start w:val="1"/>
    </w:lvl>
  </w:abstractNum>
  <w:abstractNum w:abstractNumId="99">
    <w:nsid w:val="704E1DD5"/>
    <w:multiLevelType w:val="hybridMultilevel"/>
    <w:lvl w:ilvl="0">
      <w:lvlJc w:val="left"/>
      <w:lvlText w:val="%1."/>
      <w:numFmt w:val="upperLetter"/>
      <w:start w:val="2"/>
    </w:lvl>
  </w:abstractNum>
  <w:abstractNum w:abstractNumId="100">
    <w:nsid w:val="57D2F10E"/>
    <w:multiLevelType w:val="hybridMultilevel"/>
    <w:lvl w:ilvl="0">
      <w:lvlJc w:val="left"/>
      <w:lvlText w:val="%1."/>
      <w:numFmt w:val="upperLetter"/>
      <w:start w:val="3"/>
    </w:lvl>
  </w:abstractNum>
  <w:abstractNum w:abstractNumId="101">
    <w:nsid w:val="BFFAE18"/>
    <w:multiLevelType w:val="hybridMultilevel"/>
    <w:lvl w:ilvl="0">
      <w:lvlJc w:val="left"/>
      <w:lvlText w:val="%1."/>
      <w:numFmt w:val="upperLetter"/>
      <w:start w:val="4"/>
    </w:lvl>
  </w:abstractNum>
  <w:abstractNum w:abstractNumId="102">
    <w:nsid w:val="E3E47A8"/>
    <w:multiLevelType w:val="hybridMultilevel"/>
    <w:lvl w:ilvl="0">
      <w:lvlJc w:val="left"/>
      <w:lvlText w:val="%1."/>
      <w:numFmt w:val="upperLetter"/>
      <w:start w:val="5"/>
    </w:lvl>
  </w:abstractNum>
  <w:abstractNum w:abstractNumId="103">
    <w:nsid w:val="2E48F044"/>
    <w:multiLevelType w:val="hybridMultilevel"/>
    <w:lvl w:ilvl="0">
      <w:lvlJc w:val="left"/>
      <w:lvlText w:val="%1."/>
      <w:numFmt w:val="upperLetter"/>
      <w:start w:val="6"/>
    </w:lvl>
  </w:abstractNum>
  <w:abstractNum w:abstractNumId="104">
    <w:nsid w:val="49D0FEAC"/>
    <w:multiLevelType w:val="hybridMultilevel"/>
    <w:lvl w:ilvl="0">
      <w:lvlJc w:val="left"/>
      <w:lvlText w:val="%1."/>
      <w:numFmt w:val="upperLetter"/>
      <w:start w:val="1"/>
    </w:lvl>
  </w:abstractNum>
  <w:abstractNum w:abstractNumId="105">
    <w:nsid w:val="4BEE5A5B"/>
    <w:multiLevelType w:val="hybridMultilevel"/>
    <w:lvl w:ilvl="0">
      <w:lvlJc w:val="left"/>
      <w:lvlText w:val="%1."/>
      <w:numFmt w:val="upperLetter"/>
      <w:start w:val="2"/>
    </w:lvl>
  </w:abstractNum>
  <w:abstractNum w:abstractNumId="106">
    <w:nsid w:val="5551B9F3"/>
    <w:multiLevelType w:val="hybridMultilevel"/>
    <w:lvl w:ilvl="0">
      <w:lvlJc w:val="left"/>
      <w:lvlText w:val="•"/>
      <w:numFmt w:val="bullet"/>
      <w:start w:val="1"/>
    </w:lvl>
  </w:abstractNum>
  <w:abstractNum w:abstractNumId="107">
    <w:nsid w:val="24F6AB8E"/>
    <w:multiLevelType w:val="hybridMultilevel"/>
    <w:lvl w:ilvl="0">
      <w:lvlJc w:val="left"/>
      <w:lvlText w:val="%1."/>
      <w:numFmt w:val="upperLetter"/>
      <w:start w:val="3"/>
    </w:lvl>
  </w:abstractNum>
  <w:abstractNum w:abstractNumId="108">
    <w:nsid w:val="634C574C"/>
    <w:multiLevelType w:val="hybridMultilevel"/>
    <w:lvl w:ilvl="0">
      <w:lvlJc w:val="left"/>
      <w:lvlText w:val="%1."/>
      <w:numFmt w:val="upperLetter"/>
      <w:start w:val="4"/>
    </w:lvl>
  </w:abstractNum>
  <w:abstractNum w:abstractNumId="109">
    <w:nsid w:val="24E99DD7"/>
    <w:multiLevelType w:val="hybridMultilevel"/>
    <w:lvl w:ilvl="0">
      <w:lvlJc w:val="left"/>
      <w:lvlText w:val="%1."/>
      <w:numFmt w:val="upperLetter"/>
      <w:start w:val="5"/>
    </w:lvl>
  </w:abstractNum>
  <w:abstractNum w:abstractNumId="110">
    <w:nsid w:val="2A31B62D"/>
    <w:multiLevelType w:val="hybridMultilevel"/>
    <w:lvl w:ilvl="0">
      <w:lvlJc w:val="left"/>
      <w:lvlText w:val="•"/>
      <w:numFmt w:val="bullet"/>
      <w:start w:val="1"/>
    </w:lvl>
  </w:abstractNum>
  <w:abstractNum w:abstractNumId="111">
    <w:nsid w:val="1849C29B"/>
    <w:multiLevelType w:val="hybridMultilevel"/>
    <w:lvl w:ilvl="0">
      <w:lvlJc w:val="left"/>
      <w:lvlText w:val="•"/>
      <w:numFmt w:val="bullet"/>
      <w:start w:val="1"/>
    </w:lvl>
  </w:abstractNum>
  <w:abstractNum w:abstractNumId="112">
    <w:nsid w:val="7DFF9D09"/>
    <w:multiLevelType w:val="hybridMultilevel"/>
    <w:lvl w:ilvl="0">
      <w:lvlJc w:val="left"/>
      <w:lvlText w:val="\emdash "/>
      <w:numFmt w:val="bullet"/>
      <w:start w:val="1"/>
    </w:lvl>
  </w:abstractNum>
  <w:abstractNum w:abstractNumId="113">
    <w:nsid w:val="754342"/>
    <w:multiLevelType w:val="hybridMultilevel"/>
    <w:lvl w:ilvl="0">
      <w:lvlJc w:val="left"/>
      <w:lvlText w:val="(%1)"/>
      <w:numFmt w:val="lowerRoman"/>
      <w:start w:val="1"/>
    </w:lvl>
  </w:abstractNum>
  <w:abstractNum w:abstractNumId="114">
    <w:nsid w:val="69E7F3E5"/>
    <w:multiLevelType w:val="hybridMultilevel"/>
    <w:lvl w:ilvl="0">
      <w:lvlJc w:val="left"/>
      <w:lvlText w:val="•"/>
      <w:numFmt w:val="bullet"/>
      <w:start w:val="1"/>
    </w:lvl>
  </w:abstractNum>
  <w:abstractNum w:abstractNumId="115">
    <w:nsid w:val="2A6DE806"/>
    <w:multiLevelType w:val="hybridMultilevel"/>
    <w:lvl w:ilvl="0">
      <w:lvlJc w:val="left"/>
      <w:lvlText w:val="•"/>
      <w:numFmt w:val="bullet"/>
      <w:start w:val="1"/>
    </w:lvl>
  </w:abstractNum>
  <w:abstractNum w:abstractNumId="116">
    <w:nsid w:val="1816F8C4"/>
    <w:multiLevelType w:val="hybridMultilevel"/>
    <w:lvl w:ilvl="0">
      <w:lvlJc w:val="left"/>
      <w:lvlText w:val="•"/>
      <w:numFmt w:val="bullet"/>
      <w:start w:val="1"/>
    </w:lvl>
  </w:abstractNum>
  <w:abstractNum w:abstractNumId="117">
    <w:nsid w:val="37DF2233"/>
    <w:multiLevelType w:val="hybridMultilevel"/>
    <w:lvl w:ilvl="0">
      <w:lvlJc w:val="left"/>
      <w:lvlText w:val="•"/>
      <w:numFmt w:val="bullet"/>
      <w:start w:val="1"/>
    </w:lvl>
  </w:abstractNum>
  <w:abstractNum w:abstractNumId="118">
    <w:nsid w:val="7AB49DAF"/>
    <w:multiLevelType w:val="hybridMultilevel"/>
    <w:lvl w:ilvl="0">
      <w:lvlJc w:val="left"/>
      <w:lvlText w:val="•"/>
      <w:numFmt w:val="bullet"/>
      <w:start w:val="1"/>
    </w:lvl>
  </w:abstractNum>
  <w:abstractNum w:abstractNumId="119">
    <w:nsid w:val="759F82CD"/>
    <w:multiLevelType w:val="hybridMultilevel"/>
    <w:lvl w:ilvl="0">
      <w:lvlJc w:val="left"/>
      <w:lvlText w:val="•"/>
      <w:numFmt w:val="bullet"/>
      <w:start w:val="1"/>
    </w:lvl>
  </w:abstractNum>
  <w:abstractNum w:abstractNumId="120">
    <w:nsid w:val="61E74EA3"/>
    <w:multiLevelType w:val="hybridMultilevel"/>
    <w:lvl w:ilvl="0">
      <w:lvlJc w:val="left"/>
      <w:lvlText w:val="%1."/>
      <w:numFmt w:val="upperLetter"/>
      <w:start w:val="6"/>
    </w:lvl>
  </w:abstractNum>
  <w:abstractNum w:abstractNumId="121">
    <w:nsid w:val="597B4D84"/>
    <w:multiLevelType w:val="hybridMultilevel"/>
    <w:lvl w:ilvl="0">
      <w:lvlJc w:val="left"/>
      <w:lvlText w:val="%1."/>
      <w:numFmt w:val="upperLetter"/>
      <w:start w:val="7"/>
    </w:lvl>
  </w:abstractNum>
  <w:abstractNum w:abstractNumId="122">
    <w:nsid w:val="F819E7F"/>
    <w:multiLevelType w:val="hybridMultilevel"/>
    <w:lvl w:ilvl="0">
      <w:lvlJc w:val="left"/>
      <w:lvlText w:val="%1."/>
      <w:numFmt w:val="upperLetter"/>
      <w:start w:val="8"/>
    </w:lvl>
  </w:abstractNum>
  <w:abstractNum w:abstractNumId="123">
    <w:nsid w:val="57C7D42D"/>
    <w:multiLevelType w:val="hybridMultilevel"/>
    <w:lvl w:ilvl="0">
      <w:lvlJc w:val="left"/>
      <w:lvlText w:val="%1."/>
      <w:numFmt w:val="upperLetter"/>
      <w:start w:val="9"/>
    </w:lvl>
  </w:abstractNum>
  <w:abstractNum w:abstractNumId="124">
    <w:nsid w:val="312167AD"/>
    <w:multiLevelType w:val="hybridMultilevel"/>
    <w:lvl w:ilvl="0">
      <w:lvlJc w:val="left"/>
      <w:lvlText w:val="%1."/>
      <w:numFmt w:val="upperLetter"/>
      <w:start w:val="1"/>
    </w:lvl>
  </w:abstractNum>
  <w:abstractNum w:abstractNumId="125">
    <w:nsid w:val="631B64D4"/>
    <w:multiLevelType w:val="hybridMultilevel"/>
    <w:lvl w:ilvl="0">
      <w:lvlJc w:val="left"/>
      <w:lvlText w:val="%1."/>
      <w:numFmt w:val="upperLetter"/>
      <w:start w:val="2"/>
    </w:lvl>
  </w:abstractNum>
  <w:abstractNum w:abstractNumId="126">
    <w:nsid w:val="78B5E776"/>
    <w:multiLevelType w:val="hybridMultilevel"/>
    <w:lvl w:ilvl="0">
      <w:lvlJc w:val="left"/>
      <w:lvlText w:val="%1."/>
      <w:numFmt w:val="upperLetter"/>
      <w:start w:val="3"/>
    </w:lvl>
  </w:abstractNum>
  <w:abstractNum w:abstractNumId="127">
    <w:nsid w:val="75486E47"/>
    <w:multiLevelType w:val="hybridMultilevel"/>
    <w:lvl w:ilvl="0">
      <w:lvlJc w:val="left"/>
      <w:lvlText w:val="%1."/>
      <w:numFmt w:val="upperLetter"/>
      <w:start w:val="4"/>
    </w:lvl>
  </w:abstractNum>
  <w:abstractNum w:abstractNumId="128">
    <w:nsid w:val="6E534CDE"/>
    <w:multiLevelType w:val="hybridMultilevel"/>
    <w:lvl w:ilvl="0">
      <w:lvlJc w:val="left"/>
      <w:lvlText w:val="(%1)"/>
      <w:numFmt w:val="lowerLetter"/>
      <w:start w:val="1"/>
    </w:lvl>
  </w:abstractNum>
  <w:abstractNum w:abstractNumId="129">
    <w:nsid w:val="1A0DDE32"/>
    <w:multiLevelType w:val="hybridMultilevel"/>
    <w:lvl w:ilvl="0">
      <w:lvlJc w:val="left"/>
      <w:lvlText w:val="(%1)"/>
      <w:numFmt w:val="lowerLetter"/>
      <w:start w:val="2"/>
    </w:lvl>
  </w:abstractNum>
  <w:abstractNum w:abstractNumId="130">
    <w:nsid w:val="65968C1C"/>
    <w:multiLevelType w:val="hybridMultilevel"/>
    <w:lvl w:ilvl="0">
      <w:lvlJc w:val="left"/>
      <w:lvlText w:val="·"/>
      <w:numFmt w:val="bullet"/>
      <w:start w:val="1"/>
    </w:lvl>
  </w:abstractNum>
  <w:abstractNum w:abstractNumId="131">
    <w:nsid w:val="46263DEC"/>
    <w:multiLevelType w:val="hybridMultilevel"/>
    <w:lvl w:ilvl="0">
      <w:lvlJc w:val="left"/>
      <w:lvlText w:val="(%1)"/>
      <w:numFmt w:val="lowerLetter"/>
      <w:start w:val="4"/>
    </w:lvl>
  </w:abstractNum>
  <w:abstractNum w:abstractNumId="132">
    <w:nsid w:val="260D8C4A"/>
    <w:multiLevelType w:val="hybridMultilevel"/>
    <w:lvl w:ilvl="0">
      <w:lvlJc w:val="left"/>
      <w:lvlText w:val="(%1)"/>
      <w:numFmt w:val="decimal"/>
      <w:start w:val="1"/>
    </w:lvl>
  </w:abstractNum>
  <w:abstractNum w:abstractNumId="133">
    <w:nsid w:val="73D4D3C4"/>
    <w:multiLevelType w:val="hybridMultilevel"/>
    <w:lvl w:ilvl="0">
      <w:lvlJc w:val="left"/>
      <w:lvlText w:val="•"/>
      <w:numFmt w:val="bullet"/>
      <w:start w:val="1"/>
    </w:lvl>
  </w:abstractNum>
  <w:abstractNum w:abstractNumId="134">
    <w:nsid w:val="746F2E30"/>
    <w:multiLevelType w:val="hybridMultilevel"/>
    <w:lvl w:ilvl="0">
      <w:lvlJc w:val="left"/>
      <w:lvlText w:val="†"/>
      <w:numFmt w:val="bullet"/>
      <w:start w:val="1"/>
    </w:lvl>
    <w:lvl w:ilvl="1">
      <w:lvlJc w:val="left"/>
      <w:lvlText w:val="(%2)"/>
      <w:numFmt w:val="lowerRoman"/>
      <w:start w:val="1"/>
    </w:lvl>
  </w:abstractNum>
  <w:abstractNum w:abstractNumId="135">
    <w:nsid w:val="6FDE8AF6"/>
    <w:multiLevelType w:val="hybridMultilevel"/>
    <w:lvl w:ilvl="0">
      <w:lvlJc w:val="left"/>
      <w:lvlText w:val="∞"/>
      <w:numFmt w:val="bullet"/>
      <w:start w:val="1"/>
    </w:lvl>
  </w:abstractNum>
  <w:abstractNum w:abstractNumId="136">
    <w:nsid w:val="3FC32E20"/>
    <w:multiLevelType w:val="hybridMultilevel"/>
    <w:lvl w:ilvl="0">
      <w:lvlJc w:val="left"/>
      <w:lvlText w:val="%1."/>
      <w:numFmt w:val="lowerLetter"/>
      <w:start w:val="3"/>
    </w:lvl>
  </w:abstractNum>
  <w:abstractNum w:abstractNumId="137">
    <w:nsid w:val="49C0E823"/>
    <w:multiLevelType w:val="hybridMultilevel"/>
    <w:lvl w:ilvl="0">
      <w:lvlJc w:val="left"/>
      <w:lvlText w:val="%1."/>
      <w:numFmt w:val="lowerLetter"/>
      <w:start w:val="5"/>
    </w:lvl>
  </w:abstractNum>
  <w:abstractNum w:abstractNumId="138">
    <w:nsid w:val="14D53685"/>
    <w:multiLevelType w:val="hybridMultilevel"/>
    <w:lvl w:ilvl="0">
      <w:lvlJc w:val="left"/>
      <w:lvlText w:val="%1."/>
      <w:numFmt w:val="lowerLetter"/>
      <w:start w:val="6"/>
    </w:lvl>
  </w:abstractNum>
  <w:abstractNum w:abstractNumId="139">
    <w:nsid w:val="230F856C"/>
    <w:multiLevelType w:val="hybridMultilevel"/>
    <w:lvl w:ilvl="0">
      <w:lvlJc w:val="left"/>
      <w:lvlText w:val="%1."/>
      <w:numFmt w:val="lowerLetter"/>
      <w:start w:val="8"/>
    </w:lvl>
    <w:lvl w:ilvl="1">
      <w:lvlJc w:val="left"/>
      <w:lvlText w:val="%2)"/>
      <w:numFmt w:val="decimal"/>
      <w:start w:val="1"/>
    </w:lvl>
  </w:abstractNum>
  <w:abstractNum w:abstractNumId="140">
    <w:nsid w:val="6EAA85FB"/>
    <w:multiLevelType w:val="hybridMultilevel"/>
    <w:lvl w:ilvl="0">
      <w:lvlJc w:val="left"/>
      <w:lvlText w:val="%1."/>
      <w:numFmt w:val="lowerRoman"/>
      <w:start w:val="1"/>
    </w:lvl>
  </w:abstractNum>
  <w:abstractNum w:abstractNumId="141">
    <w:nsid w:val="3F06ECB2"/>
    <w:multiLevelType w:val="hybridMultilevel"/>
    <w:lvl w:ilvl="0">
      <w:lvlJc w:val="left"/>
      <w:lvlText w:val="%1."/>
      <w:numFmt w:val="lowerLetter"/>
      <w:start w:val="10"/>
    </w:lvl>
  </w:abstractNum>
  <w:abstractNum w:abstractNumId="142">
    <w:nsid w:val="3B594807"/>
    <w:multiLevelType w:val="hybridMultilevel"/>
    <w:lvl w:ilvl="0">
      <w:lvlJc w:val="left"/>
      <w:lvlText w:val="%1."/>
      <w:numFmt w:val="lowerLetter"/>
      <w:start w:val="12"/>
    </w:lvl>
  </w:abstractNum>
  <w:abstractNum w:abstractNumId="143">
    <w:nsid w:val="6CAA2304"/>
    <w:multiLevelType w:val="hybridMultilevel"/>
    <w:lvl w:ilvl="0">
      <w:lvlJc w:val="left"/>
      <w:lvlText w:val="%1."/>
      <w:numFmt w:val="lowerLetter"/>
      <w:start w:val="13"/>
    </w:lvl>
    <w:lvl w:ilvl="1">
      <w:lvlJc w:val="left"/>
      <w:lvlText w:val="%2)"/>
      <w:numFmt w:val="decimal"/>
      <w:start w:val="1"/>
    </w:lvl>
  </w:abstractNum>
  <w:abstractNum w:abstractNumId="144">
    <w:nsid w:val="3F7C2FF4"/>
    <w:multiLevelType w:val="hybridMultilevel"/>
    <w:lvl w:ilvl="0">
      <w:lvlJc w:val="left"/>
      <w:lvlText w:val="%1."/>
      <w:numFmt w:val="lowerLetter"/>
      <w:start w:val="17"/>
    </w:lvl>
    <w:lvl w:ilvl="1">
      <w:lvlJc w:val="left"/>
      <w:lvlText w:val="%2)"/>
      <w:numFmt w:val="decimal"/>
      <w:start w:val="1"/>
    </w:lvl>
    <w:lvl w:ilvl="2">
      <w:lvlJc w:val="left"/>
      <w:lvlText w:val="%3."/>
      <w:numFmt w:val="lowerLetter"/>
      <w:start w:val="1"/>
    </w:lvl>
  </w:abstractNum>
  <w:abstractNum w:abstractNumId="145">
    <w:nsid w:val="25413BEC"/>
    <w:multiLevelType w:val="hybridMultilevel"/>
    <w:lvl w:ilvl="0">
      <w:lvlJc w:val="left"/>
      <w:lvlText w:val="%1)"/>
      <w:numFmt w:val="decimal"/>
      <w:start w:val="2"/>
    </w:lvl>
    <w:lvl w:ilvl="1">
      <w:lvlJc w:val="left"/>
      <w:lvlText w:val="%2."/>
      <w:numFmt w:val="lowerLetter"/>
      <w:start w:val="1"/>
    </w:lvl>
  </w:abstractNum>
  <w:abstractNum w:abstractNumId="146">
    <w:nsid w:val="17180B0B"/>
    <w:multiLevelType w:val="hybridMultilevel"/>
    <w:lvl w:ilvl="0">
      <w:lvlJc w:val="left"/>
      <w:lvlText w:val="%1."/>
      <w:numFmt w:val="lowerLetter"/>
      <w:start w:val="1"/>
    </w:lvl>
    <w:lvl w:ilvl="1">
      <w:lvlJc w:val="left"/>
      <w:lvlText w:val="%2)"/>
      <w:numFmt w:val="decimal"/>
      <w:start w:val="1"/>
    </w:lvl>
  </w:abstractNum>
  <w:abstractNum w:abstractNumId="147">
    <w:nsid w:val="579328B9"/>
    <w:multiLevelType w:val="hybridMultilevel"/>
    <w:lvl w:ilvl="0">
      <w:lvlJc w:val="left"/>
      <w:lvlText w:val="%1)"/>
      <w:numFmt w:val="decimal"/>
      <w:start w:val="2"/>
    </w:lvl>
    <w:lvl w:ilvl="1">
      <w:lvlJc w:val="left"/>
      <w:lvlText w:val="%2."/>
      <w:numFmt w:val="lowerRoman"/>
      <w:start w:val="1"/>
    </w:lvl>
  </w:abstractNum>
  <w:abstractNum w:abstractNumId="148">
    <w:nsid w:val="5D205E20"/>
    <w:multiLevelType w:val="hybridMultilevel"/>
    <w:lvl w:ilvl="0">
      <w:lvlJc w:val="left"/>
      <w:lvlText w:val="%1."/>
      <w:numFmt w:val="lowerLetter"/>
      <w:start w:val="5"/>
    </w:lvl>
  </w:abstractNum>
  <w:abstractNum w:abstractNumId="149">
    <w:nsid w:val="11CCA8BA"/>
    <w:multiLevelType w:val="hybridMultilevel"/>
    <w:lvl w:ilvl="0">
      <w:lvlJc w:val="left"/>
      <w:lvlText w:val="%1."/>
      <w:numFmt w:val="lowerLetter"/>
      <w:start w:val="6"/>
    </w:lvl>
  </w:abstractNum>
  <w:abstractNum w:abstractNumId="150">
    <w:nsid w:val="4D32AB86"/>
    <w:multiLevelType w:val="hybridMultilevel"/>
    <w:lvl w:ilvl="0">
      <w:lvlJc w:val="left"/>
      <w:lvlText w:val="%1."/>
      <w:numFmt w:val="lowerLetter"/>
      <w:start w:val="7"/>
    </w:lvl>
  </w:abstractNum>
  <w:abstractNum w:abstractNumId="151">
    <w:nsid w:val="3F07ACC3"/>
    <w:multiLevelType w:val="hybridMultilevel"/>
    <w:lvl w:ilvl="0">
      <w:lvlJc w:val="left"/>
      <w:lvlText w:val="%1."/>
      <w:numFmt w:val="lowerLetter"/>
      <w:start w:val="11"/>
    </w:lvl>
  </w:abstractNum>
  <w:abstractNum w:abstractNumId="152">
    <w:nsid w:val="6B47F63E"/>
    <w:multiLevelType w:val="hybridMultilevel"/>
    <w:lvl w:ilvl="0">
      <w:lvlJc w:val="left"/>
      <w:lvlText w:val="%1."/>
      <w:numFmt w:val="lowerLetter"/>
      <w:start w:val="1"/>
    </w:lvl>
    <w:lvl w:ilvl="1">
      <w:lvlJc w:val="left"/>
      <w:lvlText w:val="%2)"/>
      <w:numFmt w:val="decimal"/>
      <w:start w:val="1"/>
    </w:lvl>
  </w:abstractNum>
  <w:abstractNum w:abstractNumId="153">
    <w:nsid w:val="5CB44A05"/>
    <w:multiLevelType w:val="hybridMultilevel"/>
    <w:lvl w:ilvl="0">
      <w:lvlJc w:val="left"/>
      <w:lvlText w:val="%1."/>
      <w:numFmt w:val="lowerLetter"/>
      <w:start w:val="2"/>
    </w:lvl>
    <w:lvl w:ilvl="1">
      <w:lvlJc w:val="left"/>
      <w:lvlText w:val="%2)"/>
      <w:numFmt w:val="decimal"/>
      <w:start w:val="1"/>
    </w:lvl>
    <w:lvl w:ilvl="2">
      <w:lvlJc w:val="left"/>
      <w:lvlText w:val="%3"/>
      <w:numFmt w:val="lowerLetter"/>
      <w:start w:val="1"/>
    </w:lvl>
    <w:lvl w:ilvl="3">
      <w:lvlJc w:val="left"/>
      <w:lvlText w:val="%4."/>
      <w:numFmt w:val="lowerRoman"/>
      <w:start w:val="1"/>
    </w:lvl>
  </w:abstractNum>
  <w:abstractNum w:abstractNumId="154">
    <w:nsid w:val="16CF80F1"/>
    <w:multiLevelType w:val="hybridMultilevel"/>
    <w:lvl w:ilvl="0">
      <w:lvlJc w:val="left"/>
      <w:lvlText w:val="%1."/>
      <w:numFmt w:val="lowerLetter"/>
      <w:start w:val="2"/>
    </w:lvl>
  </w:abstractNum>
  <w:abstractNum w:abstractNumId="155">
    <w:nsid w:val="1C695DEC"/>
    <w:multiLevelType w:val="hybridMultilevel"/>
    <w:lvl w:ilvl="0">
      <w:lvlJc w:val="left"/>
      <w:lvlText w:val="%1."/>
      <w:numFmt w:val="lowerLetter"/>
      <w:start w:val="3"/>
    </w:lvl>
  </w:abstractNum>
  <w:abstractNum w:abstractNumId="156">
    <w:nsid w:val="3FCFAED9"/>
    <w:multiLevelType w:val="hybridMultilevel"/>
    <w:lvl w:ilvl="0">
      <w:lvlJc w:val="left"/>
      <w:lvlText w:val="%1."/>
      <w:numFmt w:val="lowerLetter"/>
      <w:start w:val="5"/>
    </w:lvl>
  </w:abstractNum>
  <w:abstractNum w:abstractNumId="157">
    <w:nsid w:val="F856867"/>
    <w:multiLevelType w:val="hybridMultilevel"/>
    <w:lvl w:ilvl="0">
      <w:lvlJc w:val="left"/>
      <w:lvlText w:val="%1."/>
      <w:numFmt w:val="lowerLetter"/>
      <w:start w:val="3"/>
    </w:lvl>
  </w:abstractNum>
  <w:abstractNum w:abstractNumId="158">
    <w:nsid w:val="11B1CC33"/>
    <w:multiLevelType w:val="hybridMultilevel"/>
    <w:lvl w:ilvl="0">
      <w:lvlJc w:val="left"/>
      <w:lvlText w:val="%1."/>
      <w:numFmt w:val="lowerLetter"/>
      <w:start w:val="1"/>
    </w:lvl>
  </w:abstractNum>
  <w:abstractNum w:abstractNumId="159">
    <w:nsid w:val="2E22FBB7"/>
    <w:multiLevelType w:val="hybridMultilevel"/>
    <w:lvl w:ilvl="0">
      <w:lvlJc w:val="left"/>
      <w:lvlText w:val="d"/>
      <w:numFmt w:val="bullet"/>
      <w:start w:val="1"/>
    </w:lvl>
  </w:abstractNum>
  <w:abstractNum w:abstractNumId="160">
    <w:nsid w:val="29934699"/>
    <w:multiLevelType w:val="hybridMultilevel"/>
    <w:lvl w:ilvl="0">
      <w:lvlJc w:val="left"/>
      <w:lvlText w:val="(%1)"/>
      <w:numFmt w:val="decimal"/>
      <w:start w:val="1"/>
    </w:lvl>
  </w:abstractNum>
  <w:abstractNum w:abstractNumId="161">
    <w:nsid w:val="77485850"/>
    <w:multiLevelType w:val="hybridMultilevel"/>
    <w:lvl w:ilvl="0">
      <w:lvlJc w:val="left"/>
      <w:lvlText w:val="%1."/>
      <w:numFmt w:val="decimal"/>
      <w:start w:val="1"/>
    </w:lvl>
  </w:abstractNum>
  <w:abstractNum w:abstractNumId="162">
    <w:nsid w:val="744939A3"/>
    <w:multiLevelType w:val="hybridMultilevel"/>
    <w:lvl w:ilvl="0">
      <w:lvlJc w:val="left"/>
      <w:lvlText w:val="%1."/>
      <w:numFmt w:val="decimal"/>
      <w:start w:val="4"/>
    </w:lvl>
    <w:lvl w:ilvl="1">
      <w:lvlJc w:val="left"/>
      <w:lvlText w:val="%2."/>
      <w:numFmt w:val="decimal"/>
      <w:start w:val="6"/>
    </w:lvl>
  </w:abstractNum>
  <w:abstractNum w:abstractNumId="163">
    <w:nsid w:val="4FA0D2E3"/>
    <w:multiLevelType w:val="hybridMultilevel"/>
    <w:lvl w:ilvl="0">
      <w:lvlJc w:val="left"/>
      <w:lvlText w:val="%1."/>
      <w:numFmt w:val="decimal"/>
      <w:start w:val="7"/>
    </w:lvl>
    <w:lvl w:ilvl="1">
      <w:lvlJc w:val="left"/>
      <w:lvlText w:val="%2."/>
      <w:numFmt w:val="decimal"/>
      <w:start w:val="9"/>
    </w:lvl>
  </w:abstractNum>
  <w:abstractNum w:abstractNumId="164">
    <w:nsid w:val="6B1D2C14"/>
    <w:multiLevelType w:val="hybridMultilevel"/>
    <w:lvl w:ilvl="0">
      <w:lvlJc w:val="left"/>
      <w:lvlText w:val="%1."/>
      <w:numFmt w:val="decimal"/>
      <w:start w:val="10"/>
    </w:lvl>
  </w:abstractNum>
  <w:abstractNum w:abstractNumId="165">
    <w:nsid w:val="68B867D3"/>
    <w:multiLevelType w:val="hybridMultilevel"/>
    <w:lvl w:ilvl="0">
      <w:lvlJc w:val="left"/>
      <w:lvlText w:val="%1."/>
      <w:numFmt w:val="decimal"/>
      <w:start w:val="1"/>
    </w:lvl>
    <w:lvl w:ilvl="1">
      <w:lvlJc w:val="left"/>
      <w:lvlText w:val="%2)"/>
      <w:numFmt w:val="lowerLetter"/>
      <w:start w:val="1"/>
    </w:lvl>
  </w:abstractNum>
  <w:abstractNum w:abstractNumId="166">
    <w:nsid w:val="3F7F5DD9"/>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67">
    <w:nsid w:val="2AE05A3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jpe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png"/><Relationship Id="rId88" Type="http://schemas.openxmlformats.org/officeDocument/2006/relationships/image" Target="media/image81.jpeg"/><Relationship Id="rId89" Type="http://schemas.openxmlformats.org/officeDocument/2006/relationships/image" Target="media/image82.png"/><Relationship Id="rId90" Type="http://schemas.openxmlformats.org/officeDocument/2006/relationships/image" Target="media/image83.jpe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jpe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214" Type="http://schemas.openxmlformats.org/officeDocument/2006/relationships/image" Target="media/image188.png"/><Relationship Id="rId215" Type="http://schemas.openxmlformats.org/officeDocument/2006/relationships/image" Target="media/image189.png"/><Relationship Id="rId216" Type="http://schemas.openxmlformats.org/officeDocument/2006/relationships/image" Target="media/image190.png"/><Relationship Id="rId217" Type="http://schemas.openxmlformats.org/officeDocument/2006/relationships/image" Target="media/image191.png"/><Relationship Id="rId218" Type="http://schemas.openxmlformats.org/officeDocument/2006/relationships/image" Target="media/image192.png"/><Relationship Id="rId219" Type="http://schemas.openxmlformats.org/officeDocument/2006/relationships/image" Target="media/image193.jpeg"/><Relationship Id="rId220" Type="http://schemas.openxmlformats.org/officeDocument/2006/relationships/image" Target="media/image194.png"/><Relationship Id="rId221" Type="http://schemas.openxmlformats.org/officeDocument/2006/relationships/image" Target="media/image195.png"/><Relationship Id="rId222" Type="http://schemas.openxmlformats.org/officeDocument/2006/relationships/image" Target="media/image196.png"/><Relationship Id="rId223" Type="http://schemas.openxmlformats.org/officeDocument/2006/relationships/image" Target="media/image197.png"/><Relationship Id="rId224" Type="http://schemas.openxmlformats.org/officeDocument/2006/relationships/image" Target="media/image198.png"/><Relationship Id="rId225" Type="http://schemas.openxmlformats.org/officeDocument/2006/relationships/image" Target="media/image199.png"/><Relationship Id="rId226" Type="http://schemas.openxmlformats.org/officeDocument/2006/relationships/image" Target="media/image200.png"/><Relationship Id="rId227" Type="http://schemas.openxmlformats.org/officeDocument/2006/relationships/image" Target="media/image201.png"/><Relationship Id="rId228" Type="http://schemas.openxmlformats.org/officeDocument/2006/relationships/image" Target="media/image202.png"/><Relationship Id="rId229" Type="http://schemas.openxmlformats.org/officeDocument/2006/relationships/image" Target="media/image203.png"/><Relationship Id="rId230" Type="http://schemas.openxmlformats.org/officeDocument/2006/relationships/image" Target="media/image204.png"/><Relationship Id="rId231" Type="http://schemas.openxmlformats.org/officeDocument/2006/relationships/image" Target="media/image205.png"/><Relationship Id="rId232" Type="http://schemas.openxmlformats.org/officeDocument/2006/relationships/image" Target="media/image206.png"/><Relationship Id="rId233" Type="http://schemas.openxmlformats.org/officeDocument/2006/relationships/image" Target="media/image207.png"/><Relationship Id="rId234" Type="http://schemas.openxmlformats.org/officeDocument/2006/relationships/image" Target="media/image208.png"/><Relationship Id="rId235" Type="http://schemas.openxmlformats.org/officeDocument/2006/relationships/image" Target="media/image209.png"/><Relationship Id="rId236" Type="http://schemas.openxmlformats.org/officeDocument/2006/relationships/image" Target="media/image210.png"/><Relationship Id="rId237" Type="http://schemas.openxmlformats.org/officeDocument/2006/relationships/image" Target="media/image211.png"/><Relationship Id="rId238" Type="http://schemas.openxmlformats.org/officeDocument/2006/relationships/image" Target="media/image212.png"/><Relationship Id="rId239" Type="http://schemas.openxmlformats.org/officeDocument/2006/relationships/image" Target="media/image213.png"/><Relationship Id="rId240" Type="http://schemas.openxmlformats.org/officeDocument/2006/relationships/image" Target="media/image214.png"/><Relationship Id="rId241" Type="http://schemas.openxmlformats.org/officeDocument/2006/relationships/image" Target="media/image215.png"/><Relationship Id="rId242" Type="http://schemas.openxmlformats.org/officeDocument/2006/relationships/image" Target="media/image216.png"/><Relationship Id="rId243" Type="http://schemas.openxmlformats.org/officeDocument/2006/relationships/image" Target="media/image217.png"/><Relationship Id="rId244" Type="http://schemas.openxmlformats.org/officeDocument/2006/relationships/image" Target="media/image218.png"/><Relationship Id="rId245" Type="http://schemas.openxmlformats.org/officeDocument/2006/relationships/image" Target="media/image219.png"/><Relationship Id="rId246" Type="http://schemas.openxmlformats.org/officeDocument/2006/relationships/image" Target="media/image220.png"/><Relationship Id="rId247" Type="http://schemas.openxmlformats.org/officeDocument/2006/relationships/image" Target="media/image221.png"/><Relationship Id="rId248" Type="http://schemas.openxmlformats.org/officeDocument/2006/relationships/image" Target="media/image222.png"/><Relationship Id="rId249" Type="http://schemas.openxmlformats.org/officeDocument/2006/relationships/image" Target="media/image223.png"/><Relationship Id="rId250" Type="http://schemas.openxmlformats.org/officeDocument/2006/relationships/image" Target="media/image224.png"/><Relationship Id="rId251" Type="http://schemas.openxmlformats.org/officeDocument/2006/relationships/image" Target="media/image225.png"/><Relationship Id="rId252" Type="http://schemas.openxmlformats.org/officeDocument/2006/relationships/image" Target="media/image226.png"/><Relationship Id="rId253" Type="http://schemas.openxmlformats.org/officeDocument/2006/relationships/image" Target="media/image227.png"/><Relationship Id="rId254" Type="http://schemas.openxmlformats.org/officeDocument/2006/relationships/image" Target="media/image228.png"/><Relationship Id="rId255" Type="http://schemas.openxmlformats.org/officeDocument/2006/relationships/image" Target="media/image229.png"/><Relationship Id="rId256" Type="http://schemas.openxmlformats.org/officeDocument/2006/relationships/image" Target="media/image230.png"/><Relationship Id="rId257" Type="http://schemas.openxmlformats.org/officeDocument/2006/relationships/image" Target="media/image231.png"/><Relationship Id="rId258" Type="http://schemas.openxmlformats.org/officeDocument/2006/relationships/image" Target="media/image232.png"/><Relationship Id="rId259" Type="http://schemas.openxmlformats.org/officeDocument/2006/relationships/image" Target="media/image233.png"/><Relationship Id="rId260" Type="http://schemas.openxmlformats.org/officeDocument/2006/relationships/image" Target="media/image234.png"/><Relationship Id="rId261" Type="http://schemas.openxmlformats.org/officeDocument/2006/relationships/image" Target="media/image235.png"/><Relationship Id="rId262" Type="http://schemas.openxmlformats.org/officeDocument/2006/relationships/image" Target="media/image236.png"/><Relationship Id="rId263" Type="http://schemas.openxmlformats.org/officeDocument/2006/relationships/image" Target="media/image237.png"/><Relationship Id="rId264" Type="http://schemas.openxmlformats.org/officeDocument/2006/relationships/image" Target="media/image238.png"/><Relationship Id="rId265" Type="http://schemas.openxmlformats.org/officeDocument/2006/relationships/image" Target="media/image239.png"/><Relationship Id="rId266" Type="http://schemas.openxmlformats.org/officeDocument/2006/relationships/image" Target="media/image240.png"/><Relationship Id="rId267" Type="http://schemas.openxmlformats.org/officeDocument/2006/relationships/image" Target="media/image241.png"/><Relationship Id="rId268" Type="http://schemas.openxmlformats.org/officeDocument/2006/relationships/image" Target="media/image242.png"/><Relationship Id="rId269" Type="http://schemas.openxmlformats.org/officeDocument/2006/relationships/image" Target="media/image243.png"/><Relationship Id="rId270" Type="http://schemas.openxmlformats.org/officeDocument/2006/relationships/image" Target="media/image244.jpeg"/><Relationship Id="rId271" Type="http://schemas.openxmlformats.org/officeDocument/2006/relationships/image" Target="media/image245.png"/><Relationship Id="rId272" Type="http://schemas.openxmlformats.org/officeDocument/2006/relationships/image" Target="media/image246.png"/><Relationship Id="rId273" Type="http://schemas.openxmlformats.org/officeDocument/2006/relationships/image" Target="media/image247.png"/><Relationship Id="rId274" Type="http://schemas.openxmlformats.org/officeDocument/2006/relationships/image" Target="media/image248.png"/><Relationship Id="rId275" Type="http://schemas.openxmlformats.org/officeDocument/2006/relationships/image" Target="media/image249.png"/><Relationship Id="rId276" Type="http://schemas.openxmlformats.org/officeDocument/2006/relationships/image" Target="media/image250.png"/><Relationship Id="rId277" Type="http://schemas.openxmlformats.org/officeDocument/2006/relationships/image" Target="media/image251.png"/><Relationship Id="rId278" Type="http://schemas.openxmlformats.org/officeDocument/2006/relationships/image" Target="media/image252.png"/><Relationship Id="rId279" Type="http://schemas.openxmlformats.org/officeDocument/2006/relationships/image" Target="media/image253.png"/><Relationship Id="rId280" Type="http://schemas.openxmlformats.org/officeDocument/2006/relationships/image" Target="media/image254.png"/><Relationship Id="rId281" Type="http://schemas.openxmlformats.org/officeDocument/2006/relationships/image" Target="media/image255.png"/><Relationship Id="rId282" Type="http://schemas.openxmlformats.org/officeDocument/2006/relationships/image" Target="media/image256.png"/><Relationship Id="rId283" Type="http://schemas.openxmlformats.org/officeDocument/2006/relationships/image" Target="media/image257.png"/><Relationship Id="rId284" Type="http://schemas.openxmlformats.org/officeDocument/2006/relationships/image" Target="media/image258.png"/><Relationship Id="rId285" Type="http://schemas.openxmlformats.org/officeDocument/2006/relationships/image" Target="media/image259.png"/><Relationship Id="rId286" Type="http://schemas.openxmlformats.org/officeDocument/2006/relationships/image" Target="media/image260.png"/><Relationship Id="rId287" Type="http://schemas.openxmlformats.org/officeDocument/2006/relationships/image" Target="media/image261.png"/><Relationship Id="rId288" Type="http://schemas.openxmlformats.org/officeDocument/2006/relationships/image" Target="media/image262.png"/><Relationship Id="rId289" Type="http://schemas.openxmlformats.org/officeDocument/2006/relationships/image" Target="media/image263.png"/><Relationship Id="rId290" Type="http://schemas.openxmlformats.org/officeDocument/2006/relationships/image" Target="media/image264.png"/><Relationship Id="rId291" Type="http://schemas.openxmlformats.org/officeDocument/2006/relationships/image" Target="media/image265.png"/><Relationship Id="rId292" Type="http://schemas.openxmlformats.org/officeDocument/2006/relationships/image" Target="media/image266.png"/><Relationship Id="rId293" Type="http://schemas.openxmlformats.org/officeDocument/2006/relationships/image" Target="media/image267.png"/><Relationship Id="rId294" Type="http://schemas.openxmlformats.org/officeDocument/2006/relationships/image" Target="media/image268.png"/><Relationship Id="rId295" Type="http://schemas.openxmlformats.org/officeDocument/2006/relationships/image" Target="media/image269.png"/><Relationship Id="rId296" Type="http://schemas.openxmlformats.org/officeDocument/2006/relationships/image" Target="media/image270.png"/><Relationship Id="rId297" Type="http://schemas.openxmlformats.org/officeDocument/2006/relationships/image" Target="media/image271.png"/><Relationship Id="rId298" Type="http://schemas.openxmlformats.org/officeDocument/2006/relationships/image" Target="media/image272.png"/><Relationship Id="rId299" Type="http://schemas.openxmlformats.org/officeDocument/2006/relationships/image" Target="media/image273.png"/><Relationship Id="rId300" Type="http://schemas.openxmlformats.org/officeDocument/2006/relationships/image" Target="media/image274.png"/><Relationship Id="rId301" Type="http://schemas.openxmlformats.org/officeDocument/2006/relationships/image" Target="media/image275.png"/><Relationship Id="rId302" Type="http://schemas.openxmlformats.org/officeDocument/2006/relationships/image" Target="media/image276.png"/><Relationship Id="rId303" Type="http://schemas.openxmlformats.org/officeDocument/2006/relationships/image" Target="media/image277.png"/><Relationship Id="rId304" Type="http://schemas.openxmlformats.org/officeDocument/2006/relationships/image" Target="media/image278.png"/><Relationship Id="rId305" Type="http://schemas.openxmlformats.org/officeDocument/2006/relationships/image" Target="media/image279.png"/><Relationship Id="rId306" Type="http://schemas.openxmlformats.org/officeDocument/2006/relationships/image" Target="media/image280.png"/><Relationship Id="rId307" Type="http://schemas.openxmlformats.org/officeDocument/2006/relationships/image" Target="media/image281.png"/><Relationship Id="rId308" Type="http://schemas.openxmlformats.org/officeDocument/2006/relationships/image" Target="media/image282.png"/><Relationship Id="rId309" Type="http://schemas.openxmlformats.org/officeDocument/2006/relationships/image" Target="media/image283.png"/><Relationship Id="rId310" Type="http://schemas.openxmlformats.org/officeDocument/2006/relationships/image" Target="media/image284.png"/><Relationship Id="rId311" Type="http://schemas.openxmlformats.org/officeDocument/2006/relationships/image" Target="media/image285.png"/><Relationship Id="rId312" Type="http://schemas.openxmlformats.org/officeDocument/2006/relationships/image" Target="media/image286.png"/><Relationship Id="rId313" Type="http://schemas.openxmlformats.org/officeDocument/2006/relationships/image" Target="media/image287.png"/><Relationship Id="rId314" Type="http://schemas.openxmlformats.org/officeDocument/2006/relationships/image" Target="media/image288.png"/><Relationship Id="rId315" Type="http://schemas.openxmlformats.org/officeDocument/2006/relationships/image" Target="media/image289.png"/><Relationship Id="rId316" Type="http://schemas.openxmlformats.org/officeDocument/2006/relationships/image" Target="media/image290.png"/><Relationship Id="rId317" Type="http://schemas.openxmlformats.org/officeDocument/2006/relationships/image" Target="media/image291.png"/><Relationship Id="rId318" Type="http://schemas.openxmlformats.org/officeDocument/2006/relationships/image" Target="media/image292.png"/><Relationship Id="rId319" Type="http://schemas.openxmlformats.org/officeDocument/2006/relationships/image" Target="media/image293.png"/><Relationship Id="rId320" Type="http://schemas.openxmlformats.org/officeDocument/2006/relationships/image" Target="media/image294.png"/><Relationship Id="rId321" Type="http://schemas.openxmlformats.org/officeDocument/2006/relationships/image" Target="media/image295.png"/><Relationship Id="rId322" Type="http://schemas.openxmlformats.org/officeDocument/2006/relationships/image" Target="media/image296.png"/><Relationship Id="rId323" Type="http://schemas.openxmlformats.org/officeDocument/2006/relationships/image" Target="media/image297.png"/><Relationship Id="rId324" Type="http://schemas.openxmlformats.org/officeDocument/2006/relationships/image" Target="media/image298.png"/><Relationship Id="rId325" Type="http://schemas.openxmlformats.org/officeDocument/2006/relationships/image" Target="media/image299.png"/><Relationship Id="rId326" Type="http://schemas.openxmlformats.org/officeDocument/2006/relationships/image" Target="media/image300.png"/><Relationship Id="rId327" Type="http://schemas.openxmlformats.org/officeDocument/2006/relationships/image" Target="media/image301.png"/><Relationship Id="rId328" Type="http://schemas.openxmlformats.org/officeDocument/2006/relationships/image" Target="media/image302.png"/><Relationship Id="rId329" Type="http://schemas.openxmlformats.org/officeDocument/2006/relationships/image" Target="media/image303.png"/><Relationship Id="rId330" Type="http://schemas.openxmlformats.org/officeDocument/2006/relationships/image" Target="media/image304.png"/><Relationship Id="rId331" Type="http://schemas.openxmlformats.org/officeDocument/2006/relationships/image" Target="media/image305.png"/><Relationship Id="rId332" Type="http://schemas.openxmlformats.org/officeDocument/2006/relationships/image" Target="media/image306.png"/><Relationship Id="rId333" Type="http://schemas.openxmlformats.org/officeDocument/2006/relationships/image" Target="media/image307.png"/><Relationship Id="rId334" Type="http://schemas.openxmlformats.org/officeDocument/2006/relationships/image" Target="media/image308.png"/><Relationship Id="rId335" Type="http://schemas.openxmlformats.org/officeDocument/2006/relationships/image" Target="media/image309.png"/><Relationship Id="rId336" Type="http://schemas.openxmlformats.org/officeDocument/2006/relationships/image" Target="media/image310.png"/><Relationship Id="rId337" Type="http://schemas.openxmlformats.org/officeDocument/2006/relationships/image" Target="media/image311.png"/><Relationship Id="rId338" Type="http://schemas.openxmlformats.org/officeDocument/2006/relationships/image" Target="media/image312.png"/><Relationship Id="rId339" Type="http://schemas.openxmlformats.org/officeDocument/2006/relationships/image" Target="media/image313.png"/><Relationship Id="rId340" Type="http://schemas.openxmlformats.org/officeDocument/2006/relationships/image" Target="media/image314.png"/><Relationship Id="rId341" Type="http://schemas.openxmlformats.org/officeDocument/2006/relationships/image" Target="media/image315.png"/><Relationship Id="rId342" Type="http://schemas.openxmlformats.org/officeDocument/2006/relationships/image" Target="media/image316.png"/><Relationship Id="rId343" Type="http://schemas.openxmlformats.org/officeDocument/2006/relationships/image" Target="media/image317.png"/><Relationship Id="rId344" Type="http://schemas.openxmlformats.org/officeDocument/2006/relationships/image" Target="media/image318.png"/><Relationship Id="rId345" Type="http://schemas.openxmlformats.org/officeDocument/2006/relationships/image" Target="media/image319.png"/><Relationship Id="rId346" Type="http://schemas.openxmlformats.org/officeDocument/2006/relationships/image" Target="media/image320.png"/><Relationship Id="rId347" Type="http://schemas.openxmlformats.org/officeDocument/2006/relationships/image" Target="media/image321.png"/><Relationship Id="rId348" Type="http://schemas.openxmlformats.org/officeDocument/2006/relationships/image" Target="media/image322.png"/><Relationship Id="rId349" Type="http://schemas.openxmlformats.org/officeDocument/2006/relationships/image" Target="media/image323.png"/><Relationship Id="rId350" Type="http://schemas.openxmlformats.org/officeDocument/2006/relationships/image" Target="media/image324.png"/><Relationship Id="rId351" Type="http://schemas.openxmlformats.org/officeDocument/2006/relationships/image" Target="media/image325.png"/><Relationship Id="rId352" Type="http://schemas.openxmlformats.org/officeDocument/2006/relationships/image" Target="media/image326.png"/><Relationship Id="rId353" Type="http://schemas.openxmlformats.org/officeDocument/2006/relationships/image" Target="media/image327.png"/><Relationship Id="rId354" Type="http://schemas.openxmlformats.org/officeDocument/2006/relationships/image" Target="media/image328.png"/><Relationship Id="rId355" Type="http://schemas.openxmlformats.org/officeDocument/2006/relationships/image" Target="media/image329.png"/><Relationship Id="rId356" Type="http://schemas.openxmlformats.org/officeDocument/2006/relationships/image" Target="media/image330.png"/><Relationship Id="rId357" Type="http://schemas.openxmlformats.org/officeDocument/2006/relationships/image" Target="media/image331.png"/><Relationship Id="rId358" Type="http://schemas.openxmlformats.org/officeDocument/2006/relationships/image" Target="media/image332.png"/><Relationship Id="rId359" Type="http://schemas.openxmlformats.org/officeDocument/2006/relationships/image" Target="media/image333.png"/><Relationship Id="rId360" Type="http://schemas.openxmlformats.org/officeDocument/2006/relationships/image" Target="media/image334.png"/><Relationship Id="rId361" Type="http://schemas.openxmlformats.org/officeDocument/2006/relationships/image" Target="media/image335.png"/><Relationship Id="rId362" Type="http://schemas.openxmlformats.org/officeDocument/2006/relationships/image" Target="media/image336.png"/><Relationship Id="rId363" Type="http://schemas.openxmlformats.org/officeDocument/2006/relationships/image" Target="media/image337.png"/><Relationship Id="rId364" Type="http://schemas.openxmlformats.org/officeDocument/2006/relationships/image" Target="media/image338.png"/><Relationship Id="rId365" Type="http://schemas.openxmlformats.org/officeDocument/2006/relationships/image" Target="media/image339.png"/><Relationship Id="rId366" Type="http://schemas.openxmlformats.org/officeDocument/2006/relationships/image" Target="media/image340.png"/><Relationship Id="rId367" Type="http://schemas.openxmlformats.org/officeDocument/2006/relationships/image" Target="media/image341.png"/><Relationship Id="rId368" Type="http://schemas.openxmlformats.org/officeDocument/2006/relationships/image" Target="media/image342.png"/><Relationship Id="rId369" Type="http://schemas.openxmlformats.org/officeDocument/2006/relationships/image" Target="media/image343.png"/><Relationship Id="rId370" Type="http://schemas.openxmlformats.org/officeDocument/2006/relationships/image" Target="media/image344.png"/><Relationship Id="rId371" Type="http://schemas.openxmlformats.org/officeDocument/2006/relationships/image" Target="media/image345.png"/><Relationship Id="rId372" Type="http://schemas.openxmlformats.org/officeDocument/2006/relationships/image" Target="media/image346.png"/><Relationship Id="rId373" Type="http://schemas.openxmlformats.org/officeDocument/2006/relationships/image" Target="media/image347.png"/><Relationship Id="rId374" Type="http://schemas.openxmlformats.org/officeDocument/2006/relationships/image" Target="media/image348.png"/><Relationship Id="rId375" Type="http://schemas.openxmlformats.org/officeDocument/2006/relationships/image" Target="media/image349.png"/><Relationship Id="rId376" Type="http://schemas.openxmlformats.org/officeDocument/2006/relationships/image" Target="media/image350.png"/><Relationship Id="rId377" Type="http://schemas.openxmlformats.org/officeDocument/2006/relationships/image" Target="media/image351.png"/><Relationship Id="rId378" Type="http://schemas.openxmlformats.org/officeDocument/2006/relationships/image" Target="media/image352.png"/><Relationship Id="rId379" Type="http://schemas.openxmlformats.org/officeDocument/2006/relationships/image" Target="media/image353.png"/><Relationship Id="rId380" Type="http://schemas.openxmlformats.org/officeDocument/2006/relationships/image" Target="media/image354.png"/><Relationship Id="rId381" Type="http://schemas.openxmlformats.org/officeDocument/2006/relationships/image" Target="media/image355.png"/><Relationship Id="rId382" Type="http://schemas.openxmlformats.org/officeDocument/2006/relationships/image" Target="media/image356.png"/><Relationship Id="rId383" Type="http://schemas.openxmlformats.org/officeDocument/2006/relationships/image" Target="media/image357.png"/><Relationship Id="rId384" Type="http://schemas.openxmlformats.org/officeDocument/2006/relationships/image" Target="media/image358.png"/><Relationship Id="rId385" Type="http://schemas.openxmlformats.org/officeDocument/2006/relationships/image" Target="media/image359.png"/><Relationship Id="rId386" Type="http://schemas.openxmlformats.org/officeDocument/2006/relationships/image" Target="media/image360.png"/><Relationship Id="rId387" Type="http://schemas.openxmlformats.org/officeDocument/2006/relationships/image" Target="media/image361.png"/><Relationship Id="rId388" Type="http://schemas.openxmlformats.org/officeDocument/2006/relationships/image" Target="media/image362.png"/><Relationship Id="rId389" Type="http://schemas.openxmlformats.org/officeDocument/2006/relationships/image" Target="media/image363.png"/><Relationship Id="rId390" Type="http://schemas.openxmlformats.org/officeDocument/2006/relationships/image" Target="media/image364.png"/><Relationship Id="rId391" Type="http://schemas.openxmlformats.org/officeDocument/2006/relationships/image" Target="media/image365.png"/><Relationship Id="rId392" Type="http://schemas.openxmlformats.org/officeDocument/2006/relationships/image" Target="media/image366.png"/><Relationship Id="rId393" Type="http://schemas.openxmlformats.org/officeDocument/2006/relationships/image" Target="media/image367.png"/><Relationship Id="rId394" Type="http://schemas.openxmlformats.org/officeDocument/2006/relationships/image" Target="media/image368.png"/><Relationship Id="rId395" Type="http://schemas.openxmlformats.org/officeDocument/2006/relationships/image" Target="media/image369.png"/><Relationship Id="rId396" Type="http://schemas.openxmlformats.org/officeDocument/2006/relationships/image" Target="media/image370.png"/><Relationship Id="rId397" Type="http://schemas.openxmlformats.org/officeDocument/2006/relationships/image" Target="media/image371.png"/><Relationship Id="rId398" Type="http://schemas.openxmlformats.org/officeDocument/2006/relationships/image" Target="media/image372.png"/><Relationship Id="rId399" Type="http://schemas.openxmlformats.org/officeDocument/2006/relationships/image" Target="media/image373.png"/><Relationship Id="rId400" Type="http://schemas.openxmlformats.org/officeDocument/2006/relationships/image" Target="media/image374.png"/><Relationship Id="rId401" Type="http://schemas.openxmlformats.org/officeDocument/2006/relationships/image" Target="media/image375.png"/><Relationship Id="rId402" Type="http://schemas.openxmlformats.org/officeDocument/2006/relationships/image" Target="media/image376.png"/><Relationship Id="rId403" Type="http://schemas.openxmlformats.org/officeDocument/2006/relationships/image" Target="media/image377.png"/><Relationship Id="rId404" Type="http://schemas.openxmlformats.org/officeDocument/2006/relationships/image" Target="media/image378.png"/><Relationship Id="rId405" Type="http://schemas.openxmlformats.org/officeDocument/2006/relationships/image" Target="media/image379.png"/><Relationship Id="rId406" Type="http://schemas.openxmlformats.org/officeDocument/2006/relationships/image" Target="media/image380.png"/><Relationship Id="rId407" Type="http://schemas.openxmlformats.org/officeDocument/2006/relationships/image" Target="media/image381.png"/><Relationship Id="rId408" Type="http://schemas.openxmlformats.org/officeDocument/2006/relationships/image" Target="media/image382.png"/><Relationship Id="rId409" Type="http://schemas.openxmlformats.org/officeDocument/2006/relationships/image" Target="media/image383.png"/><Relationship Id="rId410" Type="http://schemas.openxmlformats.org/officeDocument/2006/relationships/image" Target="media/image384.png"/><Relationship Id="rId411" Type="http://schemas.openxmlformats.org/officeDocument/2006/relationships/image" Target="media/image385.png"/><Relationship Id="rId412" Type="http://schemas.openxmlformats.org/officeDocument/2006/relationships/image" Target="media/image386.png"/><Relationship Id="rId413" Type="http://schemas.openxmlformats.org/officeDocument/2006/relationships/image" Target="media/image387.png"/><Relationship Id="rId414" Type="http://schemas.openxmlformats.org/officeDocument/2006/relationships/image" Target="media/image388.png"/><Relationship Id="rId415" Type="http://schemas.openxmlformats.org/officeDocument/2006/relationships/image" Target="media/image389.png"/><Relationship Id="rId416" Type="http://schemas.openxmlformats.org/officeDocument/2006/relationships/image" Target="media/image390.png"/><Relationship Id="rId417" Type="http://schemas.openxmlformats.org/officeDocument/2006/relationships/image" Target="media/image391.png"/><Relationship Id="rId418" Type="http://schemas.openxmlformats.org/officeDocument/2006/relationships/image" Target="media/image392.png"/><Relationship Id="rId419" Type="http://schemas.openxmlformats.org/officeDocument/2006/relationships/image" Target="media/image393.png"/><Relationship Id="rId420" Type="http://schemas.openxmlformats.org/officeDocument/2006/relationships/image" Target="media/image394.png"/><Relationship Id="rId421" Type="http://schemas.openxmlformats.org/officeDocument/2006/relationships/image" Target="media/image395.png"/><Relationship Id="rId422" Type="http://schemas.openxmlformats.org/officeDocument/2006/relationships/image" Target="media/image396.png"/><Relationship Id="rId423" Type="http://schemas.openxmlformats.org/officeDocument/2006/relationships/image" Target="media/image397.png"/><Relationship Id="rId424" Type="http://schemas.openxmlformats.org/officeDocument/2006/relationships/image" Target="media/image398.png"/><Relationship Id="rId425" Type="http://schemas.openxmlformats.org/officeDocument/2006/relationships/image" Target="media/image399.png"/><Relationship Id="rId426" Type="http://schemas.openxmlformats.org/officeDocument/2006/relationships/image" Target="media/image400.png"/><Relationship Id="rId427" Type="http://schemas.openxmlformats.org/officeDocument/2006/relationships/image" Target="media/image401.png"/><Relationship Id="rId428" Type="http://schemas.openxmlformats.org/officeDocument/2006/relationships/image" Target="media/image402.png"/><Relationship Id="rId429" Type="http://schemas.openxmlformats.org/officeDocument/2006/relationships/image" Target="media/image403.png"/><Relationship Id="rId430" Type="http://schemas.openxmlformats.org/officeDocument/2006/relationships/image" Target="media/image404.png"/><Relationship Id="rId431" Type="http://schemas.openxmlformats.org/officeDocument/2006/relationships/image" Target="media/image405.png"/><Relationship Id="rId432" Type="http://schemas.openxmlformats.org/officeDocument/2006/relationships/image" Target="media/image406.png"/><Relationship Id="rId433" Type="http://schemas.openxmlformats.org/officeDocument/2006/relationships/image" Target="media/image407.png"/><Relationship Id="rId434" Type="http://schemas.openxmlformats.org/officeDocument/2006/relationships/image" Target="media/image408.png"/><Relationship Id="rId435" Type="http://schemas.openxmlformats.org/officeDocument/2006/relationships/image" Target="media/image409.png"/><Relationship Id="rId436" Type="http://schemas.openxmlformats.org/officeDocument/2006/relationships/image" Target="media/image410.png"/><Relationship Id="rId437" Type="http://schemas.openxmlformats.org/officeDocument/2006/relationships/image" Target="media/image411.png"/><Relationship Id="rId438" Type="http://schemas.openxmlformats.org/officeDocument/2006/relationships/image" Target="media/image412.png"/><Relationship Id="rId439" Type="http://schemas.openxmlformats.org/officeDocument/2006/relationships/image" Target="media/image413.png"/><Relationship Id="rId440" Type="http://schemas.openxmlformats.org/officeDocument/2006/relationships/image" Target="media/image414.png"/><Relationship Id="rId441" Type="http://schemas.openxmlformats.org/officeDocument/2006/relationships/image" Target="media/image415.png"/><Relationship Id="rId442" Type="http://schemas.openxmlformats.org/officeDocument/2006/relationships/image" Target="media/image416.png"/><Relationship Id="rId443" Type="http://schemas.openxmlformats.org/officeDocument/2006/relationships/image" Target="media/image417.png"/><Relationship Id="rId444" Type="http://schemas.openxmlformats.org/officeDocument/2006/relationships/image" Target="media/image418.png"/><Relationship Id="rId445" Type="http://schemas.openxmlformats.org/officeDocument/2006/relationships/image" Target="media/image419.png"/><Relationship Id="rId446" Type="http://schemas.openxmlformats.org/officeDocument/2006/relationships/image" Target="media/image420.png"/><Relationship Id="rId447" Type="http://schemas.openxmlformats.org/officeDocument/2006/relationships/image" Target="media/image421.png"/><Relationship Id="rId448" Type="http://schemas.openxmlformats.org/officeDocument/2006/relationships/image" Target="media/image422.png"/><Relationship Id="rId449" Type="http://schemas.openxmlformats.org/officeDocument/2006/relationships/image" Target="media/image423.png"/><Relationship Id="rId450" Type="http://schemas.openxmlformats.org/officeDocument/2006/relationships/image" Target="media/image424.png"/><Relationship Id="rId451" Type="http://schemas.openxmlformats.org/officeDocument/2006/relationships/image" Target="media/image425.png"/><Relationship Id="rId452" Type="http://schemas.openxmlformats.org/officeDocument/2006/relationships/image" Target="media/image426.png"/><Relationship Id="rId453" Type="http://schemas.openxmlformats.org/officeDocument/2006/relationships/image" Target="media/image427.png"/><Relationship Id="rId454" Type="http://schemas.openxmlformats.org/officeDocument/2006/relationships/image" Target="media/image428.png"/><Relationship Id="rId455" Type="http://schemas.openxmlformats.org/officeDocument/2006/relationships/image" Target="media/image429.png"/><Relationship Id="rId456" Type="http://schemas.openxmlformats.org/officeDocument/2006/relationships/image" Target="media/image430.png"/><Relationship Id="rId457" Type="http://schemas.openxmlformats.org/officeDocument/2006/relationships/image" Target="media/image431.png"/><Relationship Id="rId458" Type="http://schemas.openxmlformats.org/officeDocument/2006/relationships/image" Target="media/image432.png"/><Relationship Id="rId459" Type="http://schemas.openxmlformats.org/officeDocument/2006/relationships/image" Target="media/image433.png"/><Relationship Id="rId460" Type="http://schemas.openxmlformats.org/officeDocument/2006/relationships/image" Target="media/image434.png"/><Relationship Id="rId461" Type="http://schemas.openxmlformats.org/officeDocument/2006/relationships/image" Target="media/image435.png"/><Relationship Id="rId462" Type="http://schemas.openxmlformats.org/officeDocument/2006/relationships/image" Target="media/image436.png"/><Relationship Id="rId463" Type="http://schemas.openxmlformats.org/officeDocument/2006/relationships/image" Target="media/image437.png"/><Relationship Id="rId464" Type="http://schemas.openxmlformats.org/officeDocument/2006/relationships/image" Target="media/image438.png"/><Relationship Id="rId465" Type="http://schemas.openxmlformats.org/officeDocument/2006/relationships/image" Target="media/image439.png"/><Relationship Id="rId466" Type="http://schemas.openxmlformats.org/officeDocument/2006/relationships/image" Target="media/image440.png"/><Relationship Id="rId467" Type="http://schemas.openxmlformats.org/officeDocument/2006/relationships/image" Target="media/image441.png"/><Relationship Id="rId468" Type="http://schemas.openxmlformats.org/officeDocument/2006/relationships/image" Target="media/image442.png"/><Relationship Id="rId469" Type="http://schemas.openxmlformats.org/officeDocument/2006/relationships/image" Target="media/image443.png"/><Relationship Id="rId470" Type="http://schemas.openxmlformats.org/officeDocument/2006/relationships/image" Target="media/image444.png"/><Relationship Id="rId471" Type="http://schemas.openxmlformats.org/officeDocument/2006/relationships/image" Target="media/image445.png"/><Relationship Id="rId472" Type="http://schemas.openxmlformats.org/officeDocument/2006/relationships/image" Target="media/image446.png"/><Relationship Id="rId473" Type="http://schemas.openxmlformats.org/officeDocument/2006/relationships/image" Target="media/image447.png"/><Relationship Id="rId474" Type="http://schemas.openxmlformats.org/officeDocument/2006/relationships/image" Target="media/image448.png"/><Relationship Id="rId475" Type="http://schemas.openxmlformats.org/officeDocument/2006/relationships/image" Target="media/image449.png"/><Relationship Id="rId476" Type="http://schemas.openxmlformats.org/officeDocument/2006/relationships/image" Target="media/image450.png"/><Relationship Id="rId477" Type="http://schemas.openxmlformats.org/officeDocument/2006/relationships/image" Target="media/image451.png"/><Relationship Id="rId478" Type="http://schemas.openxmlformats.org/officeDocument/2006/relationships/image" Target="media/image452.png"/><Relationship Id="rId479" Type="http://schemas.openxmlformats.org/officeDocument/2006/relationships/image" Target="media/image453.png"/><Relationship Id="rId480" Type="http://schemas.openxmlformats.org/officeDocument/2006/relationships/image" Target="media/image454.png"/><Relationship Id="rId481" Type="http://schemas.openxmlformats.org/officeDocument/2006/relationships/image" Target="media/image455.png"/><Relationship Id="rId482" Type="http://schemas.openxmlformats.org/officeDocument/2006/relationships/image" Target="media/image456.png"/><Relationship Id="rId483" Type="http://schemas.openxmlformats.org/officeDocument/2006/relationships/image" Target="media/image457.png"/><Relationship Id="rId484" Type="http://schemas.openxmlformats.org/officeDocument/2006/relationships/image" Target="media/image458.png"/><Relationship Id="rId485" Type="http://schemas.openxmlformats.org/officeDocument/2006/relationships/image" Target="media/image459.png"/><Relationship Id="rId486" Type="http://schemas.openxmlformats.org/officeDocument/2006/relationships/image" Target="media/image460.png"/><Relationship Id="rId487" Type="http://schemas.openxmlformats.org/officeDocument/2006/relationships/image" Target="media/image461.png"/><Relationship Id="rId488" Type="http://schemas.openxmlformats.org/officeDocument/2006/relationships/image" Target="media/image462.png"/><Relationship Id="rId489" Type="http://schemas.openxmlformats.org/officeDocument/2006/relationships/image" Target="media/image463.png"/><Relationship Id="rId490" Type="http://schemas.openxmlformats.org/officeDocument/2006/relationships/image" Target="media/image464.png"/><Relationship Id="rId491" Type="http://schemas.openxmlformats.org/officeDocument/2006/relationships/image" Target="media/image465.png"/><Relationship Id="rId492" Type="http://schemas.openxmlformats.org/officeDocument/2006/relationships/image" Target="media/image466.png"/><Relationship Id="rId493" Type="http://schemas.openxmlformats.org/officeDocument/2006/relationships/image" Target="media/image467.png"/><Relationship Id="rId494" Type="http://schemas.openxmlformats.org/officeDocument/2006/relationships/image" Target="media/image468.png"/><Relationship Id="rId495" Type="http://schemas.openxmlformats.org/officeDocument/2006/relationships/image" Target="media/image469.png"/><Relationship Id="rId496" Type="http://schemas.openxmlformats.org/officeDocument/2006/relationships/image" Target="media/image470.png"/><Relationship Id="rId497" Type="http://schemas.openxmlformats.org/officeDocument/2006/relationships/image" Target="media/image471.png"/><Relationship Id="rId498" Type="http://schemas.openxmlformats.org/officeDocument/2006/relationships/image" Target="media/image472.png"/><Relationship Id="rId499" Type="http://schemas.openxmlformats.org/officeDocument/2006/relationships/image" Target="media/image473.png"/><Relationship Id="rId500" Type="http://schemas.openxmlformats.org/officeDocument/2006/relationships/image" Target="media/image474.png"/><Relationship Id="rId501" Type="http://schemas.openxmlformats.org/officeDocument/2006/relationships/image" Target="media/image475.png"/><Relationship Id="rId502" Type="http://schemas.openxmlformats.org/officeDocument/2006/relationships/image" Target="media/image476.png"/><Relationship Id="rId503" Type="http://schemas.openxmlformats.org/officeDocument/2006/relationships/image" Target="media/image477.png"/><Relationship Id="rId504" Type="http://schemas.openxmlformats.org/officeDocument/2006/relationships/image" Target="media/image478.png"/><Relationship Id="rId505" Type="http://schemas.openxmlformats.org/officeDocument/2006/relationships/image" Target="media/image479.png"/><Relationship Id="rId506" Type="http://schemas.openxmlformats.org/officeDocument/2006/relationships/image" Target="media/image480.png"/><Relationship Id="rId507" Type="http://schemas.openxmlformats.org/officeDocument/2006/relationships/image" Target="media/image481.png"/><Relationship Id="rId508" Type="http://schemas.openxmlformats.org/officeDocument/2006/relationships/image" Target="media/image482.png"/><Relationship Id="rId509" Type="http://schemas.openxmlformats.org/officeDocument/2006/relationships/image" Target="media/image483.png"/><Relationship Id="rId510" Type="http://schemas.openxmlformats.org/officeDocument/2006/relationships/image" Target="media/image484.png"/><Relationship Id="rId511" Type="http://schemas.openxmlformats.org/officeDocument/2006/relationships/image" Target="media/image485.png"/><Relationship Id="rId512" Type="http://schemas.openxmlformats.org/officeDocument/2006/relationships/image" Target="media/image486.png"/><Relationship Id="rId513" Type="http://schemas.openxmlformats.org/officeDocument/2006/relationships/image" Target="media/image487.png"/><Relationship Id="rId514" Type="http://schemas.openxmlformats.org/officeDocument/2006/relationships/image" Target="media/image488.png"/><Relationship Id="rId515" Type="http://schemas.openxmlformats.org/officeDocument/2006/relationships/image" Target="media/image489.png"/><Relationship Id="rId516" Type="http://schemas.openxmlformats.org/officeDocument/2006/relationships/image" Target="media/image490.png"/><Relationship Id="rId517" Type="http://schemas.openxmlformats.org/officeDocument/2006/relationships/image" Target="media/image491.png"/><Relationship Id="rId518" Type="http://schemas.openxmlformats.org/officeDocument/2006/relationships/image" Target="media/image492.png"/><Relationship Id="rId519" Type="http://schemas.openxmlformats.org/officeDocument/2006/relationships/image" Target="media/image493.png"/><Relationship Id="rId520" Type="http://schemas.openxmlformats.org/officeDocument/2006/relationships/image" Target="media/image494.png"/><Relationship Id="rId521" Type="http://schemas.openxmlformats.org/officeDocument/2006/relationships/image" Target="media/image495.png"/><Relationship Id="rId522" Type="http://schemas.openxmlformats.org/officeDocument/2006/relationships/image" Target="media/image496.png"/><Relationship Id="rId523" Type="http://schemas.openxmlformats.org/officeDocument/2006/relationships/image" Target="media/image497.png"/><Relationship Id="rId524" Type="http://schemas.openxmlformats.org/officeDocument/2006/relationships/image" Target="media/image498.png"/><Relationship Id="rId525" Type="http://schemas.openxmlformats.org/officeDocument/2006/relationships/image" Target="media/image499.png"/><Relationship Id="rId526" Type="http://schemas.openxmlformats.org/officeDocument/2006/relationships/image" Target="media/image500.png"/><Relationship Id="rId527" Type="http://schemas.openxmlformats.org/officeDocument/2006/relationships/image" Target="media/image501.png"/><Relationship Id="rId528" Type="http://schemas.openxmlformats.org/officeDocument/2006/relationships/image" Target="media/image502.png"/><Relationship Id="rId529" Type="http://schemas.openxmlformats.org/officeDocument/2006/relationships/image" Target="media/image503.png"/><Relationship Id="rId530" Type="http://schemas.openxmlformats.org/officeDocument/2006/relationships/image" Target="media/image504.png"/><Relationship Id="rId531" Type="http://schemas.openxmlformats.org/officeDocument/2006/relationships/image" Target="media/image505.png"/><Relationship Id="rId532" Type="http://schemas.openxmlformats.org/officeDocument/2006/relationships/image" Target="media/image506.png"/><Relationship Id="rId533" Type="http://schemas.openxmlformats.org/officeDocument/2006/relationships/image" Target="media/image507.png"/><Relationship Id="rId534" Type="http://schemas.openxmlformats.org/officeDocument/2006/relationships/image" Target="media/image508.png"/><Relationship Id="rId535" Type="http://schemas.openxmlformats.org/officeDocument/2006/relationships/image" Target="media/image509.png"/><Relationship Id="rId536" Type="http://schemas.openxmlformats.org/officeDocument/2006/relationships/image" Target="media/image510.png"/><Relationship Id="rId537" Type="http://schemas.openxmlformats.org/officeDocument/2006/relationships/image" Target="media/image511.png"/><Relationship Id="rId538" Type="http://schemas.openxmlformats.org/officeDocument/2006/relationships/image" Target="media/image512.png"/><Relationship Id="rId539" Type="http://schemas.openxmlformats.org/officeDocument/2006/relationships/image" Target="media/image513.png"/><Relationship Id="rId540" Type="http://schemas.openxmlformats.org/officeDocument/2006/relationships/image" Target="media/image514.png"/><Relationship Id="rId541" Type="http://schemas.openxmlformats.org/officeDocument/2006/relationships/image" Target="media/image515.png"/><Relationship Id="rId542" Type="http://schemas.openxmlformats.org/officeDocument/2006/relationships/image" Target="media/image516.png"/><Relationship Id="rId543" Type="http://schemas.openxmlformats.org/officeDocument/2006/relationships/image" Target="media/image517.png"/><Relationship Id="rId544" Type="http://schemas.openxmlformats.org/officeDocument/2006/relationships/image" Target="media/image518.png"/><Relationship Id="rId545" Type="http://schemas.openxmlformats.org/officeDocument/2006/relationships/image" Target="media/image519.png"/><Relationship Id="rId546" Type="http://schemas.openxmlformats.org/officeDocument/2006/relationships/image" Target="media/image520.png"/><Relationship Id="rId547" Type="http://schemas.openxmlformats.org/officeDocument/2006/relationships/image" Target="media/image521.png"/><Relationship Id="rId548" Type="http://schemas.openxmlformats.org/officeDocument/2006/relationships/image" Target="media/image522.png"/><Relationship Id="rId549" Type="http://schemas.openxmlformats.org/officeDocument/2006/relationships/image" Target="media/image523.png"/><Relationship Id="rId550" Type="http://schemas.openxmlformats.org/officeDocument/2006/relationships/image" Target="media/image524.png"/><Relationship Id="rId551" Type="http://schemas.openxmlformats.org/officeDocument/2006/relationships/image" Target="media/image525.png"/><Relationship Id="rId552" Type="http://schemas.openxmlformats.org/officeDocument/2006/relationships/image" Target="media/image526.png"/><Relationship Id="rId553" Type="http://schemas.openxmlformats.org/officeDocument/2006/relationships/image" Target="media/image527.png"/><Relationship Id="rId554" Type="http://schemas.openxmlformats.org/officeDocument/2006/relationships/image" Target="media/image528.png"/><Relationship Id="rId555" Type="http://schemas.openxmlformats.org/officeDocument/2006/relationships/image" Target="media/image529.png"/><Relationship Id="rId556" Type="http://schemas.openxmlformats.org/officeDocument/2006/relationships/image" Target="media/image530.png"/><Relationship Id="rId557" Type="http://schemas.openxmlformats.org/officeDocument/2006/relationships/image" Target="media/image531.png"/><Relationship Id="rId558" Type="http://schemas.openxmlformats.org/officeDocument/2006/relationships/image" Target="media/image532.png"/><Relationship Id="rId559" Type="http://schemas.openxmlformats.org/officeDocument/2006/relationships/image" Target="media/image533.png"/><Relationship Id="rId560" Type="http://schemas.openxmlformats.org/officeDocument/2006/relationships/image" Target="media/image534.png"/><Relationship Id="rId561" Type="http://schemas.openxmlformats.org/officeDocument/2006/relationships/image" Target="media/image535.png"/><Relationship Id="rId562" Type="http://schemas.openxmlformats.org/officeDocument/2006/relationships/image" Target="media/image536.png"/><Relationship Id="rId563" Type="http://schemas.openxmlformats.org/officeDocument/2006/relationships/image" Target="media/image537.png"/><Relationship Id="rId564" Type="http://schemas.openxmlformats.org/officeDocument/2006/relationships/image" Target="media/image538.png"/><Relationship Id="rId565" Type="http://schemas.openxmlformats.org/officeDocument/2006/relationships/image" Target="media/image539.png"/><Relationship Id="rId566" Type="http://schemas.openxmlformats.org/officeDocument/2006/relationships/image" Target="media/image540.png"/><Relationship Id="rId567" Type="http://schemas.openxmlformats.org/officeDocument/2006/relationships/image" Target="media/image541.png"/><Relationship Id="rId568" Type="http://schemas.openxmlformats.org/officeDocument/2006/relationships/image" Target="media/image542.png"/><Relationship Id="rId569" Type="http://schemas.openxmlformats.org/officeDocument/2006/relationships/image" Target="media/image543.png"/><Relationship Id="rId570" Type="http://schemas.openxmlformats.org/officeDocument/2006/relationships/image" Target="media/image544.png"/><Relationship Id="rId571" Type="http://schemas.openxmlformats.org/officeDocument/2006/relationships/image" Target="media/image545.png"/><Relationship Id="rId572" Type="http://schemas.openxmlformats.org/officeDocument/2006/relationships/image" Target="media/image546.png"/><Relationship Id="rId573" Type="http://schemas.openxmlformats.org/officeDocument/2006/relationships/image" Target="media/image547.png"/><Relationship Id="rId574" Type="http://schemas.openxmlformats.org/officeDocument/2006/relationships/image" Target="media/image548.png"/><Relationship Id="rId575" Type="http://schemas.openxmlformats.org/officeDocument/2006/relationships/image" Target="media/image549.png"/><Relationship Id="rId576" Type="http://schemas.openxmlformats.org/officeDocument/2006/relationships/image" Target="media/image550.png"/><Relationship Id="rId577" Type="http://schemas.openxmlformats.org/officeDocument/2006/relationships/image" Target="media/image551.png"/><Relationship Id="rId578" Type="http://schemas.openxmlformats.org/officeDocument/2006/relationships/image" Target="media/image552.png"/><Relationship Id="rId579" Type="http://schemas.openxmlformats.org/officeDocument/2006/relationships/image" Target="media/image553.png"/><Relationship Id="rId580" Type="http://schemas.openxmlformats.org/officeDocument/2006/relationships/image" Target="media/image554.png"/><Relationship Id="rId581" Type="http://schemas.openxmlformats.org/officeDocument/2006/relationships/image" Target="media/image555.png"/><Relationship Id="rId582" Type="http://schemas.openxmlformats.org/officeDocument/2006/relationships/image" Target="media/image556.png"/><Relationship Id="rId583" Type="http://schemas.openxmlformats.org/officeDocument/2006/relationships/image" Target="media/image557.png"/><Relationship Id="rId584" Type="http://schemas.openxmlformats.org/officeDocument/2006/relationships/image" Target="media/image558.png"/><Relationship Id="rId585" Type="http://schemas.openxmlformats.org/officeDocument/2006/relationships/image" Target="media/image559.png"/><Relationship Id="rId586" Type="http://schemas.openxmlformats.org/officeDocument/2006/relationships/image" Target="media/image560.png"/><Relationship Id="rId587" Type="http://schemas.openxmlformats.org/officeDocument/2006/relationships/image" Target="media/image561.png"/><Relationship Id="rId588" Type="http://schemas.openxmlformats.org/officeDocument/2006/relationships/image" Target="media/image562.png"/><Relationship Id="rId589" Type="http://schemas.openxmlformats.org/officeDocument/2006/relationships/image" Target="media/image563.png"/><Relationship Id="rId590" Type="http://schemas.openxmlformats.org/officeDocument/2006/relationships/image" Target="media/image564.png"/><Relationship Id="rId591" Type="http://schemas.openxmlformats.org/officeDocument/2006/relationships/image" Target="media/image565.png"/><Relationship Id="rId592" Type="http://schemas.openxmlformats.org/officeDocument/2006/relationships/image" Target="media/image566.png"/><Relationship Id="rId593" Type="http://schemas.openxmlformats.org/officeDocument/2006/relationships/image" Target="media/image567.png"/><Relationship Id="rId594" Type="http://schemas.openxmlformats.org/officeDocument/2006/relationships/image" Target="media/image568.png"/><Relationship Id="rId595" Type="http://schemas.openxmlformats.org/officeDocument/2006/relationships/image" Target="media/image569.png"/><Relationship Id="rId596" Type="http://schemas.openxmlformats.org/officeDocument/2006/relationships/image" Target="media/image570.png"/><Relationship Id="rId597" Type="http://schemas.openxmlformats.org/officeDocument/2006/relationships/image" Target="media/image571.png"/><Relationship Id="rId598" Type="http://schemas.openxmlformats.org/officeDocument/2006/relationships/image" Target="media/image572.png"/><Relationship Id="rId599" Type="http://schemas.openxmlformats.org/officeDocument/2006/relationships/image" Target="media/image573.png"/><Relationship Id="rId600" Type="http://schemas.openxmlformats.org/officeDocument/2006/relationships/image" Target="media/image574.png"/><Relationship Id="rId601" Type="http://schemas.openxmlformats.org/officeDocument/2006/relationships/image" Target="media/image575.png"/><Relationship Id="rId602" Type="http://schemas.openxmlformats.org/officeDocument/2006/relationships/image" Target="media/image576.png"/><Relationship Id="rId603" Type="http://schemas.openxmlformats.org/officeDocument/2006/relationships/image" Target="media/image577.png"/><Relationship Id="rId604" Type="http://schemas.openxmlformats.org/officeDocument/2006/relationships/image" Target="media/image578.png"/><Relationship Id="rId605" Type="http://schemas.openxmlformats.org/officeDocument/2006/relationships/image" Target="media/image579.png"/><Relationship Id="rId606" Type="http://schemas.openxmlformats.org/officeDocument/2006/relationships/image" Target="media/image580.png"/><Relationship Id="rId607" Type="http://schemas.openxmlformats.org/officeDocument/2006/relationships/image" Target="media/image581.png"/><Relationship Id="rId608" Type="http://schemas.openxmlformats.org/officeDocument/2006/relationships/image" Target="media/image582.png"/><Relationship Id="rId609" Type="http://schemas.openxmlformats.org/officeDocument/2006/relationships/image" Target="media/image583.png"/><Relationship Id="rId610" Type="http://schemas.openxmlformats.org/officeDocument/2006/relationships/image" Target="media/image584.png"/><Relationship Id="rId611" Type="http://schemas.openxmlformats.org/officeDocument/2006/relationships/image" Target="media/image585.png"/><Relationship Id="rId612" Type="http://schemas.openxmlformats.org/officeDocument/2006/relationships/image" Target="media/image586.png"/><Relationship Id="rId613" Type="http://schemas.openxmlformats.org/officeDocument/2006/relationships/image" Target="media/image587.png"/><Relationship Id="rId614" Type="http://schemas.openxmlformats.org/officeDocument/2006/relationships/image" Target="media/image588.png"/><Relationship Id="rId615" Type="http://schemas.openxmlformats.org/officeDocument/2006/relationships/image" Target="media/image589.png"/><Relationship Id="rId616" Type="http://schemas.openxmlformats.org/officeDocument/2006/relationships/image" Target="media/image590.png"/><Relationship Id="rId617" Type="http://schemas.openxmlformats.org/officeDocument/2006/relationships/image" Target="media/image591.png"/><Relationship Id="rId618" Type="http://schemas.openxmlformats.org/officeDocument/2006/relationships/image" Target="media/image592.png"/><Relationship Id="rId619" Type="http://schemas.openxmlformats.org/officeDocument/2006/relationships/image" Target="media/image593.png"/><Relationship Id="rId620" Type="http://schemas.openxmlformats.org/officeDocument/2006/relationships/image" Target="media/image594.png"/><Relationship Id="rId621" Type="http://schemas.openxmlformats.org/officeDocument/2006/relationships/image" Target="media/image595.png"/><Relationship Id="rId622" Type="http://schemas.openxmlformats.org/officeDocument/2006/relationships/image" Target="media/image596.png"/><Relationship Id="rId623" Type="http://schemas.openxmlformats.org/officeDocument/2006/relationships/image" Target="media/image597.png"/><Relationship Id="rId624" Type="http://schemas.openxmlformats.org/officeDocument/2006/relationships/image" Target="media/image598.png"/><Relationship Id="rId625" Type="http://schemas.openxmlformats.org/officeDocument/2006/relationships/image" Target="media/image599.png"/><Relationship Id="rId626" Type="http://schemas.openxmlformats.org/officeDocument/2006/relationships/image" Target="media/image600.png"/><Relationship Id="rId627" Type="http://schemas.openxmlformats.org/officeDocument/2006/relationships/image" Target="media/image601.png"/><Relationship Id="rId628" Type="http://schemas.openxmlformats.org/officeDocument/2006/relationships/image" Target="media/image602.png"/><Relationship Id="rId629" Type="http://schemas.openxmlformats.org/officeDocument/2006/relationships/image" Target="media/image603.png"/><Relationship Id="rId630" Type="http://schemas.openxmlformats.org/officeDocument/2006/relationships/image" Target="media/image604.png"/><Relationship Id="rId631" Type="http://schemas.openxmlformats.org/officeDocument/2006/relationships/image" Target="media/image605.png"/><Relationship Id="rId632" Type="http://schemas.openxmlformats.org/officeDocument/2006/relationships/image" Target="media/image606.png"/><Relationship Id="rId633" Type="http://schemas.openxmlformats.org/officeDocument/2006/relationships/image" Target="media/image607.png"/><Relationship Id="rId634" Type="http://schemas.openxmlformats.org/officeDocument/2006/relationships/image" Target="media/image608.png"/><Relationship Id="rId635" Type="http://schemas.openxmlformats.org/officeDocument/2006/relationships/image" Target="media/image609.png"/><Relationship Id="rId636" Type="http://schemas.openxmlformats.org/officeDocument/2006/relationships/image" Target="media/image610.png"/><Relationship Id="rId637" Type="http://schemas.openxmlformats.org/officeDocument/2006/relationships/image" Target="media/image611.png"/><Relationship Id="rId638" Type="http://schemas.openxmlformats.org/officeDocument/2006/relationships/image" Target="media/image612.png"/><Relationship Id="rId639" Type="http://schemas.openxmlformats.org/officeDocument/2006/relationships/image" Target="media/image613.png"/><Relationship Id="rId640" Type="http://schemas.openxmlformats.org/officeDocument/2006/relationships/image" Target="media/image614.png"/><Relationship Id="rId641" Type="http://schemas.openxmlformats.org/officeDocument/2006/relationships/image" Target="media/image615.png"/><Relationship Id="rId642" Type="http://schemas.openxmlformats.org/officeDocument/2006/relationships/image" Target="media/image616.png"/><Relationship Id="rId643" Type="http://schemas.openxmlformats.org/officeDocument/2006/relationships/image" Target="media/image617.png"/><Relationship Id="rId644" Type="http://schemas.openxmlformats.org/officeDocument/2006/relationships/image" Target="media/image618.png"/><Relationship Id="rId645" Type="http://schemas.openxmlformats.org/officeDocument/2006/relationships/image" Target="media/image619.png"/><Relationship Id="rId646" Type="http://schemas.openxmlformats.org/officeDocument/2006/relationships/image" Target="media/image620.png"/><Relationship Id="rId647" Type="http://schemas.openxmlformats.org/officeDocument/2006/relationships/image" Target="media/image621.png"/><Relationship Id="rId648" Type="http://schemas.openxmlformats.org/officeDocument/2006/relationships/image" Target="media/image622.png"/><Relationship Id="rId649" Type="http://schemas.openxmlformats.org/officeDocument/2006/relationships/image" Target="media/image623.png"/><Relationship Id="rId650" Type="http://schemas.openxmlformats.org/officeDocument/2006/relationships/image" Target="media/image624.png"/><Relationship Id="rId651" Type="http://schemas.openxmlformats.org/officeDocument/2006/relationships/image" Target="media/image625.png"/><Relationship Id="rId652" Type="http://schemas.openxmlformats.org/officeDocument/2006/relationships/image" Target="media/image626.png"/><Relationship Id="rId653" Type="http://schemas.openxmlformats.org/officeDocument/2006/relationships/image" Target="media/image627.png"/><Relationship Id="rId654" Type="http://schemas.openxmlformats.org/officeDocument/2006/relationships/image" Target="media/image628.png"/><Relationship Id="rId655" Type="http://schemas.openxmlformats.org/officeDocument/2006/relationships/image" Target="media/image629.png"/><Relationship Id="rId656" Type="http://schemas.openxmlformats.org/officeDocument/2006/relationships/image" Target="media/image630.png"/><Relationship Id="rId657" Type="http://schemas.openxmlformats.org/officeDocument/2006/relationships/image" Target="media/image631.png"/><Relationship Id="rId658" Type="http://schemas.openxmlformats.org/officeDocument/2006/relationships/image" Target="media/image632.png"/><Relationship Id="rId659" Type="http://schemas.openxmlformats.org/officeDocument/2006/relationships/image" Target="media/image633.png"/><Relationship Id="rId660" Type="http://schemas.openxmlformats.org/officeDocument/2006/relationships/image" Target="media/image634.png"/><Relationship Id="rId661" Type="http://schemas.openxmlformats.org/officeDocument/2006/relationships/image" Target="media/image635.png"/><Relationship Id="rId662" Type="http://schemas.openxmlformats.org/officeDocument/2006/relationships/image" Target="media/image636.png"/><Relationship Id="rId663" Type="http://schemas.openxmlformats.org/officeDocument/2006/relationships/image" Target="media/image637.png"/><Relationship Id="rId664" Type="http://schemas.openxmlformats.org/officeDocument/2006/relationships/image" Target="media/image638.png"/><Relationship Id="rId665" Type="http://schemas.openxmlformats.org/officeDocument/2006/relationships/image" Target="media/image639.png"/><Relationship Id="rId666" Type="http://schemas.openxmlformats.org/officeDocument/2006/relationships/image" Target="media/image640.png"/><Relationship Id="rId667" Type="http://schemas.openxmlformats.org/officeDocument/2006/relationships/image" Target="media/image641.png"/><Relationship Id="rId668" Type="http://schemas.openxmlformats.org/officeDocument/2006/relationships/image" Target="media/image642.png"/><Relationship Id="rId669" Type="http://schemas.openxmlformats.org/officeDocument/2006/relationships/image" Target="media/image643.png"/><Relationship Id="rId670" Type="http://schemas.openxmlformats.org/officeDocument/2006/relationships/image" Target="media/image644.png"/><Relationship Id="rId671" Type="http://schemas.openxmlformats.org/officeDocument/2006/relationships/image" Target="media/image645.png"/><Relationship Id="rId672" Type="http://schemas.openxmlformats.org/officeDocument/2006/relationships/image" Target="media/image646.png"/><Relationship Id="rId673" Type="http://schemas.openxmlformats.org/officeDocument/2006/relationships/image" Target="media/image647.png"/><Relationship Id="rId674" Type="http://schemas.openxmlformats.org/officeDocument/2006/relationships/image" Target="media/image648.png"/><Relationship Id="rId675" Type="http://schemas.openxmlformats.org/officeDocument/2006/relationships/image" Target="media/image649.png"/><Relationship Id="rId676" Type="http://schemas.openxmlformats.org/officeDocument/2006/relationships/image" Target="media/image650.png"/><Relationship Id="rId677" Type="http://schemas.openxmlformats.org/officeDocument/2006/relationships/image" Target="media/image651.png"/><Relationship Id="rId678" Type="http://schemas.openxmlformats.org/officeDocument/2006/relationships/image" Target="media/image652.png"/><Relationship Id="rId679" Type="http://schemas.openxmlformats.org/officeDocument/2006/relationships/image" Target="media/image653.png"/><Relationship Id="rId680" Type="http://schemas.openxmlformats.org/officeDocument/2006/relationships/image" Target="media/image654.png"/><Relationship Id="rId681" Type="http://schemas.openxmlformats.org/officeDocument/2006/relationships/image" Target="media/image655.png"/><Relationship Id="rId682" Type="http://schemas.openxmlformats.org/officeDocument/2006/relationships/image" Target="media/image656.png"/><Relationship Id="rId683" Type="http://schemas.openxmlformats.org/officeDocument/2006/relationships/image" Target="media/image657.png"/><Relationship Id="rId684" Type="http://schemas.openxmlformats.org/officeDocument/2006/relationships/image" Target="media/image658.png"/><Relationship Id="rId685" Type="http://schemas.openxmlformats.org/officeDocument/2006/relationships/image" Target="media/image659.png"/><Relationship Id="rId686" Type="http://schemas.openxmlformats.org/officeDocument/2006/relationships/image" Target="media/image660.png"/><Relationship Id="rId687" Type="http://schemas.openxmlformats.org/officeDocument/2006/relationships/image" Target="media/image661.png"/><Relationship Id="rId688" Type="http://schemas.openxmlformats.org/officeDocument/2006/relationships/image" Target="media/image662.png"/><Relationship Id="rId689" Type="http://schemas.openxmlformats.org/officeDocument/2006/relationships/image" Target="media/image663.png"/><Relationship Id="rId690" Type="http://schemas.openxmlformats.org/officeDocument/2006/relationships/image" Target="media/image664.png"/><Relationship Id="rId691" Type="http://schemas.openxmlformats.org/officeDocument/2006/relationships/image" Target="media/image665.png"/><Relationship Id="rId692" Type="http://schemas.openxmlformats.org/officeDocument/2006/relationships/image" Target="media/image666.png"/><Relationship Id="rId693" Type="http://schemas.openxmlformats.org/officeDocument/2006/relationships/image" Target="media/image667.png"/><Relationship Id="rId694" Type="http://schemas.openxmlformats.org/officeDocument/2006/relationships/image" Target="media/image668.png"/><Relationship Id="rId695" Type="http://schemas.openxmlformats.org/officeDocument/2006/relationships/image" Target="media/image669.png"/><Relationship Id="rId696" Type="http://schemas.openxmlformats.org/officeDocument/2006/relationships/image" Target="media/image670.png"/><Relationship Id="rId697" Type="http://schemas.openxmlformats.org/officeDocument/2006/relationships/image" Target="media/image671.png"/><Relationship Id="rId698" Type="http://schemas.openxmlformats.org/officeDocument/2006/relationships/image" Target="media/image672.png"/><Relationship Id="rId699" Type="http://schemas.openxmlformats.org/officeDocument/2006/relationships/image" Target="media/image673.png"/><Relationship Id="rId700" Type="http://schemas.openxmlformats.org/officeDocument/2006/relationships/image" Target="media/image674.png"/><Relationship Id="rId701" Type="http://schemas.openxmlformats.org/officeDocument/2006/relationships/image" Target="media/image675.png"/><Relationship Id="rId702" Type="http://schemas.openxmlformats.org/officeDocument/2006/relationships/image" Target="media/image676.png"/><Relationship Id="rId703" Type="http://schemas.openxmlformats.org/officeDocument/2006/relationships/image" Target="media/image677.png"/><Relationship Id="rId704" Type="http://schemas.openxmlformats.org/officeDocument/2006/relationships/image" Target="media/image678.png"/><Relationship Id="rId705" Type="http://schemas.openxmlformats.org/officeDocument/2006/relationships/image" Target="media/image679.png"/><Relationship Id="rId706" Type="http://schemas.openxmlformats.org/officeDocument/2006/relationships/image" Target="media/image680.png"/><Relationship Id="rId707" Type="http://schemas.openxmlformats.org/officeDocument/2006/relationships/image" Target="media/image681.png"/><Relationship Id="rId708" Type="http://schemas.openxmlformats.org/officeDocument/2006/relationships/image" Target="media/image682.png"/><Relationship Id="rId709" Type="http://schemas.openxmlformats.org/officeDocument/2006/relationships/image" Target="media/image683.png"/><Relationship Id="rId710" Type="http://schemas.openxmlformats.org/officeDocument/2006/relationships/image" Target="media/image684.png"/><Relationship Id="rId711" Type="http://schemas.openxmlformats.org/officeDocument/2006/relationships/image" Target="media/image685.png"/><Relationship Id="rId712" Type="http://schemas.openxmlformats.org/officeDocument/2006/relationships/image" Target="media/image686.png"/><Relationship Id="rId713" Type="http://schemas.openxmlformats.org/officeDocument/2006/relationships/image" Target="media/image687.png"/><Relationship Id="rId714" Type="http://schemas.openxmlformats.org/officeDocument/2006/relationships/image" Target="media/image688.png"/><Relationship Id="rId195" Type="http://schemas.openxmlformats.org/officeDocument/2006/relationships/hyperlink" Target="http://www.sec.gov/Archives/edgar/data/1684693/000114420418003151/tv482396_ex3-1.htm" TargetMode="External"/><Relationship Id="rId196" Type="http://schemas.openxmlformats.org/officeDocument/2006/relationships/hyperlink" Target="http://www.sec.gov/Archives/edgar/data/1684693/000117891318002424/exhibit_99-1.htm" TargetMode="External"/><Relationship Id="rId197" Type="http://schemas.openxmlformats.org/officeDocument/2006/relationships/hyperlink" Target="http://www.sec.gov/Archives/edgar/data/1684693/000157104917007981/t1702540_ex4-1.htm" TargetMode="External"/><Relationship Id="rId198" Type="http://schemas.openxmlformats.org/officeDocument/2006/relationships/hyperlink" Target="http://www.sec.gov/Archives/edgar/data/1684693/000157104917007780/t1702477_ex10-3.htm" TargetMode="External"/><Relationship Id="rId199" Type="http://schemas.openxmlformats.org/officeDocument/2006/relationships/hyperlink" Target="http://www.sec.gov/Archives/edgar/data/1684693/000157104917007780/t1702477_ex10-4.htm" TargetMode="External"/><Relationship Id="rId200" Type="http://schemas.openxmlformats.org/officeDocument/2006/relationships/hyperlink" Target="http://www.sec.gov/Archives/edgar/data/1684693/000157104917007981/t1702540_ex10-5.htm" TargetMode="External"/><Relationship Id="rId201" Type="http://schemas.openxmlformats.org/officeDocument/2006/relationships/hyperlink" Target="http://www.sec.gov/Archives/edgar/data/1684693/000157104917007981/t1702540_ex10-1.htm" TargetMode="External"/><Relationship Id="rId202" Type="http://schemas.openxmlformats.org/officeDocument/2006/relationships/hyperlink" Target="http://www.sec.gov/Archives/edgar/data/1684693/000114420418003151/tv482396_ex10-6.htm" TargetMode="External"/><Relationship Id="rId203" Type="http://schemas.openxmlformats.org/officeDocument/2006/relationships/hyperlink" Target="http://www.sec.gov/Archives/edgar/data/1684693/000114420418005995/tv484898_ex99-2.htm" TargetMode="External"/><Relationship Id="rId204" Type="http://schemas.openxmlformats.org/officeDocument/2006/relationships/hyperlink" Target="http://www.sec.gov/Archives/edgar/data/1684693/000157104917007701/t1702381_ex10-7.htm" TargetMode="External"/><Relationship Id="rId205" Type="http://schemas.openxmlformats.org/officeDocument/2006/relationships/hyperlink" Target="http://www.sec.gov/Archives/edgar/data/1684693/000157104917007701/t1702381_ex10-8.htm" TargetMode="External"/><Relationship Id="rId206" Type="http://schemas.openxmlformats.org/officeDocument/2006/relationships/hyperlink" Target="http://www.sec.gov/Archives/edgar/data/1684693/000157104917007701/t1702381_ex10-9.htm" TargetMode="External"/><Relationship Id="rId207" Type="http://schemas.openxmlformats.org/officeDocument/2006/relationships/hyperlink" Target="http://www.sec.gov/Archives/edgar/data/1684693/000157104917007701/t1702381_ex10-10.htm" TargetMode="External"/><Relationship Id="rId208" Type="http://schemas.openxmlformats.org/officeDocument/2006/relationships/hyperlink" Target="http://www.sec.gov/Archives/edgar/data/1684693/000157104917007701/t1702381_ex10-11.htm" TargetMode="External"/><Relationship Id="rId209" Type="http://schemas.openxmlformats.org/officeDocument/2006/relationships/hyperlink" Target="http://www.sec.gov/Archives/edgar/data/1684693/000157104917007701/t1702381_ex10-12.htm" TargetMode="External"/><Relationship Id="rId210" Type="http://schemas.openxmlformats.org/officeDocument/2006/relationships/hyperlink" Target="http://www.sec.gov/Archives/edgar/data/1684693/000157104917007701/t1702381_ex10-13.htm" TargetMode="External"/><Relationship Id="rId211" Type="http://schemas.openxmlformats.org/officeDocument/2006/relationships/hyperlink" Target="http://www.sec.gov/Archives/edgar/data/1684693/000157104917007701/t1702381_ex10-14.htm" TargetMode="External"/><Relationship Id="rId212" Type="http://schemas.openxmlformats.org/officeDocument/2006/relationships/hyperlink" Target="http://www.sec.gov/Archives/edgar/data/1684693/000157104917007701/t1702381_ex10-15.htm" TargetMode="External"/><Relationship Id="rId213" Type="http://schemas.openxmlformats.org/officeDocument/2006/relationships/hyperlink" Target="http://www.sec.gov/Archives/edgar/data/1684693/000114420418004431/tv483839_ex10-1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2019-12-03T22:00:45Z</dcterms:created>
  <dcterms:modified xsi:type="dcterms:W3CDTF">2019-12-03T22:00:45Z</dcterms:modified>
</cp:coreProperties>
</file>