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149225</wp:posOffset>
            </wp:positionH>
            <wp:positionV relativeFrom="page">
              <wp:posOffset>149225</wp:posOffset>
            </wp:positionV>
            <wp:extent cx="7262495" cy="304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2495" cy="30480"/>
                    </a:xfrm>
                    <a:prstGeom prst="rect">
                      <a:avLst/>
                    </a:prstGeom>
                    <a:noFill/>
                  </pic:spPr>
                </pic:pic>
              </a:graphicData>
            </a:graphic>
          </wp:anchor>
        </w:drawing>
        <w:drawing>
          <wp:anchor simplePos="0" relativeHeight="251657728" behindDoc="1" locked="0" layoutInCell="0" allowOverlap="1">
            <wp:simplePos x="0" y="0"/>
            <wp:positionH relativeFrom="page">
              <wp:posOffset>149225</wp:posOffset>
            </wp:positionH>
            <wp:positionV relativeFrom="page">
              <wp:posOffset>255270</wp:posOffset>
            </wp:positionV>
            <wp:extent cx="726249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2495" cy="7620"/>
                    </a:xfrm>
                    <a:prstGeom prst="rect">
                      <a:avLst/>
                    </a:prstGeom>
                    <a:noFill/>
                  </pic:spPr>
                </pic:pic>
              </a:graphicData>
            </a:graphic>
          </wp:anchor>
        </w:drawing>
        <w:t>Filed Pursuant to Rule 424(b)(5)</w:t>
      </w:r>
    </w:p>
    <w:p>
      <w:pPr>
        <w:spacing w:after="0" w:line="30" w:lineRule="exact"/>
        <w:rPr>
          <w:sz w:val="24"/>
          <w:szCs w:val="24"/>
          <w:color w:val="auto"/>
        </w:rPr>
      </w:pPr>
    </w:p>
    <w:p>
      <w:pPr>
        <w:jc w:val="right"/>
        <w:spacing w:after="0"/>
        <w:rPr>
          <w:sz w:val="20"/>
          <w:szCs w:val="20"/>
          <w:color w:val="auto"/>
        </w:rPr>
      </w:pPr>
      <w:r>
        <w:rPr>
          <w:rFonts w:ascii="Arial" w:cs="Arial" w:eastAsia="Arial" w:hAnsi="Arial"/>
          <w:sz w:val="19"/>
          <w:szCs w:val="19"/>
          <w:b w:val="1"/>
          <w:bCs w:val="1"/>
          <w:color w:val="auto"/>
        </w:rPr>
        <w:t>Registration No. 333-230564</w:t>
      </w:r>
    </w:p>
    <w:p>
      <w:pPr>
        <w:spacing w:after="0" w:line="225"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PROSPECTUS SUPPLEMENT</w:t>
      </w:r>
    </w:p>
    <w:p>
      <w:pPr>
        <w:spacing w:after="0" w:line="30" w:lineRule="exact"/>
        <w:rPr>
          <w:sz w:val="24"/>
          <w:szCs w:val="24"/>
          <w:color w:val="auto"/>
        </w:rPr>
      </w:pPr>
    </w:p>
    <w:p>
      <w:pPr>
        <w:spacing w:after="0"/>
        <w:rPr>
          <w:sz w:val="20"/>
          <w:szCs w:val="20"/>
          <w:color w:val="auto"/>
        </w:rPr>
      </w:pPr>
      <w:r>
        <w:rPr>
          <w:rFonts w:ascii="Arial" w:cs="Arial" w:eastAsia="Arial" w:hAnsi="Arial"/>
          <w:sz w:val="19"/>
          <w:szCs w:val="19"/>
          <w:b w:val="1"/>
          <w:bCs w:val="1"/>
          <w:color w:val="auto"/>
        </w:rPr>
        <w:t>(To Prospectus dated April 12, 2019)</w:t>
      </w:r>
    </w:p>
    <w:p>
      <w:pPr>
        <w:spacing w:after="0" w:line="25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$25,000,000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2988310</wp:posOffset>
            </wp:positionH>
            <wp:positionV relativeFrom="paragraph">
              <wp:posOffset>170815</wp:posOffset>
            </wp:positionV>
            <wp:extent cx="1287145" cy="6134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7145" cy="6134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Ordinary Shares</w:t>
      </w:r>
    </w:p>
    <w:p>
      <w:pPr>
        <w:spacing w:after="0" w:line="257" w:lineRule="exact"/>
        <w:rPr>
          <w:sz w:val="24"/>
          <w:szCs w:val="24"/>
          <w:color w:val="auto"/>
        </w:rPr>
      </w:pPr>
    </w:p>
    <w:p>
      <w:pPr>
        <w:ind w:right="60" w:firstLine="572"/>
        <w:spacing w:after="0" w:line="228" w:lineRule="auto"/>
        <w:rPr>
          <w:sz w:val="20"/>
          <w:szCs w:val="20"/>
          <w:color w:val="auto"/>
        </w:rPr>
      </w:pPr>
      <w:r>
        <w:rPr>
          <w:rFonts w:ascii="Arial" w:cs="Arial" w:eastAsia="Arial" w:hAnsi="Arial"/>
          <w:sz w:val="19"/>
          <w:szCs w:val="19"/>
          <w:color w:val="auto"/>
        </w:rPr>
        <w:t>We have entered into an Open Market Sale Agreement</w:t>
      </w:r>
      <w:r>
        <w:rPr>
          <w:rFonts w:ascii="Arial" w:cs="Arial" w:eastAsia="Arial" w:hAnsi="Arial"/>
          <w:sz w:val="31"/>
          <w:szCs w:val="31"/>
          <w:color w:val="auto"/>
          <w:vertAlign w:val="superscript"/>
        </w:rPr>
        <w:t>SM</w:t>
      </w:r>
      <w:r>
        <w:rPr>
          <w:rFonts w:ascii="Arial" w:cs="Arial" w:eastAsia="Arial" w:hAnsi="Arial"/>
          <w:sz w:val="19"/>
          <w:szCs w:val="19"/>
          <w:color w:val="auto"/>
        </w:rPr>
        <w:t>, or the Sale Agreement, with Jefferies LLC, or Jefferies, dated January 10, 2020, relating to our ordinary shares, par value NIS 0.1 per share, offered by this prospectus supplement and the accompanying prospectus. Under this prospectus supplement we may offer and sell our ordinary shares having an aggregate offering price of up to $25.0 million from time to time through Jefferies, acting as our agent.</w:t>
      </w:r>
    </w:p>
    <w:p>
      <w:pPr>
        <w:spacing w:after="0" w:line="237" w:lineRule="exact"/>
        <w:rPr>
          <w:sz w:val="24"/>
          <w:szCs w:val="24"/>
          <w:color w:val="auto"/>
        </w:rPr>
      </w:pPr>
    </w:p>
    <w:p>
      <w:pPr>
        <w:ind w:right="40" w:firstLine="572"/>
        <w:spacing w:after="0" w:line="267" w:lineRule="auto"/>
        <w:rPr>
          <w:sz w:val="20"/>
          <w:szCs w:val="20"/>
          <w:color w:val="auto"/>
        </w:rPr>
      </w:pPr>
      <w:r>
        <w:rPr>
          <w:rFonts w:ascii="Arial" w:cs="Arial" w:eastAsia="Arial" w:hAnsi="Arial"/>
          <w:sz w:val="19"/>
          <w:szCs w:val="19"/>
          <w:color w:val="auto"/>
        </w:rPr>
        <w:t>Sales of our ordinary shares, if any, under this prospectus supplement and the accompanying prospectus may be made by any method permitted that is deemed an “at the market” offering as defined in Rule 415(a)(4) promulgated under the Securities Act of 1933, as amended, or the Securities Act, including sales made directly on or through the Nasdaq Global Market, the existing trading market for our ordinary shares. Jefferies is not required to sell any specific number or dollar amount of securities but will act as our sales agent using commercially reasonable efforts consistent with its normal trading and sales practices, on mutually agreed terms between Jefferies and us. There is no arrangement for funds to be received in any escrow, trust or similar arrangement.</w:t>
      </w:r>
    </w:p>
    <w:p>
      <w:pPr>
        <w:spacing w:after="0" w:line="211" w:lineRule="exact"/>
        <w:rPr>
          <w:sz w:val="24"/>
          <w:szCs w:val="24"/>
          <w:color w:val="auto"/>
        </w:rPr>
      </w:pPr>
    </w:p>
    <w:p>
      <w:pPr>
        <w:ind w:right="120" w:firstLine="572"/>
        <w:spacing w:after="0" w:line="286" w:lineRule="auto"/>
        <w:rPr>
          <w:sz w:val="20"/>
          <w:szCs w:val="20"/>
          <w:color w:val="auto"/>
        </w:rPr>
      </w:pPr>
      <w:r>
        <w:rPr>
          <w:rFonts w:ascii="Arial" w:cs="Arial" w:eastAsia="Arial" w:hAnsi="Arial"/>
          <w:sz w:val="18"/>
          <w:szCs w:val="18"/>
          <w:color w:val="auto"/>
        </w:rPr>
        <w:t>Jefferies will be entitled to compensation under the terms of the Sale Agreement at a commission rate of 3.0% of the gross sales price per share sold. See “Plan of Distribution” beginning on page S-25 for additional information regarding the compensation to be paid to Jefferies. In connection with the sale of our ordinary shares on our behalf, Jefferies will be deemed to be an “underwriter” within the meaning of the Securities Act and the compensation of Jefferies will be deemed to be underwriting commissions or discounts. We have also agreed to provide indemnification and contribution to Jefferies with respect to certain liabilities, including civil liabilities under the Securities Act.</w:t>
      </w:r>
    </w:p>
    <w:p>
      <w:pPr>
        <w:spacing w:after="0" w:line="198" w:lineRule="exact"/>
        <w:rPr>
          <w:sz w:val="24"/>
          <w:szCs w:val="24"/>
          <w:color w:val="auto"/>
        </w:rPr>
      </w:pPr>
    </w:p>
    <w:p>
      <w:pPr>
        <w:ind w:right="280" w:firstLine="573"/>
        <w:spacing w:after="0" w:line="287" w:lineRule="auto"/>
        <w:rPr>
          <w:sz w:val="20"/>
          <w:szCs w:val="20"/>
          <w:color w:val="auto"/>
        </w:rPr>
      </w:pPr>
      <w:r>
        <w:rPr>
          <w:rFonts w:ascii="Arial" w:cs="Arial" w:eastAsia="Arial" w:hAnsi="Arial"/>
          <w:sz w:val="19"/>
          <w:szCs w:val="19"/>
          <w:color w:val="auto"/>
        </w:rPr>
        <w:t>Our ordinary shares are traded on the Nasdaq Global Market under the symbol “SLGL.” On January 8, 2020, the last reported sale price of our ordinary shares was $14.91 per share.</w:t>
      </w:r>
    </w:p>
    <w:p>
      <w:pPr>
        <w:spacing w:after="0" w:line="193" w:lineRule="exact"/>
        <w:rPr>
          <w:sz w:val="24"/>
          <w:szCs w:val="24"/>
          <w:color w:val="auto"/>
        </w:rPr>
      </w:pPr>
    </w:p>
    <w:p>
      <w:pPr>
        <w:ind w:right="140" w:firstLine="573"/>
        <w:spacing w:after="0" w:line="287" w:lineRule="auto"/>
        <w:rPr>
          <w:sz w:val="20"/>
          <w:szCs w:val="20"/>
          <w:color w:val="auto"/>
        </w:rPr>
      </w:pPr>
      <w:r>
        <w:rPr>
          <w:rFonts w:ascii="Arial" w:cs="Arial" w:eastAsia="Arial" w:hAnsi="Arial"/>
          <w:sz w:val="19"/>
          <w:szCs w:val="19"/>
          <w:color w:val="auto"/>
        </w:rPr>
        <w:t>We are an “emerging growth company” as that term is used in the Jumpstart Our Business Startups Act of 2012 and, as such, have elected to comply with certain reduced public company reporting requirements for this prospectus and future filings.</w:t>
      </w:r>
    </w:p>
    <w:p>
      <w:pPr>
        <w:spacing w:after="0" w:line="187" w:lineRule="exact"/>
        <w:rPr>
          <w:sz w:val="24"/>
          <w:szCs w:val="24"/>
          <w:color w:val="auto"/>
        </w:rPr>
      </w:pPr>
    </w:p>
    <w:p>
      <w:pPr>
        <w:ind w:right="160"/>
        <w:spacing w:after="0" w:line="270" w:lineRule="auto"/>
        <w:rPr>
          <w:sz w:val="20"/>
          <w:szCs w:val="20"/>
          <w:color w:val="auto"/>
        </w:rPr>
      </w:pPr>
      <w:r>
        <w:rPr>
          <w:rFonts w:ascii="Arial" w:cs="Arial" w:eastAsia="Arial" w:hAnsi="Arial"/>
          <w:sz w:val="19"/>
          <w:szCs w:val="19"/>
          <w:b w:val="1"/>
          <w:bCs w:val="1"/>
          <w:color w:val="auto"/>
        </w:rPr>
        <w:t>Investing in our ordinary shares involves a high degree of risk. Before making an investment decision, you should carefully consider all of the information set forth in this prospectus supplement, the accompanying prospectus and the documents incorporated by reference herein and therein. You should review carefully the risks and uncertainties described under the heading “Risk Factors” beginning on page S-8 of this prospectus supplement and under similar headings in the other documents that are incorporated by reference into this prospectus supplement and accompanying prospectus.</w:t>
      </w:r>
    </w:p>
    <w:p>
      <w:pPr>
        <w:spacing w:after="0" w:line="202" w:lineRule="exact"/>
        <w:rPr>
          <w:sz w:val="24"/>
          <w:szCs w:val="24"/>
          <w:color w:val="auto"/>
        </w:rPr>
      </w:pPr>
    </w:p>
    <w:p>
      <w:pPr>
        <w:ind w:right="20"/>
        <w:spacing w:after="0" w:line="278" w:lineRule="auto"/>
        <w:rPr>
          <w:sz w:val="20"/>
          <w:szCs w:val="20"/>
          <w:color w:val="auto"/>
        </w:rPr>
      </w:pPr>
      <w:r>
        <w:rPr>
          <w:rFonts w:ascii="Arial" w:cs="Arial" w:eastAsia="Arial" w:hAnsi="Arial"/>
          <w:sz w:val="19"/>
          <w:szCs w:val="19"/>
          <w:b w:val="1"/>
          <w:bCs w:val="1"/>
          <w:color w:val="auto"/>
        </w:rPr>
        <w:t>Neither the Securities and Exchange Commission nor any state securities commission has approved or disapproved of these securities or determined if this prospectus supplement and the accompanying prospectus are truthful or complete. Any representation to the contrary is a criminal offense.</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Jefferies</w:t>
      </w:r>
    </w:p>
    <w:p>
      <w:pPr>
        <w:spacing w:after="0" w:line="262" w:lineRule="exact"/>
        <w:rPr>
          <w:sz w:val="24"/>
          <w:szCs w:val="24"/>
          <w:color w:val="auto"/>
        </w:rPr>
      </w:pPr>
    </w:p>
    <w:p>
      <w:pPr>
        <w:jc w:val="center"/>
        <w:spacing w:after="0"/>
        <w:rPr>
          <w:sz w:val="20"/>
          <w:szCs w:val="20"/>
          <w:color w:val="auto"/>
        </w:rPr>
      </w:pPr>
      <w:r>
        <w:rPr>
          <w:rFonts w:ascii="Arial" w:cs="Arial" w:eastAsia="Arial" w:hAnsi="Arial"/>
          <w:sz w:val="19"/>
          <w:szCs w:val="19"/>
          <w:color w:val="auto"/>
        </w:rPr>
        <w:t>The date of this prospectus supplement is January 10,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267335</wp:posOffset>
            </wp:positionV>
            <wp:extent cx="7262495" cy="15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735" w:right="21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8"/>
        </w:trPr>
        <w:tc>
          <w:tcPr>
            <w:tcW w:w="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300" w:type="dxa"/>
            <w:vAlign w:val="bottom"/>
            <w:gridSpan w:val="2"/>
          </w:tcPr>
          <w:p>
            <w:pPr>
              <w:jc w:val="center"/>
              <w:ind w:right="1345"/>
              <w:spacing w:after="0"/>
              <w:rPr>
                <w:sz w:val="20"/>
                <w:szCs w:val="20"/>
                <w:color w:val="auto"/>
              </w:rPr>
            </w:pPr>
            <w:r>
              <w:rPr>
                <w:rFonts w:ascii="Arial" w:cs="Arial" w:eastAsia="Arial" w:hAnsi="Arial"/>
                <w:sz w:val="19"/>
                <w:szCs w:val="19"/>
                <w:b w:val="1"/>
                <w:bCs w:val="1"/>
                <w:color w:val="auto"/>
                <w:w w:val="98"/>
              </w:rPr>
              <w:t>PROSPECTUS SUPPLEMENT</w:t>
            </w:r>
          </w:p>
        </w:tc>
        <w:tc>
          <w:tcPr>
            <w:tcW w:w="2360" w:type="dxa"/>
            <w:vAlign w:val="bottom"/>
          </w:tcPr>
          <w:p>
            <w:pPr>
              <w:spacing w:after="0"/>
              <w:rPr>
                <w:sz w:val="21"/>
                <w:szCs w:val="21"/>
                <w:color w:val="auto"/>
              </w:rPr>
            </w:pPr>
          </w:p>
        </w:tc>
      </w:tr>
      <w:tr>
        <w:trPr>
          <w:trHeight w:val="397"/>
        </w:trPr>
        <w:tc>
          <w:tcPr>
            <w:tcW w:w="3040" w:type="dxa"/>
            <w:vAlign w:val="bottom"/>
            <w:tcBorders>
              <w:bottom w:val="single" w:sz="8" w:color="0000EE"/>
            </w:tcBorders>
            <w:gridSpan w:val="19"/>
          </w:tcPr>
          <w:p>
            <w:pPr>
              <w:spacing w:after="0"/>
              <w:rPr>
                <w:rFonts w:ascii="Arial" w:cs="Arial" w:eastAsia="Arial" w:hAnsi="Arial"/>
                <w:sz w:val="16"/>
                <w:szCs w:val="16"/>
                <w:color w:val="0000EE"/>
                <w:w w:val="93"/>
              </w:rPr>
            </w:pPr>
            <w:hyperlink w:anchor="page3">
              <w:r>
                <w:rPr>
                  <w:rFonts w:ascii="Arial" w:cs="Arial" w:eastAsia="Arial" w:hAnsi="Arial"/>
                  <w:sz w:val="16"/>
                  <w:szCs w:val="16"/>
                  <w:color w:val="0000EE"/>
                  <w:w w:val="93"/>
                </w:rPr>
                <w:t>ABOUT THIS PROSPECTUS SUPPLEMENT</w:t>
              </w:r>
            </w:hyperlink>
          </w:p>
        </w:tc>
        <w:tc>
          <w:tcPr>
            <w:tcW w:w="6040" w:type="dxa"/>
            <w:vAlign w:val="bottom"/>
            <w:gridSpan w:val="6"/>
          </w:tcPr>
          <w:p>
            <w:pPr>
              <w:spacing w:after="0"/>
              <w:rPr>
                <w:sz w:val="24"/>
                <w:szCs w:val="24"/>
                <w:color w:val="auto"/>
              </w:rPr>
            </w:pPr>
          </w:p>
        </w:tc>
        <w:tc>
          <w:tcPr>
            <w:tcW w:w="2360" w:type="dxa"/>
            <w:vAlign w:val="bottom"/>
          </w:tcPr>
          <w:p>
            <w:pPr>
              <w:jc w:val="right"/>
              <w:spacing w:after="0"/>
              <w:rPr>
                <w:sz w:val="20"/>
                <w:szCs w:val="20"/>
                <w:color w:val="auto"/>
              </w:rPr>
            </w:pPr>
            <w:r>
              <w:rPr>
                <w:rFonts w:ascii="Arial" w:cs="Arial" w:eastAsia="Arial" w:hAnsi="Arial"/>
                <w:sz w:val="16"/>
                <w:szCs w:val="16"/>
                <w:color w:val="auto"/>
              </w:rPr>
              <w:t>S-ii</w:t>
            </w:r>
          </w:p>
        </w:tc>
      </w:tr>
      <w:tr>
        <w:trPr>
          <w:trHeight w:val="171"/>
        </w:trPr>
        <w:tc>
          <w:tcPr>
            <w:tcW w:w="2340" w:type="dxa"/>
            <w:vAlign w:val="bottom"/>
            <w:tcBorders>
              <w:bottom w:val="single" w:sz="8" w:color="0000EE"/>
            </w:tcBorders>
            <w:gridSpan w:val="13"/>
          </w:tcPr>
          <w:p>
            <w:pPr>
              <w:spacing w:after="0" w:line="171" w:lineRule="exact"/>
              <w:rPr>
                <w:rFonts w:ascii="Arial" w:cs="Arial" w:eastAsia="Arial" w:hAnsi="Arial"/>
                <w:sz w:val="16"/>
                <w:szCs w:val="16"/>
                <w:color w:val="0000EE"/>
                <w:w w:val="97"/>
              </w:rPr>
            </w:pPr>
            <w:hyperlink w:anchor="page4">
              <w:r>
                <w:rPr>
                  <w:rFonts w:ascii="Arial" w:cs="Arial" w:eastAsia="Arial" w:hAnsi="Arial"/>
                  <w:sz w:val="16"/>
                  <w:szCs w:val="16"/>
                  <w:color w:val="0000EE"/>
                  <w:w w:val="97"/>
                </w:rPr>
                <w:t>INDUSTRY AND MARKET DATA</w:t>
              </w:r>
            </w:hyperlink>
          </w:p>
        </w:tc>
        <w:tc>
          <w:tcPr>
            <w:tcW w:w="6740" w:type="dxa"/>
            <w:vAlign w:val="bottom"/>
            <w:gridSpan w:val="12"/>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S-iii</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5">
              <w:r>
                <w:rPr>
                  <w:rFonts w:ascii="Arial" w:cs="Arial" w:eastAsia="Arial" w:hAnsi="Arial"/>
                  <w:sz w:val="16"/>
                  <w:szCs w:val="16"/>
                  <w:color w:val="0000EE"/>
                </w:rPr>
                <w:t>PROSPECTUS SUPPLEMENT SUMMARY</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S-1</w:t>
            </w:r>
          </w:p>
        </w:tc>
      </w:tr>
      <w:tr>
        <w:trPr>
          <w:trHeight w:val="171"/>
        </w:trPr>
        <w:tc>
          <w:tcPr>
            <w:tcW w:w="1100" w:type="dxa"/>
            <w:vAlign w:val="bottom"/>
            <w:tcBorders>
              <w:top w:val="single" w:sz="8" w:color="0000EE"/>
              <w:bottom w:val="single" w:sz="8" w:color="0000EE"/>
            </w:tcBorders>
            <w:gridSpan w:val="3"/>
          </w:tcPr>
          <w:p>
            <w:pPr>
              <w:spacing w:after="0" w:line="171" w:lineRule="exact"/>
              <w:rPr>
                <w:rFonts w:ascii="Arial" w:cs="Arial" w:eastAsia="Arial" w:hAnsi="Arial"/>
                <w:sz w:val="16"/>
                <w:szCs w:val="16"/>
                <w:color w:val="0000EE"/>
                <w:w w:val="91"/>
              </w:rPr>
            </w:pPr>
            <w:hyperlink w:anchor="page13">
              <w:r>
                <w:rPr>
                  <w:rFonts w:ascii="Arial" w:cs="Arial" w:eastAsia="Arial" w:hAnsi="Arial"/>
                  <w:sz w:val="16"/>
                  <w:szCs w:val="16"/>
                  <w:color w:val="0000EE"/>
                  <w:w w:val="91"/>
                </w:rPr>
                <w:t>RISK FACTORS</w:t>
              </w:r>
            </w:hyperlink>
          </w:p>
        </w:tc>
        <w:tc>
          <w:tcPr>
            <w:tcW w:w="1800" w:type="dxa"/>
            <w:vAlign w:val="bottom"/>
            <w:tcBorders>
              <w:top w:val="single" w:sz="8" w:color="0000EE"/>
            </w:tcBorders>
            <w:gridSpan w:val="14"/>
          </w:tcPr>
          <w:p>
            <w:pPr>
              <w:spacing w:after="0"/>
              <w:rPr>
                <w:sz w:val="14"/>
                <w:szCs w:val="14"/>
                <w:color w:val="auto"/>
              </w:rPr>
            </w:pPr>
          </w:p>
        </w:tc>
        <w:tc>
          <w:tcPr>
            <w:tcW w:w="6180" w:type="dxa"/>
            <w:vAlign w:val="bottom"/>
            <w:gridSpan w:val="8"/>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S-8</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15">
              <w:r>
                <w:rPr>
                  <w:rFonts w:ascii="Arial" w:cs="Arial" w:eastAsia="Arial" w:hAnsi="Arial"/>
                  <w:sz w:val="16"/>
                  <w:szCs w:val="16"/>
                  <w:color w:val="0000EE"/>
                </w:rPr>
                <w:t>FORWARD-LOOKING STATEMENTS</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S-10</w:t>
            </w:r>
          </w:p>
        </w:tc>
      </w:tr>
      <w:tr>
        <w:trPr>
          <w:trHeight w:val="171"/>
        </w:trPr>
        <w:tc>
          <w:tcPr>
            <w:tcW w:w="1400" w:type="dxa"/>
            <w:vAlign w:val="bottom"/>
            <w:tcBorders>
              <w:top w:val="single" w:sz="8" w:color="0000EE"/>
              <w:bottom w:val="single" w:sz="8" w:color="0000EE"/>
            </w:tcBorders>
            <w:gridSpan w:val="6"/>
          </w:tcPr>
          <w:p>
            <w:pPr>
              <w:spacing w:after="0" w:line="171" w:lineRule="exact"/>
              <w:rPr>
                <w:rFonts w:ascii="Arial" w:cs="Arial" w:eastAsia="Arial" w:hAnsi="Arial"/>
                <w:sz w:val="16"/>
                <w:szCs w:val="16"/>
                <w:color w:val="0000EE"/>
                <w:w w:val="89"/>
              </w:rPr>
            </w:pPr>
            <w:hyperlink w:anchor="page16">
              <w:r>
                <w:rPr>
                  <w:rFonts w:ascii="Arial" w:cs="Arial" w:eastAsia="Arial" w:hAnsi="Arial"/>
                  <w:sz w:val="16"/>
                  <w:szCs w:val="16"/>
                  <w:color w:val="0000EE"/>
                  <w:w w:val="89"/>
                </w:rPr>
                <w:t>USE OF PROCEEDS</w:t>
              </w:r>
            </w:hyperlink>
          </w:p>
        </w:tc>
        <w:tc>
          <w:tcPr>
            <w:tcW w:w="1180" w:type="dxa"/>
            <w:vAlign w:val="bottom"/>
            <w:tcBorders>
              <w:top w:val="single" w:sz="8" w:color="0000EE"/>
            </w:tcBorders>
            <w:gridSpan w:val="9"/>
          </w:tcPr>
          <w:p>
            <w:pPr>
              <w:spacing w:after="0"/>
              <w:rPr>
                <w:sz w:val="14"/>
                <w:szCs w:val="14"/>
                <w:color w:val="auto"/>
              </w:rPr>
            </w:pPr>
          </w:p>
        </w:tc>
        <w:tc>
          <w:tcPr>
            <w:tcW w:w="6500" w:type="dxa"/>
            <w:vAlign w:val="bottom"/>
            <w:gridSpan w:val="10"/>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S-11</w:t>
            </w:r>
          </w:p>
        </w:tc>
      </w:tr>
      <w:tr>
        <w:trPr>
          <w:trHeight w:val="171"/>
        </w:trPr>
        <w:tc>
          <w:tcPr>
            <w:tcW w:w="1300" w:type="dxa"/>
            <w:vAlign w:val="bottom"/>
            <w:tcBorders>
              <w:bottom w:val="single" w:sz="8" w:color="0000EE"/>
            </w:tcBorders>
            <w:gridSpan w:val="5"/>
          </w:tcPr>
          <w:p>
            <w:pPr>
              <w:spacing w:after="0" w:line="171" w:lineRule="exact"/>
              <w:rPr>
                <w:rFonts w:ascii="Arial" w:cs="Arial" w:eastAsia="Arial" w:hAnsi="Arial"/>
                <w:sz w:val="16"/>
                <w:szCs w:val="16"/>
                <w:color w:val="0000EE"/>
                <w:w w:val="98"/>
              </w:rPr>
            </w:pPr>
            <w:hyperlink w:anchor="page17">
              <w:r>
                <w:rPr>
                  <w:rFonts w:ascii="Arial" w:cs="Arial" w:eastAsia="Arial" w:hAnsi="Arial"/>
                  <w:sz w:val="16"/>
                  <w:szCs w:val="16"/>
                  <w:color w:val="0000EE"/>
                  <w:w w:val="98"/>
                </w:rPr>
                <w:t>CAPITALIZATION</w:t>
              </w:r>
            </w:hyperlink>
          </w:p>
        </w:tc>
        <w:tc>
          <w:tcPr>
            <w:tcW w:w="7780" w:type="dxa"/>
            <w:vAlign w:val="bottom"/>
            <w:gridSpan w:val="20"/>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S-12</w:t>
            </w:r>
          </w:p>
        </w:tc>
      </w:tr>
      <w:tr>
        <w:trPr>
          <w:trHeight w:val="171"/>
        </w:trPr>
        <w:tc>
          <w:tcPr>
            <w:tcW w:w="760" w:type="dxa"/>
            <w:vAlign w:val="bottom"/>
            <w:tcBorders>
              <w:bottom w:val="single" w:sz="8" w:color="0000EE"/>
            </w:tcBorders>
            <w:gridSpan w:val="2"/>
          </w:tcPr>
          <w:p>
            <w:pPr>
              <w:spacing w:after="0" w:line="171" w:lineRule="exact"/>
              <w:rPr>
                <w:rFonts w:ascii="Arial" w:cs="Arial" w:eastAsia="Arial" w:hAnsi="Arial"/>
                <w:sz w:val="16"/>
                <w:szCs w:val="16"/>
                <w:color w:val="0000EE"/>
                <w:w w:val="99"/>
              </w:rPr>
            </w:pPr>
            <w:hyperlink w:anchor="page18">
              <w:r>
                <w:rPr>
                  <w:rFonts w:ascii="Arial" w:cs="Arial" w:eastAsia="Arial" w:hAnsi="Arial"/>
                  <w:sz w:val="16"/>
                  <w:szCs w:val="16"/>
                  <w:color w:val="0000EE"/>
                  <w:w w:val="99"/>
                </w:rPr>
                <w:t>DILUTION</w:t>
              </w:r>
            </w:hyperlink>
          </w:p>
        </w:tc>
        <w:tc>
          <w:tcPr>
            <w:tcW w:w="8320" w:type="dxa"/>
            <w:vAlign w:val="bottom"/>
            <w:gridSpan w:val="23"/>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S-13</w:t>
            </w:r>
          </w:p>
        </w:tc>
      </w:tr>
      <w:tr>
        <w:trPr>
          <w:trHeight w:val="171"/>
        </w:trPr>
        <w:tc>
          <w:tcPr>
            <w:tcW w:w="2560" w:type="dxa"/>
            <w:vAlign w:val="bottom"/>
            <w:tcBorders>
              <w:bottom w:val="single" w:sz="8" w:color="0000EE"/>
            </w:tcBorders>
            <w:gridSpan w:val="14"/>
          </w:tcPr>
          <w:p>
            <w:pPr>
              <w:spacing w:after="0" w:line="171" w:lineRule="exact"/>
              <w:rPr>
                <w:rFonts w:ascii="Arial" w:cs="Arial" w:eastAsia="Arial" w:hAnsi="Arial"/>
                <w:sz w:val="16"/>
                <w:szCs w:val="16"/>
                <w:color w:val="0000EE"/>
                <w:w w:val="96"/>
              </w:rPr>
            </w:pPr>
            <w:hyperlink w:anchor="page19">
              <w:r>
                <w:rPr>
                  <w:rFonts w:ascii="Arial" w:cs="Arial" w:eastAsia="Arial" w:hAnsi="Arial"/>
                  <w:sz w:val="16"/>
                  <w:szCs w:val="16"/>
                  <w:color w:val="0000EE"/>
                  <w:w w:val="96"/>
                </w:rPr>
                <w:t>MATERIAL TAX CONSIDERATIONS</w:t>
              </w:r>
            </w:hyperlink>
          </w:p>
        </w:tc>
        <w:tc>
          <w:tcPr>
            <w:tcW w:w="6520" w:type="dxa"/>
            <w:vAlign w:val="bottom"/>
            <w:gridSpan w:val="11"/>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S-14</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30">
              <w:r>
                <w:rPr>
                  <w:rFonts w:ascii="Arial" w:cs="Arial" w:eastAsia="Arial" w:hAnsi="Arial"/>
                  <w:sz w:val="16"/>
                  <w:szCs w:val="16"/>
                  <w:color w:val="0000EE"/>
                </w:rPr>
                <w:t>PLAN OF DISTRIBUTION</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S-25</w:t>
            </w:r>
          </w:p>
        </w:tc>
      </w:tr>
      <w:tr>
        <w:trPr>
          <w:trHeight w:val="171"/>
        </w:trPr>
        <w:tc>
          <w:tcPr>
            <w:tcW w:w="1800" w:type="dxa"/>
            <w:vAlign w:val="bottom"/>
            <w:tcBorders>
              <w:top w:val="single" w:sz="8" w:color="0000EE"/>
            </w:tcBorders>
            <w:gridSpan w:val="9"/>
          </w:tcPr>
          <w:p>
            <w:pPr>
              <w:spacing w:after="0" w:line="171" w:lineRule="exact"/>
              <w:rPr>
                <w:rFonts w:ascii="Arial" w:cs="Arial" w:eastAsia="Arial" w:hAnsi="Arial"/>
                <w:sz w:val="16"/>
                <w:szCs w:val="16"/>
                <w:color w:val="0000EE"/>
              </w:rPr>
            </w:pPr>
            <w:hyperlink w:anchor="page31">
              <w:r>
                <w:rPr>
                  <w:rFonts w:ascii="Arial" w:cs="Arial" w:eastAsia="Arial" w:hAnsi="Arial"/>
                  <w:sz w:val="16"/>
                  <w:szCs w:val="16"/>
                  <w:color w:val="0000EE"/>
                </w:rPr>
                <w:t>LEGAL MATTERS</w:t>
              </w:r>
            </w:hyperlink>
          </w:p>
        </w:tc>
        <w:tc>
          <w:tcPr>
            <w:tcW w:w="7280" w:type="dxa"/>
            <w:vAlign w:val="bottom"/>
            <w:gridSpan w:val="16"/>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S-26</w:t>
            </w:r>
          </w:p>
        </w:tc>
      </w:tr>
      <w:tr>
        <w:trPr>
          <w:trHeight w:val="171"/>
        </w:trPr>
        <w:tc>
          <w:tcPr>
            <w:tcW w:w="680" w:type="dxa"/>
            <w:vAlign w:val="bottom"/>
            <w:tcBorders>
              <w:top w:val="single" w:sz="8" w:color="0000EE"/>
              <w:bottom w:val="single" w:sz="8" w:color="0000EE"/>
            </w:tcBorders>
          </w:tcPr>
          <w:p>
            <w:pPr>
              <w:spacing w:after="0" w:line="171" w:lineRule="exact"/>
              <w:rPr>
                <w:rFonts w:ascii="Arial" w:cs="Arial" w:eastAsia="Arial" w:hAnsi="Arial"/>
                <w:sz w:val="16"/>
                <w:szCs w:val="16"/>
                <w:color w:val="0000EE"/>
                <w:w w:val="88"/>
              </w:rPr>
            </w:pPr>
            <w:hyperlink w:anchor="page31">
              <w:r>
                <w:rPr>
                  <w:rFonts w:ascii="Arial" w:cs="Arial" w:eastAsia="Arial" w:hAnsi="Arial"/>
                  <w:sz w:val="16"/>
                  <w:szCs w:val="16"/>
                  <w:color w:val="0000EE"/>
                  <w:w w:val="88"/>
                </w:rPr>
                <w:t>EXPERTS</w:t>
              </w:r>
            </w:hyperlink>
          </w:p>
        </w:tc>
        <w:tc>
          <w:tcPr>
            <w:tcW w:w="600" w:type="dxa"/>
            <w:vAlign w:val="bottom"/>
            <w:tcBorders>
              <w:top w:val="single" w:sz="8" w:color="0000EE"/>
            </w:tcBorders>
            <w:gridSpan w:val="3"/>
          </w:tcPr>
          <w:p>
            <w:pPr>
              <w:spacing w:after="0"/>
              <w:rPr>
                <w:sz w:val="14"/>
                <w:szCs w:val="14"/>
                <w:color w:val="auto"/>
              </w:rPr>
            </w:pPr>
          </w:p>
        </w:tc>
        <w:tc>
          <w:tcPr>
            <w:tcW w:w="7800" w:type="dxa"/>
            <w:vAlign w:val="bottom"/>
            <w:gridSpan w:val="21"/>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S-26</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31">
              <w:r>
                <w:rPr>
                  <w:rFonts w:ascii="Arial" w:cs="Arial" w:eastAsia="Arial" w:hAnsi="Arial"/>
                  <w:sz w:val="16"/>
                  <w:szCs w:val="16"/>
                  <w:color w:val="0000EE"/>
                </w:rPr>
                <w:t>WHERE YOU CAN FIND MORE INFORMATION</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S-26</w:t>
            </w:r>
          </w:p>
        </w:tc>
      </w:tr>
      <w:tr>
        <w:trPr>
          <w:trHeight w:val="20"/>
        </w:trPr>
        <w:tc>
          <w:tcPr>
            <w:tcW w:w="1300" w:type="dxa"/>
            <w:vAlign w:val="bottom"/>
            <w:gridSpan w:val="5"/>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4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31">
              <w:r>
                <w:rPr>
                  <w:rFonts w:ascii="Arial" w:cs="Arial" w:eastAsia="Arial" w:hAnsi="Arial"/>
                  <w:sz w:val="16"/>
                  <w:szCs w:val="16"/>
                  <w:color w:val="0000EE"/>
                </w:rPr>
                <w:t>INCORPORATION OF CERTAIN DOCUMENTS BY REFERENCE</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S-26</w:t>
            </w:r>
          </w:p>
        </w:tc>
      </w:tr>
      <w:tr>
        <w:trPr>
          <w:trHeight w:val="171"/>
        </w:trPr>
        <w:tc>
          <w:tcPr>
            <w:tcW w:w="4460" w:type="dxa"/>
            <w:vAlign w:val="bottom"/>
            <w:tcBorders>
              <w:top w:val="single" w:sz="8" w:color="0000EE"/>
            </w:tcBorders>
            <w:gridSpan w:val="24"/>
          </w:tcPr>
          <w:p>
            <w:pPr>
              <w:spacing w:after="0" w:line="171" w:lineRule="exact"/>
              <w:rPr>
                <w:rFonts w:ascii="Arial" w:cs="Arial" w:eastAsia="Arial" w:hAnsi="Arial"/>
                <w:sz w:val="16"/>
                <w:szCs w:val="16"/>
                <w:color w:val="0000EE"/>
              </w:rPr>
            </w:pPr>
            <w:hyperlink w:anchor="page32">
              <w:r>
                <w:rPr>
                  <w:rFonts w:ascii="Arial" w:cs="Arial" w:eastAsia="Arial" w:hAnsi="Arial"/>
                  <w:sz w:val="16"/>
                  <w:szCs w:val="16"/>
                  <w:color w:val="0000EE"/>
                </w:rPr>
                <w:t>ENFORCEABILITY OF CIVIL LIABILITIES</w:t>
              </w:r>
            </w:hyperlink>
          </w:p>
        </w:tc>
        <w:tc>
          <w:tcPr>
            <w:tcW w:w="4620" w:type="dxa"/>
            <w:vAlign w:val="bottom"/>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S-27</w:t>
            </w:r>
          </w:p>
        </w:tc>
      </w:tr>
      <w:tr>
        <w:trPr>
          <w:trHeight w:val="489"/>
        </w:trPr>
        <w:tc>
          <w:tcPr>
            <w:tcW w:w="6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20" w:type="dxa"/>
            <w:vAlign w:val="bottom"/>
          </w:tcPr>
          <w:p>
            <w:pPr>
              <w:jc w:val="center"/>
              <w:ind w:right="2025"/>
              <w:spacing w:after="0"/>
              <w:rPr>
                <w:sz w:val="20"/>
                <w:szCs w:val="20"/>
                <w:color w:val="auto"/>
              </w:rPr>
            </w:pPr>
            <w:r>
              <w:rPr>
                <w:rFonts w:ascii="Arial" w:cs="Arial" w:eastAsia="Arial" w:hAnsi="Arial"/>
                <w:sz w:val="19"/>
                <w:szCs w:val="19"/>
                <w:b w:val="1"/>
                <w:bCs w:val="1"/>
                <w:color w:val="auto"/>
                <w:w w:val="96"/>
              </w:rPr>
              <w:t>PROSPECTUS</w:t>
            </w:r>
          </w:p>
        </w:tc>
        <w:tc>
          <w:tcPr>
            <w:tcW w:w="2360" w:type="dxa"/>
            <w:vAlign w:val="bottom"/>
          </w:tcPr>
          <w:p>
            <w:pPr>
              <w:spacing w:after="0"/>
              <w:rPr>
                <w:sz w:val="24"/>
                <w:szCs w:val="24"/>
                <w:color w:val="auto"/>
              </w:rPr>
            </w:pPr>
          </w:p>
        </w:tc>
      </w:tr>
      <w:tr>
        <w:trPr>
          <w:trHeight w:val="373"/>
        </w:trPr>
        <w:tc>
          <w:tcPr>
            <w:tcW w:w="9080" w:type="dxa"/>
            <w:vAlign w:val="bottom"/>
            <w:gridSpan w:val="25"/>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ABOUT THIS PROSPECTUS</w:t>
              </w:r>
            </w:hyperlink>
          </w:p>
        </w:tc>
        <w:tc>
          <w:tcPr>
            <w:tcW w:w="2360" w:type="dxa"/>
            <w:vAlign w:val="bottom"/>
          </w:tcPr>
          <w:p>
            <w:pPr>
              <w:jc w:val="right"/>
              <w:spacing w:after="0"/>
              <w:rPr>
                <w:sz w:val="20"/>
                <w:szCs w:val="20"/>
                <w:color w:val="auto"/>
              </w:rPr>
            </w:pPr>
            <w:r>
              <w:rPr>
                <w:rFonts w:ascii="Arial" w:cs="Arial" w:eastAsia="Arial" w:hAnsi="Arial"/>
                <w:sz w:val="16"/>
                <w:szCs w:val="16"/>
                <w:color w:val="auto"/>
              </w:rPr>
              <w:t>1</w:t>
            </w:r>
          </w:p>
        </w:tc>
      </w:tr>
      <w:tr>
        <w:trPr>
          <w:trHeight w:val="171"/>
        </w:trPr>
        <w:tc>
          <w:tcPr>
            <w:tcW w:w="1720" w:type="dxa"/>
            <w:vAlign w:val="bottom"/>
            <w:tcBorders>
              <w:top w:val="single" w:sz="8" w:color="0000EE"/>
              <w:bottom w:val="single" w:sz="8" w:color="0000EE"/>
            </w:tcBorders>
            <w:gridSpan w:val="7"/>
          </w:tcPr>
          <w:p>
            <w:pPr>
              <w:spacing w:after="0" w:line="171" w:lineRule="exact"/>
              <w:rPr>
                <w:rFonts w:ascii="Arial" w:cs="Arial" w:eastAsia="Arial" w:hAnsi="Arial"/>
                <w:sz w:val="16"/>
                <w:szCs w:val="16"/>
                <w:color w:val="0000EE"/>
                <w:w w:val="96"/>
              </w:rPr>
            </w:pPr>
            <w:hyperlink w:anchor="page37">
              <w:r>
                <w:rPr>
                  <w:rFonts w:ascii="Arial" w:cs="Arial" w:eastAsia="Arial" w:hAnsi="Arial"/>
                  <w:sz w:val="16"/>
                  <w:szCs w:val="16"/>
                  <w:color w:val="0000EE"/>
                  <w:w w:val="96"/>
                </w:rPr>
                <w:t>ABOUT THE COMPANY</w:t>
              </w:r>
            </w:hyperlink>
          </w:p>
        </w:tc>
        <w:tc>
          <w:tcPr>
            <w:tcW w:w="240" w:type="dxa"/>
            <w:vAlign w:val="bottom"/>
            <w:tcBorders>
              <w:top w:val="single" w:sz="8" w:color="0000EE"/>
            </w:tcBorders>
            <w:gridSpan w:val="3"/>
          </w:tcPr>
          <w:p>
            <w:pPr>
              <w:spacing w:after="0"/>
              <w:rPr>
                <w:sz w:val="14"/>
                <w:szCs w:val="14"/>
                <w:color w:val="auto"/>
              </w:rPr>
            </w:pPr>
          </w:p>
        </w:tc>
        <w:tc>
          <w:tcPr>
            <w:tcW w:w="7120" w:type="dxa"/>
            <w:vAlign w:val="bottom"/>
            <w:gridSpan w:val="15"/>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2</w:t>
            </w:r>
          </w:p>
        </w:tc>
      </w:tr>
      <w:tr>
        <w:trPr>
          <w:trHeight w:val="171"/>
        </w:trPr>
        <w:tc>
          <w:tcPr>
            <w:tcW w:w="1100" w:type="dxa"/>
            <w:vAlign w:val="bottom"/>
            <w:tcBorders>
              <w:bottom w:val="single" w:sz="8" w:color="0000EE"/>
            </w:tcBorders>
            <w:gridSpan w:val="3"/>
          </w:tcPr>
          <w:p>
            <w:pPr>
              <w:spacing w:after="0" w:line="171" w:lineRule="exact"/>
              <w:rPr>
                <w:rFonts w:ascii="Arial" w:cs="Arial" w:eastAsia="Arial" w:hAnsi="Arial"/>
                <w:sz w:val="16"/>
                <w:szCs w:val="16"/>
                <w:color w:val="0000EE"/>
                <w:w w:val="91"/>
              </w:rPr>
            </w:pPr>
            <w:hyperlink w:anchor="page37">
              <w:r>
                <w:rPr>
                  <w:rFonts w:ascii="Arial" w:cs="Arial" w:eastAsia="Arial" w:hAnsi="Arial"/>
                  <w:sz w:val="16"/>
                  <w:szCs w:val="16"/>
                  <w:color w:val="0000EE"/>
                  <w:w w:val="91"/>
                </w:rPr>
                <w:t>RISK FACTORS</w:t>
              </w:r>
            </w:hyperlink>
          </w:p>
        </w:tc>
        <w:tc>
          <w:tcPr>
            <w:tcW w:w="7980" w:type="dxa"/>
            <w:vAlign w:val="bottom"/>
            <w:gridSpan w:val="22"/>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2</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38">
              <w:r>
                <w:rPr>
                  <w:rFonts w:ascii="Arial" w:cs="Arial" w:eastAsia="Arial" w:hAnsi="Arial"/>
                  <w:sz w:val="16"/>
                  <w:szCs w:val="16"/>
                  <w:color w:val="0000EE"/>
                </w:rPr>
                <w:t>OFFER STATISTICS AND EXPECTED TIMETABLE</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3</w:t>
            </w:r>
          </w:p>
        </w:tc>
      </w:tr>
      <w:tr>
        <w:trPr>
          <w:trHeight w:val="171"/>
        </w:trPr>
        <w:tc>
          <w:tcPr>
            <w:tcW w:w="3540" w:type="dxa"/>
            <w:vAlign w:val="bottom"/>
            <w:tcBorders>
              <w:top w:val="single" w:sz="8" w:color="0000EE"/>
            </w:tcBorders>
            <w:gridSpan w:val="22"/>
          </w:tcPr>
          <w:p>
            <w:pPr>
              <w:spacing w:after="0" w:line="171" w:lineRule="exact"/>
              <w:rPr>
                <w:rFonts w:ascii="Arial" w:cs="Arial" w:eastAsia="Arial" w:hAnsi="Arial"/>
                <w:sz w:val="16"/>
                <w:szCs w:val="16"/>
                <w:color w:val="0000EE"/>
              </w:rPr>
            </w:pPr>
            <w:hyperlink w:anchor="page38">
              <w:r>
                <w:rPr>
                  <w:rFonts w:ascii="Arial" w:cs="Arial" w:eastAsia="Arial" w:hAnsi="Arial"/>
                  <w:sz w:val="16"/>
                  <w:szCs w:val="16"/>
                  <w:color w:val="0000EE"/>
                </w:rPr>
                <w:t>FORWARD-LOOKING STATEMENTS</w:t>
              </w:r>
            </w:hyperlink>
          </w:p>
        </w:tc>
        <w:tc>
          <w:tcPr>
            <w:tcW w:w="5540" w:type="dxa"/>
            <w:vAlign w:val="bottom"/>
            <w:gridSpan w:val="3"/>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3</w:t>
            </w:r>
          </w:p>
        </w:tc>
      </w:tr>
      <w:tr>
        <w:trPr>
          <w:trHeight w:val="171"/>
        </w:trPr>
        <w:tc>
          <w:tcPr>
            <w:tcW w:w="1300" w:type="dxa"/>
            <w:vAlign w:val="bottom"/>
            <w:tcBorders>
              <w:top w:val="single" w:sz="8" w:color="0000EE"/>
              <w:bottom w:val="single" w:sz="8" w:color="0000EE"/>
            </w:tcBorders>
            <w:gridSpan w:val="5"/>
          </w:tcPr>
          <w:p>
            <w:pPr>
              <w:spacing w:after="0" w:line="171" w:lineRule="exact"/>
              <w:rPr>
                <w:rFonts w:ascii="Arial" w:cs="Arial" w:eastAsia="Arial" w:hAnsi="Arial"/>
                <w:sz w:val="16"/>
                <w:szCs w:val="16"/>
                <w:color w:val="0000EE"/>
                <w:w w:val="98"/>
              </w:rPr>
            </w:pPr>
            <w:hyperlink w:anchor="page39">
              <w:r>
                <w:rPr>
                  <w:rFonts w:ascii="Arial" w:cs="Arial" w:eastAsia="Arial" w:hAnsi="Arial"/>
                  <w:sz w:val="16"/>
                  <w:szCs w:val="16"/>
                  <w:color w:val="0000EE"/>
                  <w:w w:val="98"/>
                </w:rPr>
                <w:t>CAPITALIZATION</w:t>
              </w:r>
            </w:hyperlink>
          </w:p>
        </w:tc>
        <w:tc>
          <w:tcPr>
            <w:tcW w:w="1280" w:type="dxa"/>
            <w:vAlign w:val="bottom"/>
            <w:tcBorders>
              <w:top w:val="single" w:sz="8" w:color="0000EE"/>
            </w:tcBorders>
            <w:gridSpan w:val="10"/>
          </w:tcPr>
          <w:p>
            <w:pPr>
              <w:spacing w:after="0"/>
              <w:rPr>
                <w:sz w:val="14"/>
                <w:szCs w:val="14"/>
                <w:color w:val="auto"/>
              </w:rPr>
            </w:pPr>
          </w:p>
        </w:tc>
        <w:tc>
          <w:tcPr>
            <w:tcW w:w="6500" w:type="dxa"/>
            <w:vAlign w:val="bottom"/>
            <w:gridSpan w:val="10"/>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39">
              <w:r>
                <w:rPr>
                  <w:rFonts w:ascii="Arial" w:cs="Arial" w:eastAsia="Arial" w:hAnsi="Arial"/>
                  <w:sz w:val="16"/>
                  <w:szCs w:val="16"/>
                  <w:color w:val="0000EE"/>
                </w:rPr>
                <w:t>OFFER AND LISTING DETAILS</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1400" w:type="dxa"/>
            <w:vAlign w:val="bottom"/>
            <w:tcBorders>
              <w:top w:val="single" w:sz="8" w:color="0000EE"/>
              <w:bottom w:val="single" w:sz="8" w:color="0000EE"/>
            </w:tcBorders>
            <w:gridSpan w:val="6"/>
          </w:tcPr>
          <w:p>
            <w:pPr>
              <w:spacing w:after="0" w:line="171" w:lineRule="exact"/>
              <w:rPr>
                <w:rFonts w:ascii="Arial" w:cs="Arial" w:eastAsia="Arial" w:hAnsi="Arial"/>
                <w:sz w:val="16"/>
                <w:szCs w:val="16"/>
                <w:color w:val="0000EE"/>
                <w:w w:val="89"/>
              </w:rPr>
            </w:pPr>
            <w:hyperlink w:anchor="page39">
              <w:r>
                <w:rPr>
                  <w:rFonts w:ascii="Arial" w:cs="Arial" w:eastAsia="Arial" w:hAnsi="Arial"/>
                  <w:sz w:val="16"/>
                  <w:szCs w:val="16"/>
                  <w:color w:val="0000EE"/>
                  <w:w w:val="89"/>
                </w:rPr>
                <w:t>USE OF PROCEEDS</w:t>
              </w:r>
            </w:hyperlink>
          </w:p>
        </w:tc>
        <w:tc>
          <w:tcPr>
            <w:tcW w:w="820" w:type="dxa"/>
            <w:vAlign w:val="bottom"/>
            <w:tcBorders>
              <w:top w:val="single" w:sz="8" w:color="0000EE"/>
            </w:tcBorders>
            <w:gridSpan w:val="6"/>
          </w:tcPr>
          <w:p>
            <w:pPr>
              <w:spacing w:after="0"/>
              <w:rPr>
                <w:sz w:val="14"/>
                <w:szCs w:val="14"/>
                <w:color w:val="auto"/>
              </w:rPr>
            </w:pPr>
          </w:p>
        </w:tc>
        <w:tc>
          <w:tcPr>
            <w:tcW w:w="6860" w:type="dxa"/>
            <w:vAlign w:val="bottom"/>
            <w:gridSpan w:val="13"/>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2800" w:type="dxa"/>
            <w:vAlign w:val="bottom"/>
            <w:tcBorders>
              <w:bottom w:val="single" w:sz="8" w:color="0000EE"/>
            </w:tcBorders>
            <w:gridSpan w:val="16"/>
          </w:tcPr>
          <w:p>
            <w:pPr>
              <w:spacing w:after="0" w:line="171" w:lineRule="exact"/>
              <w:rPr>
                <w:rFonts w:ascii="Arial" w:cs="Arial" w:eastAsia="Arial" w:hAnsi="Arial"/>
                <w:sz w:val="16"/>
                <w:szCs w:val="16"/>
                <w:color w:val="0000EE"/>
                <w:w w:val="94"/>
              </w:rPr>
            </w:pPr>
            <w:hyperlink w:anchor="page39">
              <w:r>
                <w:rPr>
                  <w:rFonts w:ascii="Arial" w:cs="Arial" w:eastAsia="Arial" w:hAnsi="Arial"/>
                  <w:sz w:val="16"/>
                  <w:szCs w:val="16"/>
                  <w:color w:val="0000EE"/>
                  <w:w w:val="94"/>
                </w:rPr>
                <w:t>DESCRIPTION OF ORDINARY SHARES</w:t>
              </w:r>
            </w:hyperlink>
          </w:p>
        </w:tc>
        <w:tc>
          <w:tcPr>
            <w:tcW w:w="6280" w:type="dxa"/>
            <w:vAlign w:val="bottom"/>
            <w:gridSpan w:val="9"/>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39">
              <w:r>
                <w:rPr>
                  <w:rFonts w:ascii="Arial" w:cs="Arial" w:eastAsia="Arial" w:hAnsi="Arial"/>
                  <w:sz w:val="16"/>
                  <w:szCs w:val="16"/>
                  <w:color w:val="0000EE"/>
                </w:rPr>
                <w:t>DESCRIPTION OF WARRANTS</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4</w:t>
            </w:r>
          </w:p>
        </w:tc>
      </w:tr>
      <w:tr>
        <w:trPr>
          <w:trHeight w:val="20"/>
        </w:trPr>
        <w:tc>
          <w:tcPr>
            <w:tcW w:w="1780" w:type="dxa"/>
            <w:vAlign w:val="bottom"/>
            <w:gridSpan w:val="8"/>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840" w:type="dxa"/>
            <w:vAlign w:val="bottom"/>
            <w:gridSpan w:val="7"/>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5300" w:type="dxa"/>
            <w:vAlign w:val="bottom"/>
            <w:gridSpan w:val="2"/>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r>
      <w:tr>
        <w:trPr>
          <w:trHeight w:val="171"/>
        </w:trPr>
        <w:tc>
          <w:tcPr>
            <w:tcW w:w="3060" w:type="dxa"/>
            <w:vAlign w:val="bottom"/>
            <w:tcBorders>
              <w:bottom w:val="single" w:sz="8" w:color="0000EE"/>
            </w:tcBorders>
            <w:gridSpan w:val="20"/>
          </w:tcPr>
          <w:p>
            <w:pPr>
              <w:spacing w:after="0" w:line="171" w:lineRule="exact"/>
              <w:rPr>
                <w:rFonts w:ascii="Arial" w:cs="Arial" w:eastAsia="Arial" w:hAnsi="Arial"/>
                <w:sz w:val="16"/>
                <w:szCs w:val="16"/>
                <w:color w:val="0000EE"/>
                <w:w w:val="93"/>
              </w:rPr>
            </w:pPr>
            <w:hyperlink w:anchor="page40">
              <w:r>
                <w:rPr>
                  <w:rFonts w:ascii="Arial" w:cs="Arial" w:eastAsia="Arial" w:hAnsi="Arial"/>
                  <w:sz w:val="16"/>
                  <w:szCs w:val="16"/>
                  <w:color w:val="0000EE"/>
                  <w:w w:val="93"/>
                </w:rPr>
                <w:t>DESCRIPTION OF SUBSCRIPTION RIGHTS</w:t>
              </w:r>
            </w:hyperlink>
          </w:p>
        </w:tc>
        <w:tc>
          <w:tcPr>
            <w:tcW w:w="6020" w:type="dxa"/>
            <w:vAlign w:val="bottom"/>
            <w:gridSpan w:val="5"/>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5</w:t>
            </w:r>
          </w:p>
        </w:tc>
      </w:tr>
      <w:tr>
        <w:trPr>
          <w:trHeight w:val="171"/>
        </w:trPr>
        <w:tc>
          <w:tcPr>
            <w:tcW w:w="1780" w:type="dxa"/>
            <w:vAlign w:val="bottom"/>
            <w:tcBorders>
              <w:bottom w:val="single" w:sz="8" w:color="0000EE"/>
            </w:tcBorders>
            <w:gridSpan w:val="8"/>
          </w:tcPr>
          <w:p>
            <w:pPr>
              <w:spacing w:after="0" w:line="171" w:lineRule="exact"/>
              <w:rPr>
                <w:rFonts w:ascii="Arial" w:cs="Arial" w:eastAsia="Arial" w:hAnsi="Arial"/>
                <w:sz w:val="16"/>
                <w:szCs w:val="16"/>
                <w:color w:val="0000EE"/>
                <w:w w:val="93"/>
              </w:rPr>
            </w:pPr>
            <w:hyperlink w:anchor="page41">
              <w:r>
                <w:rPr>
                  <w:rFonts w:ascii="Arial" w:cs="Arial" w:eastAsia="Arial" w:hAnsi="Arial"/>
                  <w:sz w:val="16"/>
                  <w:szCs w:val="16"/>
                  <w:color w:val="0000EE"/>
                  <w:w w:val="93"/>
                </w:rPr>
                <w:t>DESCRIPTION OF UNITS</w:t>
              </w:r>
            </w:hyperlink>
          </w:p>
        </w:tc>
        <w:tc>
          <w:tcPr>
            <w:tcW w:w="7300" w:type="dxa"/>
            <w:vAlign w:val="bottom"/>
            <w:gridSpan w:val="17"/>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6</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41">
              <w:r>
                <w:rPr>
                  <w:rFonts w:ascii="Arial" w:cs="Arial" w:eastAsia="Arial" w:hAnsi="Arial"/>
                  <w:sz w:val="16"/>
                  <w:szCs w:val="16"/>
                  <w:color w:val="0000EE"/>
                </w:rPr>
                <w:t>PLAN OF DISTRIBUTION</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6</w:t>
            </w:r>
          </w:p>
        </w:tc>
      </w:tr>
      <w:tr>
        <w:trPr>
          <w:trHeight w:val="171"/>
        </w:trPr>
        <w:tc>
          <w:tcPr>
            <w:tcW w:w="1800" w:type="dxa"/>
            <w:vAlign w:val="bottom"/>
            <w:tcBorders>
              <w:top w:val="single" w:sz="8" w:color="0000EE"/>
            </w:tcBorders>
            <w:gridSpan w:val="9"/>
          </w:tcPr>
          <w:p>
            <w:pPr>
              <w:spacing w:after="0" w:line="171" w:lineRule="exact"/>
              <w:rPr>
                <w:rFonts w:ascii="Arial" w:cs="Arial" w:eastAsia="Arial" w:hAnsi="Arial"/>
                <w:sz w:val="16"/>
                <w:szCs w:val="16"/>
                <w:color w:val="0000EE"/>
              </w:rPr>
            </w:pPr>
            <w:hyperlink w:anchor="page45">
              <w:r>
                <w:rPr>
                  <w:rFonts w:ascii="Arial" w:cs="Arial" w:eastAsia="Arial" w:hAnsi="Arial"/>
                  <w:sz w:val="16"/>
                  <w:szCs w:val="16"/>
                  <w:color w:val="0000EE"/>
                </w:rPr>
                <w:t>LEGAL MATTERS</w:t>
              </w:r>
            </w:hyperlink>
          </w:p>
        </w:tc>
        <w:tc>
          <w:tcPr>
            <w:tcW w:w="7280" w:type="dxa"/>
            <w:vAlign w:val="bottom"/>
            <w:gridSpan w:val="16"/>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10</w:t>
            </w:r>
          </w:p>
        </w:tc>
      </w:tr>
      <w:tr>
        <w:trPr>
          <w:trHeight w:val="171"/>
        </w:trPr>
        <w:tc>
          <w:tcPr>
            <w:tcW w:w="680" w:type="dxa"/>
            <w:vAlign w:val="bottom"/>
            <w:tcBorders>
              <w:top w:val="single" w:sz="8" w:color="0000EE"/>
              <w:bottom w:val="single" w:sz="8" w:color="0000EE"/>
            </w:tcBorders>
          </w:tcPr>
          <w:p>
            <w:pPr>
              <w:spacing w:after="0" w:line="171" w:lineRule="exact"/>
              <w:rPr>
                <w:rFonts w:ascii="Arial" w:cs="Arial" w:eastAsia="Arial" w:hAnsi="Arial"/>
                <w:sz w:val="16"/>
                <w:szCs w:val="16"/>
                <w:color w:val="0000EE"/>
                <w:w w:val="88"/>
              </w:rPr>
            </w:pPr>
            <w:hyperlink w:anchor="page45">
              <w:r>
                <w:rPr>
                  <w:rFonts w:ascii="Arial" w:cs="Arial" w:eastAsia="Arial" w:hAnsi="Arial"/>
                  <w:sz w:val="16"/>
                  <w:szCs w:val="16"/>
                  <w:color w:val="0000EE"/>
                  <w:w w:val="88"/>
                </w:rPr>
                <w:t>EXPERTS</w:t>
              </w:r>
            </w:hyperlink>
          </w:p>
        </w:tc>
        <w:tc>
          <w:tcPr>
            <w:tcW w:w="600" w:type="dxa"/>
            <w:vAlign w:val="bottom"/>
            <w:tcBorders>
              <w:top w:val="single" w:sz="8" w:color="0000EE"/>
            </w:tcBorders>
            <w:gridSpan w:val="3"/>
          </w:tcPr>
          <w:p>
            <w:pPr>
              <w:spacing w:after="0"/>
              <w:rPr>
                <w:sz w:val="14"/>
                <w:szCs w:val="14"/>
                <w:color w:val="auto"/>
              </w:rPr>
            </w:pPr>
          </w:p>
        </w:tc>
        <w:tc>
          <w:tcPr>
            <w:tcW w:w="7800" w:type="dxa"/>
            <w:vAlign w:val="bottom"/>
            <w:gridSpan w:val="21"/>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10</w:t>
            </w: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45">
              <w:r>
                <w:rPr>
                  <w:rFonts w:ascii="Arial" w:cs="Arial" w:eastAsia="Arial" w:hAnsi="Arial"/>
                  <w:sz w:val="16"/>
                  <w:szCs w:val="16"/>
                  <w:color w:val="0000EE"/>
                </w:rPr>
                <w:t>WHERE YOU CAN FIND MORE INFORMATION</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10</w:t>
            </w:r>
          </w:p>
        </w:tc>
      </w:tr>
      <w:tr>
        <w:trPr>
          <w:trHeight w:val="20"/>
        </w:trPr>
        <w:tc>
          <w:tcPr>
            <w:tcW w:w="3020" w:type="dxa"/>
            <w:vAlign w:val="bottom"/>
            <w:gridSpan w:val="18"/>
            <w:shd w:val="clear" w:color="auto" w:fill="0000EE"/>
          </w:tcPr>
          <w:p>
            <w:pPr>
              <w:spacing w:after="0" w:line="20" w:lineRule="exact"/>
              <w:rPr>
                <w:sz w:val="1"/>
                <w:szCs w:val="1"/>
                <w:color w:val="auto"/>
              </w:rPr>
            </w:pPr>
          </w:p>
        </w:tc>
        <w:tc>
          <w:tcPr>
            <w:tcW w:w="340" w:type="dxa"/>
            <w:vAlign w:val="bottom"/>
            <w:gridSpan w:val="3"/>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300" w:type="dxa"/>
            <w:vAlign w:val="bottom"/>
            <w:gridSpan w:val="2"/>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r>
      <w:tr>
        <w:trPr>
          <w:trHeight w:val="171"/>
        </w:trPr>
        <w:tc>
          <w:tcPr>
            <w:tcW w:w="9080" w:type="dxa"/>
            <w:vAlign w:val="bottom"/>
            <w:gridSpan w:val="25"/>
          </w:tcPr>
          <w:p>
            <w:pPr>
              <w:spacing w:after="0" w:line="171" w:lineRule="exact"/>
              <w:rPr>
                <w:rFonts w:ascii="Arial" w:cs="Arial" w:eastAsia="Arial" w:hAnsi="Arial"/>
                <w:sz w:val="16"/>
                <w:szCs w:val="16"/>
                <w:color w:val="0000EE"/>
              </w:rPr>
            </w:pPr>
            <w:hyperlink w:anchor="page45">
              <w:r>
                <w:rPr>
                  <w:rFonts w:ascii="Arial" w:cs="Arial" w:eastAsia="Arial" w:hAnsi="Arial"/>
                  <w:sz w:val="16"/>
                  <w:szCs w:val="16"/>
                  <w:color w:val="0000EE"/>
                </w:rPr>
                <w:t>INCORPORATION OF CERTAIN DOCUMENTS BY REFERENCE</w:t>
              </w:r>
            </w:hyperlink>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10</w:t>
            </w:r>
          </w:p>
        </w:tc>
      </w:tr>
      <w:tr>
        <w:trPr>
          <w:trHeight w:val="171"/>
        </w:trPr>
        <w:tc>
          <w:tcPr>
            <w:tcW w:w="3020" w:type="dxa"/>
            <w:vAlign w:val="bottom"/>
            <w:tcBorders>
              <w:top w:val="single" w:sz="8" w:color="0000EE"/>
              <w:bottom w:val="single" w:sz="8" w:color="0000EE"/>
            </w:tcBorders>
            <w:gridSpan w:val="18"/>
          </w:tcPr>
          <w:p>
            <w:pPr>
              <w:spacing w:after="0" w:line="171" w:lineRule="exact"/>
              <w:rPr>
                <w:rFonts w:ascii="Arial" w:cs="Arial" w:eastAsia="Arial" w:hAnsi="Arial"/>
                <w:sz w:val="16"/>
                <w:szCs w:val="16"/>
                <w:color w:val="0000EE"/>
                <w:w w:val="99"/>
              </w:rPr>
            </w:pPr>
            <w:hyperlink w:anchor="page46">
              <w:r>
                <w:rPr>
                  <w:rFonts w:ascii="Arial" w:cs="Arial" w:eastAsia="Arial" w:hAnsi="Arial"/>
                  <w:sz w:val="16"/>
                  <w:szCs w:val="16"/>
                  <w:color w:val="0000EE"/>
                  <w:w w:val="99"/>
                </w:rPr>
                <w:t>ENFORCEABILITY OF CIVIL LIABILITIES</w:t>
              </w:r>
            </w:hyperlink>
          </w:p>
        </w:tc>
        <w:tc>
          <w:tcPr>
            <w:tcW w:w="1440" w:type="dxa"/>
            <w:vAlign w:val="bottom"/>
            <w:tcBorders>
              <w:top w:val="single" w:sz="8" w:color="0000EE"/>
            </w:tcBorders>
            <w:gridSpan w:val="6"/>
          </w:tcPr>
          <w:p>
            <w:pPr>
              <w:spacing w:after="0"/>
              <w:rPr>
                <w:sz w:val="14"/>
                <w:szCs w:val="14"/>
                <w:color w:val="auto"/>
              </w:rPr>
            </w:pPr>
          </w:p>
        </w:tc>
        <w:tc>
          <w:tcPr>
            <w:tcW w:w="4620" w:type="dxa"/>
            <w:vAlign w:val="bottom"/>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11</w:t>
            </w:r>
          </w:p>
        </w:tc>
      </w:tr>
      <w:tr>
        <w:trPr>
          <w:trHeight w:val="171"/>
        </w:trPr>
        <w:tc>
          <w:tcPr>
            <w:tcW w:w="3780" w:type="dxa"/>
            <w:vAlign w:val="bottom"/>
            <w:tcBorders>
              <w:bottom w:val="single" w:sz="8" w:color="0000EE"/>
            </w:tcBorders>
            <w:gridSpan w:val="23"/>
          </w:tcPr>
          <w:p>
            <w:pPr>
              <w:spacing w:after="0" w:line="171" w:lineRule="exact"/>
              <w:rPr>
                <w:rFonts w:ascii="Arial" w:cs="Arial" w:eastAsia="Arial" w:hAnsi="Arial"/>
                <w:sz w:val="16"/>
                <w:szCs w:val="16"/>
                <w:color w:val="0000EE"/>
                <w:w w:val="93"/>
              </w:rPr>
            </w:pPr>
            <w:hyperlink w:anchor="page47">
              <w:r>
                <w:rPr>
                  <w:rFonts w:ascii="Arial" w:cs="Arial" w:eastAsia="Arial" w:hAnsi="Arial"/>
                  <w:sz w:val="16"/>
                  <w:szCs w:val="16"/>
                  <w:color w:val="0000EE"/>
                  <w:w w:val="93"/>
                </w:rPr>
                <w:t>EXPENSES ASSOCIATED WITH THE REGISTRATION</w:t>
              </w:r>
            </w:hyperlink>
          </w:p>
        </w:tc>
        <w:tc>
          <w:tcPr>
            <w:tcW w:w="5300" w:type="dxa"/>
            <w:vAlign w:val="bottom"/>
            <w:gridSpan w:val="2"/>
          </w:tcPr>
          <w:p>
            <w:pPr>
              <w:spacing w:after="0"/>
              <w:rPr>
                <w:sz w:val="14"/>
                <w:szCs w:val="14"/>
                <w:color w:val="auto"/>
              </w:rPr>
            </w:pPr>
          </w:p>
        </w:tc>
        <w:tc>
          <w:tcPr>
            <w:tcW w:w="2360" w:type="dxa"/>
            <w:vAlign w:val="bottom"/>
          </w:tcPr>
          <w:p>
            <w:pPr>
              <w:jc w:val="right"/>
              <w:spacing w:after="0" w:line="171" w:lineRule="exact"/>
              <w:rPr>
                <w:sz w:val="20"/>
                <w:szCs w:val="20"/>
                <w:color w:val="auto"/>
              </w:rPr>
            </w:pPr>
            <w:r>
              <w:rPr>
                <w:rFonts w:ascii="Arial" w:cs="Arial" w:eastAsia="Arial" w:hAnsi="Arial"/>
                <w:sz w:val="16"/>
                <w:szCs w:val="16"/>
                <w:color w:val="auto"/>
              </w:rPr>
              <w:t>12</w:t>
            </w:r>
          </w:p>
        </w:tc>
      </w:tr>
    </w:tbl>
    <w:p>
      <w:pPr>
        <w:spacing w:after="0" w:line="398"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S - 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341" w:right="21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9"/>
          <w:szCs w:val="19"/>
          <w:b w:val="1"/>
          <w:bCs w:val="1"/>
          <w:color w:val="auto"/>
        </w:rPr>
        <w:t>ABOUT THIS PROSPECTUS SUPPLEMENT</w:t>
      </w:r>
    </w:p>
    <w:p>
      <w:pPr>
        <w:spacing w:after="0" w:line="265" w:lineRule="exact"/>
        <w:rPr>
          <w:sz w:val="20"/>
          <w:szCs w:val="20"/>
          <w:color w:val="auto"/>
        </w:rPr>
      </w:pPr>
    </w:p>
    <w:p>
      <w:pPr>
        <w:ind w:right="20" w:firstLine="572"/>
        <w:spacing w:after="0" w:line="280" w:lineRule="auto"/>
        <w:rPr>
          <w:sz w:val="20"/>
          <w:szCs w:val="20"/>
          <w:color w:val="auto"/>
        </w:rPr>
      </w:pPr>
      <w:r>
        <w:rPr>
          <w:rFonts w:ascii="Arial" w:cs="Arial" w:eastAsia="Arial" w:hAnsi="Arial"/>
          <w:sz w:val="18"/>
          <w:szCs w:val="18"/>
          <w:color w:val="auto"/>
        </w:rPr>
        <w:t>This prospectus supplement and the accompanying prospectus are part of a “shelf” registration statement on Form F-3 (File No. 333-230564) that we initially filed with the Securities and Exchange Commission, or the SEC, on March 28, 2019, and that was declared effective by the SEC on April 12, 2019. This document is in two parts. The first part is this prospectus supplement, which describes the terms of this offering of our ordinary shares and adds to and updates the information contained in the accompanying prospectus and the documents incorporated or deemed to be incorporated by reference in this prospectus supplement and the accompanying prospectus. The second part, the accompanying prospectus, provides more general information, some of which may not apply to this offering. Generally, when we refer to this prospectus, we are referring to both parts of this document combined. If the description of the offering varies between this prospectus supplement and the accompanying prospectus or the documents incorporated by reference herein or therein filed prior to the date of this prospectus supplement, you should rely on the information contained in this prospectus supplement. However, if any statement in one of these documents is inconsistent with a statement in another document having a later date — for example, a document incorporated by reference in the accompanying prospectus — the statement in the document having the later date modifies or supersedes the earlier statement.</w:t>
      </w:r>
    </w:p>
    <w:p>
      <w:pPr>
        <w:spacing w:after="0" w:line="206" w:lineRule="exact"/>
        <w:rPr>
          <w:sz w:val="20"/>
          <w:szCs w:val="20"/>
          <w:color w:val="auto"/>
        </w:rPr>
      </w:pPr>
    </w:p>
    <w:p>
      <w:pPr>
        <w:ind w:right="60" w:firstLine="572"/>
        <w:spacing w:after="0" w:line="268" w:lineRule="auto"/>
        <w:rPr>
          <w:sz w:val="20"/>
          <w:szCs w:val="20"/>
          <w:color w:val="auto"/>
        </w:rPr>
      </w:pPr>
      <w:r>
        <w:rPr>
          <w:rFonts w:ascii="Arial" w:cs="Arial" w:eastAsia="Arial" w:hAnsi="Arial"/>
          <w:sz w:val="19"/>
          <w:szCs w:val="19"/>
          <w:color w:val="auto"/>
        </w:rPr>
        <w:t>This prospectus supplement and the accompanying prospectus relate to the offering of our ordinary shares. Before buying any of the ordinary shares offered hereby, we urge you to read carefully this prospectus supplement and the accompanying prospectus, together with the information incorporated herein by reference as described below under the heading “Incorporation of Certain Documents by Reference.” This prospectus supplement contains information about the ordinary shares offered hereby and may add to, update or change information in the accompanying prospectus.</w:t>
      </w:r>
    </w:p>
    <w:p>
      <w:pPr>
        <w:spacing w:after="0" w:line="211" w:lineRule="exact"/>
        <w:rPr>
          <w:sz w:val="20"/>
          <w:szCs w:val="20"/>
          <w:color w:val="auto"/>
        </w:rPr>
      </w:pPr>
    </w:p>
    <w:p>
      <w:pPr>
        <w:ind w:right="260" w:firstLine="572"/>
        <w:spacing w:after="0" w:line="317" w:lineRule="auto"/>
        <w:rPr>
          <w:sz w:val="20"/>
          <w:szCs w:val="20"/>
          <w:color w:val="auto"/>
        </w:rPr>
      </w:pPr>
      <w:r>
        <w:rPr>
          <w:rFonts w:ascii="Arial" w:cs="Arial" w:eastAsia="Arial" w:hAnsi="Arial"/>
          <w:sz w:val="18"/>
          <w:szCs w:val="18"/>
          <w:color w:val="auto"/>
        </w:rPr>
        <w:t>You should rely only on the information contained in, or incorporated by reference into, this prospectus supplement and the accompanying prospectus. We have not, and Jefferies has not, authorized anyone to provide you with different or additional information.</w:t>
      </w:r>
    </w:p>
    <w:p>
      <w:pPr>
        <w:spacing w:after="0" w:line="169" w:lineRule="exact"/>
        <w:rPr>
          <w:sz w:val="20"/>
          <w:szCs w:val="20"/>
          <w:color w:val="auto"/>
        </w:rPr>
      </w:pPr>
    </w:p>
    <w:p>
      <w:pPr>
        <w:ind w:right="200" w:firstLine="572"/>
        <w:spacing w:after="0" w:line="284" w:lineRule="auto"/>
        <w:rPr>
          <w:sz w:val="20"/>
          <w:szCs w:val="20"/>
          <w:color w:val="auto"/>
        </w:rPr>
      </w:pPr>
      <w:r>
        <w:rPr>
          <w:rFonts w:ascii="Arial" w:cs="Arial" w:eastAsia="Arial" w:hAnsi="Arial"/>
          <w:sz w:val="18"/>
          <w:szCs w:val="18"/>
          <w:color w:val="auto"/>
        </w:rPr>
        <w:t>We are not making offers to sell or solicitations to buy our ordinary shares in any jurisdiction in which an offer or solicitation is not authorized or in which the person making that offer or solicitation is not qualified to do so or to anyone to whom it is unlawful to make an offer or solicitation. You should assume that the information in this prospectus supplement and the accompanying prospectus is accurate only as of the date on the front of the respective document and that any information that we have incorporated by reference is accurate only as of the date of the document incorporated by reference in this prospectus supplement or the accompanying prospectus, regardless of the time of delivery of this prospectus supplement or the accompanying prospectus or the time of any sale of a security.</w:t>
      </w:r>
    </w:p>
    <w:p>
      <w:pPr>
        <w:spacing w:after="0" w:line="200" w:lineRule="exact"/>
        <w:rPr>
          <w:sz w:val="20"/>
          <w:szCs w:val="20"/>
          <w:color w:val="auto"/>
        </w:rPr>
      </w:pPr>
    </w:p>
    <w:p>
      <w:pPr>
        <w:ind w:firstLine="572"/>
        <w:spacing w:after="0" w:line="268" w:lineRule="auto"/>
        <w:rPr>
          <w:sz w:val="20"/>
          <w:szCs w:val="20"/>
          <w:color w:val="auto"/>
        </w:rPr>
      </w:pPr>
      <w:r>
        <w:rPr>
          <w:rFonts w:ascii="Arial" w:cs="Arial" w:eastAsia="Arial" w:hAnsi="Arial"/>
          <w:sz w:val="19"/>
          <w:szCs w:val="19"/>
          <w:color w:val="auto"/>
        </w:rPr>
        <w:t>This prospectus supplement and the accompanying prospectus contain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in this prospectus supplement and the accompanying prospectus by reference as exhibits to the registration statement, and you may obtain copies of those documents as described below under the section entitled “Where You Can Find More Information.”</w:t>
      </w:r>
    </w:p>
    <w:p>
      <w:pPr>
        <w:spacing w:after="0" w:line="211" w:lineRule="exact"/>
        <w:rPr>
          <w:sz w:val="20"/>
          <w:szCs w:val="20"/>
          <w:color w:val="auto"/>
        </w:rPr>
      </w:pPr>
    </w:p>
    <w:p>
      <w:pPr>
        <w:ind w:right="120" w:firstLine="572"/>
        <w:spacing w:after="0" w:line="307" w:lineRule="auto"/>
        <w:rPr>
          <w:sz w:val="20"/>
          <w:szCs w:val="20"/>
          <w:color w:val="auto"/>
        </w:rPr>
      </w:pPr>
      <w:r>
        <w:rPr>
          <w:rFonts w:ascii="Arial" w:cs="Arial" w:eastAsia="Arial" w:hAnsi="Arial"/>
          <w:sz w:val="17"/>
          <w:szCs w:val="17"/>
          <w:color w:val="auto"/>
        </w:rPr>
        <w:t>We further note that the representations, warranties and covenants made by us in any agreement that is filed as an exhibit to any document that is incorporated by reference in this prospectus supplement and the accompanying prospectus were made solely for the benefit of the parties to such agreement, including, in some cases, for the purpose of allocating risk among the parties to such agreements,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181" w:lineRule="exact"/>
        <w:rPr>
          <w:sz w:val="20"/>
          <w:szCs w:val="20"/>
          <w:color w:val="auto"/>
        </w:rPr>
      </w:pPr>
    </w:p>
    <w:p>
      <w:pPr>
        <w:ind w:right="40" w:firstLine="572"/>
        <w:spacing w:after="0" w:line="302" w:lineRule="auto"/>
        <w:rPr>
          <w:sz w:val="20"/>
          <w:szCs w:val="20"/>
          <w:color w:val="auto"/>
        </w:rPr>
      </w:pPr>
      <w:r>
        <w:rPr>
          <w:rFonts w:ascii="Arial" w:cs="Arial" w:eastAsia="Arial" w:hAnsi="Arial"/>
          <w:sz w:val="17"/>
          <w:szCs w:val="17"/>
          <w:color w:val="auto"/>
        </w:rPr>
        <w:t>Solely for convenience, the trademarks, service marks and trade names referred to or incorporated by reference in this prospectus supplement and the accompanying prospectus are without the ® and ™ symbols, but such references are not intended to indicate, in any way, that we will not assert, to the fullest extent under applicable law, our rights or the rights of the applicable licensors to these trademarks, service marks and trade names. This prospectus supplement and the accompanying prospectus contain additional trademarks, service marks and trade names of others, which are the property of their respective owners. All trademarks, service marks and trade names appearing in this prospectus supplement and the accompanying prospectus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186" w:lineRule="exact"/>
        <w:rPr>
          <w:sz w:val="20"/>
          <w:szCs w:val="20"/>
          <w:color w:val="auto"/>
        </w:rPr>
      </w:pPr>
    </w:p>
    <w:p>
      <w:pPr>
        <w:ind w:right="60" w:firstLine="572"/>
        <w:spacing w:after="0" w:line="274" w:lineRule="auto"/>
        <w:rPr>
          <w:sz w:val="20"/>
          <w:szCs w:val="20"/>
          <w:color w:val="auto"/>
        </w:rPr>
      </w:pPr>
      <w:r>
        <w:rPr>
          <w:rFonts w:ascii="Arial" w:cs="Arial" w:eastAsia="Arial" w:hAnsi="Arial"/>
          <w:sz w:val="19"/>
          <w:szCs w:val="19"/>
          <w:color w:val="auto"/>
        </w:rPr>
        <w:t>Unless otherwise mentioned or unless the context requires otherwise, all references in this prospectus supplement and the accompanying prospectus to “Sol-Gel,” “Sol-Gel Technologies,” “we,” “us,” “our,” “the Company” and similar designations refer to Sol-Gel Technologies Ltd. and its wholly-owned subsidiary, Sol-Gel Technologies, Inc.</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3" w:name="page4"/>
    <w:bookmarkEnd w:id="3"/>
    <w:p>
      <w:pPr>
        <w:jc w:val="center"/>
        <w:ind w:right="-119"/>
        <w:spacing w:after="0"/>
        <w:rPr>
          <w:sz w:val="20"/>
          <w:szCs w:val="20"/>
          <w:color w:val="auto"/>
        </w:rPr>
      </w:pPr>
      <w:r>
        <w:rPr>
          <w:rFonts w:ascii="Arial" w:cs="Arial" w:eastAsia="Arial" w:hAnsi="Arial"/>
          <w:sz w:val="19"/>
          <w:szCs w:val="19"/>
          <w:b w:val="1"/>
          <w:bCs w:val="1"/>
          <w:color w:val="auto"/>
        </w:rPr>
        <w:t>INDUSTRY AND MARKET DATA</w:t>
      </w:r>
    </w:p>
    <w:p>
      <w:pPr>
        <w:spacing w:after="0" w:line="265" w:lineRule="exact"/>
        <w:rPr>
          <w:sz w:val="20"/>
          <w:szCs w:val="20"/>
          <w:color w:val="auto"/>
        </w:rPr>
      </w:pPr>
    </w:p>
    <w:p>
      <w:pPr>
        <w:ind w:firstLine="572"/>
        <w:spacing w:after="0" w:line="299" w:lineRule="auto"/>
        <w:rPr>
          <w:sz w:val="20"/>
          <w:szCs w:val="20"/>
          <w:color w:val="auto"/>
        </w:rPr>
      </w:pPr>
      <w:r>
        <w:rPr>
          <w:rFonts w:ascii="Arial" w:cs="Arial" w:eastAsia="Arial" w:hAnsi="Arial"/>
          <w:sz w:val="17"/>
          <w:szCs w:val="17"/>
          <w:color w:val="auto"/>
        </w:rPr>
        <w:t>This prospectus supplement and the accompanying prospectus contain and incorporate by reference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or incorporated by reference in this prospectus supplement and the accompanying prospectus should be viewed with caution. We believe that information from these industry publications included in this prospectus supplement and the accompanying prospectus is reliable.</w:t>
      </w:r>
    </w:p>
    <w:p>
      <w:pPr>
        <w:spacing w:after="0" w:line="93" w:lineRule="exact"/>
        <w:rPr>
          <w:sz w:val="20"/>
          <w:szCs w:val="20"/>
          <w:color w:val="auto"/>
        </w:rPr>
      </w:pPr>
    </w:p>
    <w:p>
      <w:pPr>
        <w:jc w:val="center"/>
        <w:ind w:right="-119"/>
        <w:spacing w:after="0"/>
        <w:rPr>
          <w:sz w:val="20"/>
          <w:szCs w:val="20"/>
          <w:color w:val="auto"/>
        </w:rPr>
      </w:pPr>
      <w:r>
        <w:rPr>
          <w:rFonts w:ascii="Arial" w:cs="Arial" w:eastAsia="Arial" w:hAnsi="Arial"/>
          <w:sz w:val="19"/>
          <w:szCs w:val="19"/>
          <w:color w:val="auto"/>
        </w:rPr>
        <w:t>S -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20"/>
          </w:cols>
          <w:pgMar w:left="240" w:top="126"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150495</wp:posOffset>
            </wp:positionH>
            <wp:positionV relativeFrom="page">
              <wp:posOffset>90170</wp:posOffset>
            </wp:positionV>
            <wp:extent cx="7290435" cy="55562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90435" cy="5556250"/>
                    </a:xfrm>
                    <a:prstGeom prst="rect">
                      <a:avLst/>
                    </a:prstGeom>
                    <a:noFill/>
                  </pic:spPr>
                </pic:pic>
              </a:graphicData>
            </a:graphic>
          </wp:anchor>
        </w:drawing>
        <w:t>PROSPECTUS SUPPLEMENT SUMMARY</w:t>
      </w:r>
    </w:p>
    <w:p>
      <w:pPr>
        <w:spacing w:after="0" w:line="265" w:lineRule="exact"/>
        <w:rPr>
          <w:sz w:val="20"/>
          <w:szCs w:val="20"/>
          <w:color w:val="auto"/>
        </w:rPr>
      </w:pPr>
    </w:p>
    <w:p>
      <w:pPr>
        <w:ind w:right="60" w:firstLine="573"/>
        <w:spacing w:after="0" w:line="282" w:lineRule="auto"/>
        <w:rPr>
          <w:sz w:val="20"/>
          <w:szCs w:val="20"/>
          <w:color w:val="auto"/>
        </w:rPr>
      </w:pPr>
      <w:r>
        <w:rPr>
          <w:rFonts w:ascii="Arial" w:cs="Arial" w:eastAsia="Arial" w:hAnsi="Arial"/>
          <w:sz w:val="18"/>
          <w:szCs w:val="18"/>
          <w:i w:val="1"/>
          <w:iCs w:val="1"/>
          <w:color w:val="auto"/>
        </w:rPr>
        <w:t>This summary highlights certain information about us, this offering and selected information contained elsewhere in or incorporated by reference into this prospectus supplement and the accompanying prospectus. This summary is not complete and does not contain all of the information that you should consider before deciding whether to invest in our ordinary shares. For a more complete understanding of our company and this offering, we encourage you to read and consider carefully the more detailed information in this prospectus supplement and the accompanying prospectus, including the information incorporated by reference in this prospectus supplement and the accompanying prospectus, and the information included in any free writing prospectus that we have authorized for use in connection with this offering, including the information under the heading “Risk Factors” in this prospectus supplement on page S-8 and in the documents incorporated by reference into this prospectus supplement and the accompanying prospectus.</w:t>
      </w:r>
    </w:p>
    <w:p>
      <w:pPr>
        <w:spacing w:after="0" w:line="19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Our Company</w:t>
      </w:r>
    </w:p>
    <w:p>
      <w:pPr>
        <w:spacing w:after="0" w:line="265" w:lineRule="exact"/>
        <w:rPr>
          <w:sz w:val="20"/>
          <w:szCs w:val="20"/>
          <w:color w:val="auto"/>
        </w:rPr>
      </w:pPr>
    </w:p>
    <w:p>
      <w:pPr>
        <w:ind w:firstLine="617"/>
        <w:spacing w:after="0" w:line="270" w:lineRule="auto"/>
        <w:rPr>
          <w:sz w:val="20"/>
          <w:szCs w:val="20"/>
          <w:color w:val="auto"/>
        </w:rPr>
      </w:pPr>
      <w:r>
        <w:rPr>
          <w:rFonts w:ascii="Arial" w:cs="Arial" w:eastAsia="Arial" w:hAnsi="Arial"/>
          <w:sz w:val="19"/>
          <w:szCs w:val="19"/>
          <w:color w:val="auto"/>
        </w:rPr>
        <w:t>We are a clinical-stage dermatology company focused on identifying, developing and commercializing branded and generic topical drug products for the treatment of skin diseases. Our current product candidate pipeline consists of late-stage and early-stage branded product candidates that leverage our proprietary, silica-based microencapsulation technology platform, and several generic product candidates across multiple indications.</w:t>
      </w:r>
    </w:p>
    <w:p>
      <w:pPr>
        <w:spacing w:after="0" w:line="204" w:lineRule="exact"/>
        <w:rPr>
          <w:sz w:val="20"/>
          <w:szCs w:val="20"/>
          <w:color w:val="auto"/>
        </w:rPr>
      </w:pPr>
    </w:p>
    <w:p>
      <w:pPr>
        <w:ind w:right="240" w:firstLine="573"/>
        <w:spacing w:after="0" w:line="228" w:lineRule="auto"/>
        <w:rPr>
          <w:sz w:val="20"/>
          <w:szCs w:val="20"/>
          <w:color w:val="auto"/>
        </w:rPr>
      </w:pPr>
      <w:r>
        <w:rPr>
          <w:rFonts w:ascii="Arial" w:cs="Arial" w:eastAsia="Arial" w:hAnsi="Arial"/>
          <w:sz w:val="17"/>
          <w:szCs w:val="17"/>
          <w:color w:val="auto"/>
          <w:highlight w:val="white"/>
        </w:rPr>
        <w:t>Our pipeline of branded product candidates consists of Twyneo</w:t>
      </w:r>
      <w:r>
        <w:rPr>
          <w:rFonts w:ascii="Arial" w:cs="Arial" w:eastAsia="Arial" w:hAnsi="Arial"/>
          <w:sz w:val="27"/>
          <w:szCs w:val="27"/>
          <w:color w:val="auto"/>
          <w:highlight w:val="white"/>
          <w:vertAlign w:val="superscript"/>
        </w:rPr>
        <w:t>®</w:t>
      </w:r>
      <w:r>
        <w:rPr>
          <w:rFonts w:ascii="Arial" w:cs="Arial" w:eastAsia="Arial" w:hAnsi="Arial"/>
          <w:sz w:val="17"/>
          <w:szCs w:val="17"/>
          <w:color w:val="auto"/>
          <w:highlight w:val="white"/>
        </w:rPr>
        <w:t>, a novel, once-daily, non-antibiotic topical cream that we are developing for the treatment of acne vulgaris, or acne, Epsolay</w:t>
      </w:r>
      <w:r>
        <w:rPr>
          <w:rFonts w:ascii="Arial" w:cs="Arial" w:eastAsia="Arial" w:hAnsi="Arial"/>
          <w:sz w:val="27"/>
          <w:szCs w:val="27"/>
          <w:color w:val="auto"/>
          <w:highlight w:val="white"/>
          <w:vertAlign w:val="superscript"/>
        </w:rPr>
        <w:t>®</w:t>
      </w:r>
      <w:r>
        <w:rPr>
          <w:rFonts w:ascii="Arial" w:cs="Arial" w:eastAsia="Arial" w:hAnsi="Arial"/>
          <w:sz w:val="17"/>
          <w:szCs w:val="17"/>
          <w:color w:val="auto"/>
          <w:highlight w:val="white"/>
        </w:rPr>
        <w:t xml:space="preserve">, a potential treatment for subtype II rosacea, and SGT-210, a potential treatment of palmoplantar keratoderma (PPK) and non-melanoma skin cancer. On July 8, 2019, we announced </w:t>
      </w:r>
      <w:r>
        <w:rPr>
          <w:rFonts w:ascii="Arial" w:cs="Arial" w:eastAsia="Arial" w:hAnsi="Arial"/>
          <w:sz w:val="17"/>
          <w:szCs w:val="17"/>
          <w:color w:val="auto"/>
        </w:rPr>
        <w:t>positive top-line results from our Phase 3</w:t>
      </w:r>
      <w:r>
        <w:rPr>
          <w:rFonts w:ascii="Arial" w:cs="Arial" w:eastAsia="Arial" w:hAnsi="Arial"/>
          <w:sz w:val="17"/>
          <w:szCs w:val="17"/>
          <w:color w:val="auto"/>
          <w:highlight w:val="white"/>
        </w:rPr>
        <w:t xml:space="preserve"> </w:t>
      </w:r>
      <w:r>
        <w:rPr>
          <w:rFonts w:ascii="Arial" w:cs="Arial" w:eastAsia="Arial" w:hAnsi="Arial"/>
          <w:sz w:val="17"/>
          <w:szCs w:val="17"/>
          <w:color w:val="auto"/>
        </w:rPr>
        <w:t xml:space="preserve">program evaluating Epsolay, and on December 30, 2019, we announced positive top-line results from </w:t>
      </w:r>
      <w:r>
        <w:rPr>
          <w:rFonts w:ascii="Arial" w:cs="Arial" w:eastAsia="Arial" w:hAnsi="Arial"/>
          <w:sz w:val="17"/>
          <w:szCs w:val="17"/>
          <w:color w:val="auto"/>
          <w:highlight w:val="white"/>
        </w:rPr>
        <w:t>our Phase 3 program</w:t>
      </w:r>
      <w:r>
        <w:rPr>
          <w:rFonts w:ascii="Arial" w:cs="Arial" w:eastAsia="Arial" w:hAnsi="Arial"/>
          <w:sz w:val="17"/>
          <w:szCs w:val="17"/>
          <w:color w:val="auto"/>
        </w:rPr>
        <w:t xml:space="preserve"> evaluating Twyneo.</w:t>
      </w:r>
    </w:p>
    <w:p>
      <w:pPr>
        <w:spacing w:after="0" w:line="237" w:lineRule="exact"/>
        <w:rPr>
          <w:sz w:val="20"/>
          <w:szCs w:val="20"/>
          <w:color w:val="auto"/>
        </w:rPr>
      </w:pPr>
    </w:p>
    <w:p>
      <w:pPr>
        <w:ind w:right="40" w:firstLine="573"/>
        <w:spacing w:after="0" w:line="280" w:lineRule="auto"/>
        <w:rPr>
          <w:sz w:val="20"/>
          <w:szCs w:val="20"/>
          <w:color w:val="auto"/>
        </w:rPr>
      </w:pPr>
      <w:r>
        <w:rPr>
          <w:rFonts w:ascii="Arial" w:cs="Arial" w:eastAsia="Arial" w:hAnsi="Arial"/>
          <w:sz w:val="18"/>
          <w:szCs w:val="18"/>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Food and Drug Administration, or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60"/>
        <w:spacing w:after="0"/>
        <w:rPr>
          <w:sz w:val="20"/>
          <w:szCs w:val="20"/>
          <w:color w:val="auto"/>
        </w:rPr>
      </w:pPr>
      <w:r>
        <w:rPr>
          <w:rFonts w:ascii="Arial" w:cs="Arial" w:eastAsia="Arial" w:hAnsi="Arial"/>
          <w:sz w:val="19"/>
          <w:szCs w:val="19"/>
          <w:color w:val="auto"/>
        </w:rPr>
        <w:t>S - 1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40005</wp:posOffset>
            </wp:positionV>
            <wp:extent cx="7262495" cy="152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20"/>
          </w:cols>
          <w:pgMar w:left="320" w:top="448" w:right="259" w:bottom="1440" w:gutter="0" w:footer="0" w:header="0"/>
        </w:sectPr>
      </w:pPr>
    </w:p>
    <w:bookmarkStart w:id="5" w:name="page6"/>
    <w:bookmarkEnd w:id="5"/>
    <w:p>
      <w:pPr>
        <w:ind w:left="1"/>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150495</wp:posOffset>
            </wp:positionH>
            <wp:positionV relativeFrom="page">
              <wp:posOffset>90170</wp:posOffset>
            </wp:positionV>
            <wp:extent cx="7317105" cy="102514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317105" cy="10251440"/>
                    </a:xfrm>
                    <a:prstGeom prst="rect">
                      <a:avLst/>
                    </a:prstGeom>
                    <a:noFill/>
                  </pic:spPr>
                </pic:pic>
              </a:graphicData>
            </a:graphic>
          </wp:anchor>
        </w:drawing>
        <w:t>Product Pipeline</w:t>
      </w:r>
    </w:p>
    <w:p>
      <w:pPr>
        <w:spacing w:after="0" w:line="265" w:lineRule="exact"/>
        <w:rPr>
          <w:sz w:val="20"/>
          <w:szCs w:val="20"/>
          <w:color w:val="auto"/>
        </w:rPr>
      </w:pPr>
    </w:p>
    <w:p>
      <w:pPr>
        <w:ind w:left="581"/>
        <w:spacing w:after="0"/>
        <w:rPr>
          <w:sz w:val="20"/>
          <w:szCs w:val="20"/>
          <w:color w:val="auto"/>
        </w:rPr>
      </w:pPr>
      <w:r>
        <w:rPr>
          <w:rFonts w:ascii="Arial" w:cs="Arial" w:eastAsia="Arial" w:hAnsi="Arial"/>
          <w:sz w:val="19"/>
          <w:szCs w:val="19"/>
          <w:color w:val="auto"/>
        </w:rPr>
        <w:t>The following chart represents our current branded and generic product candidate pipeline.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1"/>
        <w:spacing w:after="0"/>
        <w:rPr>
          <w:sz w:val="20"/>
          <w:szCs w:val="20"/>
          <w:color w:val="auto"/>
        </w:rPr>
      </w:pPr>
      <w:r>
        <w:rPr>
          <w:rFonts w:ascii="Arial" w:cs="Arial" w:eastAsia="Arial" w:hAnsi="Arial"/>
          <w:sz w:val="19"/>
          <w:szCs w:val="19"/>
          <w:b w:val="1"/>
          <w:bCs w:val="1"/>
          <w:color w:val="auto"/>
        </w:rPr>
        <w:t>Our Branded Product Candidates</w:t>
      </w:r>
    </w:p>
    <w:p>
      <w:pPr>
        <w:spacing w:after="0" w:line="265" w:lineRule="exact"/>
        <w:rPr>
          <w:sz w:val="20"/>
          <w:szCs w:val="20"/>
          <w:color w:val="auto"/>
        </w:rPr>
      </w:pPr>
    </w:p>
    <w:p>
      <w:pPr>
        <w:ind w:left="1"/>
        <w:spacing w:after="0"/>
        <w:rPr>
          <w:sz w:val="20"/>
          <w:szCs w:val="20"/>
          <w:color w:val="auto"/>
        </w:rPr>
      </w:pPr>
      <w:r>
        <w:rPr>
          <w:rFonts w:ascii="Arial" w:cs="Arial" w:eastAsia="Arial" w:hAnsi="Arial"/>
          <w:sz w:val="19"/>
          <w:szCs w:val="19"/>
          <w:b w:val="1"/>
          <w:bCs w:val="1"/>
          <w:i w:val="1"/>
          <w:iCs w:val="1"/>
          <w:color w:val="auto"/>
        </w:rPr>
        <w:t>Twyneo for Acne</w:t>
      </w:r>
    </w:p>
    <w:p>
      <w:pPr>
        <w:spacing w:after="0" w:line="259" w:lineRule="exact"/>
        <w:rPr>
          <w:sz w:val="20"/>
          <w:szCs w:val="20"/>
          <w:color w:val="auto"/>
        </w:rPr>
      </w:pPr>
    </w:p>
    <w:p>
      <w:pPr>
        <w:ind w:left="1" w:right="200" w:firstLine="573"/>
        <w:spacing w:after="0" w:line="267" w:lineRule="auto"/>
        <w:rPr>
          <w:sz w:val="20"/>
          <w:szCs w:val="20"/>
          <w:color w:val="auto"/>
        </w:rPr>
      </w:pPr>
      <w:r>
        <w:rPr>
          <w:rFonts w:ascii="Arial" w:cs="Arial" w:eastAsia="Arial" w:hAnsi="Arial"/>
          <w:sz w:val="19"/>
          <w:szCs w:val="19"/>
          <w:color w:val="auto"/>
        </w:rPr>
        <w:t xml:space="preserve">Our lead product candidate, </w:t>
      </w:r>
      <w:r>
        <w:rPr>
          <w:rFonts w:ascii="Arial" w:cs="Arial" w:eastAsia="Arial" w:hAnsi="Arial"/>
          <w:sz w:val="19"/>
          <w:szCs w:val="19"/>
          <w:color w:val="auto"/>
          <w:highlight w:val="white"/>
        </w:rPr>
        <w:t>Twyneo,</w:t>
      </w:r>
      <w:r>
        <w:rPr>
          <w:rFonts w:ascii="Arial" w:cs="Arial" w:eastAsia="Arial" w:hAnsi="Arial"/>
          <w:sz w:val="19"/>
          <w:szCs w:val="19"/>
          <w:color w:val="auto"/>
        </w:rPr>
        <w:t xml:space="preserve"> is a novel, once-daily, non-antibiotic topical cream, </w:t>
      </w:r>
      <w:r>
        <w:rPr>
          <w:rFonts w:ascii="Arial" w:cs="Arial" w:eastAsia="Arial" w:hAnsi="Arial"/>
          <w:sz w:val="19"/>
          <w:szCs w:val="19"/>
          <w:color w:val="auto"/>
          <w:highlight w:val="white"/>
        </w:rPr>
        <w:t>containing a fixed-dose combination of</w:t>
      </w:r>
      <w:r>
        <w:rPr>
          <w:rFonts w:ascii="Arial" w:cs="Arial" w:eastAsia="Arial" w:hAnsi="Arial"/>
          <w:sz w:val="19"/>
          <w:szCs w:val="19"/>
          <w:color w:val="auto"/>
        </w:rPr>
        <w:t xml:space="preserve"> </w:t>
      </w:r>
      <w:r>
        <w:rPr>
          <w:rFonts w:ascii="Arial" w:cs="Arial" w:eastAsia="Arial" w:hAnsi="Arial"/>
          <w:sz w:val="19"/>
          <w:szCs w:val="19"/>
          <w:color w:val="auto"/>
          <w:highlight w:val="white"/>
        </w:rPr>
        <w:t xml:space="preserve">encapsulated benzoyl peroxide and encapsulated tretinoin, </w:t>
      </w:r>
      <w:r>
        <w:rPr>
          <w:rFonts w:ascii="Arial" w:cs="Arial" w:eastAsia="Arial" w:hAnsi="Arial"/>
          <w:sz w:val="19"/>
          <w:szCs w:val="19"/>
          <w:color w:val="auto"/>
        </w:rPr>
        <w:t>that we are developing for the treatment of acne vulgaris, or acne.</w:t>
      </w:r>
      <w:r>
        <w:rPr>
          <w:rFonts w:ascii="Arial" w:cs="Arial" w:eastAsia="Arial" w:hAnsi="Arial"/>
          <w:sz w:val="19"/>
          <w:szCs w:val="19"/>
          <w:color w:val="auto"/>
          <w:highlight w:val="white"/>
        </w:rPr>
        <w:t xml:space="preserve"> We believe that Twyneo has the potential to contribute to solving the industry-wide challenge of stabilizing tretinoin in the presence of benzoyl peroxide, a combination known to be effective in acne therapy but not previously conveniently co-administered, and has the potential to contribute to patient compliance. In addition, we believe Twyneo can reduce irritation typically associated with topical application of benzoyl peroxide and tretinoin, leading to greater tolerability on acne-affected skin.</w:t>
      </w:r>
    </w:p>
    <w:p>
      <w:pPr>
        <w:spacing w:after="0" w:line="211" w:lineRule="exact"/>
        <w:rPr>
          <w:sz w:val="20"/>
          <w:szCs w:val="20"/>
          <w:color w:val="auto"/>
        </w:rPr>
      </w:pPr>
    </w:p>
    <w:p>
      <w:pPr>
        <w:ind w:left="1" w:right="100" w:firstLine="573"/>
        <w:spacing w:after="0" w:line="274" w:lineRule="auto"/>
        <w:rPr>
          <w:sz w:val="20"/>
          <w:szCs w:val="20"/>
          <w:color w:val="auto"/>
        </w:rPr>
      </w:pPr>
      <w:r>
        <w:rPr>
          <w:rFonts w:ascii="Arial" w:cs="Arial" w:eastAsia="Arial" w:hAnsi="Arial"/>
          <w:sz w:val="19"/>
          <w:szCs w:val="19"/>
          <w:color w:val="auto"/>
        </w:rPr>
        <w:t xml:space="preserve">We completed a 726 subject, double-blind, placebo-controlled, six-arm, multi-center Phase 2 clinical trial designed to assess the safety and efficacy of </w:t>
      </w:r>
      <w:r>
        <w:rPr>
          <w:rFonts w:ascii="Arial" w:cs="Arial" w:eastAsia="Arial" w:hAnsi="Arial"/>
          <w:sz w:val="19"/>
          <w:szCs w:val="19"/>
          <w:color w:val="auto"/>
          <w:highlight w:val="white"/>
        </w:rPr>
        <w:t>Twyneo</w:t>
      </w:r>
      <w:r>
        <w:rPr>
          <w:rFonts w:ascii="Arial" w:cs="Arial" w:eastAsia="Arial" w:hAnsi="Arial"/>
          <w:sz w:val="19"/>
          <w:szCs w:val="19"/>
          <w:color w:val="auto"/>
        </w:rPr>
        <w:t xml:space="preserve"> in subjects with acne. In this trial, </w:t>
      </w:r>
      <w:r>
        <w:rPr>
          <w:rFonts w:ascii="Arial" w:cs="Arial" w:eastAsia="Arial" w:hAnsi="Arial"/>
          <w:sz w:val="19"/>
          <w:szCs w:val="19"/>
          <w:color w:val="auto"/>
          <w:highlight w:val="white"/>
        </w:rPr>
        <w:t>Twyneo</w:t>
      </w:r>
      <w:r>
        <w:rPr>
          <w:rFonts w:ascii="Arial" w:cs="Arial" w:eastAsia="Arial" w:hAnsi="Arial"/>
          <w:sz w:val="19"/>
          <w:szCs w:val="19"/>
          <w:color w:val="auto"/>
        </w:rPr>
        <w:t xml:space="preserve"> demonstrated statistically significant improvements in all pre-defined co-primary and secondary efficacy endpoints, as compared to vehicle.</w:t>
      </w:r>
    </w:p>
    <w:p>
      <w:pPr>
        <w:spacing w:after="0" w:line="206" w:lineRule="exact"/>
        <w:rPr>
          <w:sz w:val="20"/>
          <w:szCs w:val="20"/>
          <w:color w:val="auto"/>
        </w:rPr>
      </w:pPr>
    </w:p>
    <w:p>
      <w:pPr>
        <w:ind w:left="1" w:firstLine="573"/>
        <w:spacing w:after="0" w:line="293" w:lineRule="auto"/>
        <w:rPr>
          <w:sz w:val="20"/>
          <w:szCs w:val="20"/>
          <w:color w:val="auto"/>
        </w:rPr>
      </w:pPr>
      <w:r>
        <w:rPr>
          <w:rFonts w:ascii="Arial" w:cs="Arial" w:eastAsia="Arial" w:hAnsi="Arial"/>
          <w:sz w:val="17"/>
          <w:szCs w:val="17"/>
          <w:color w:val="auto"/>
        </w:rPr>
        <w:t xml:space="preserve">On December 30, 2019, we </w:t>
      </w:r>
      <w:r>
        <w:rPr>
          <w:rFonts w:ascii="Arial" w:cs="Arial" w:eastAsia="Arial" w:hAnsi="Arial"/>
          <w:sz w:val="17"/>
          <w:szCs w:val="17"/>
          <w:color w:val="auto"/>
          <w:highlight w:val="white"/>
        </w:rPr>
        <w:t>announced top-line results from two pivotal Phase 3 clinical trials evaluating Twyneo for the treatment of acne.</w:t>
      </w:r>
      <w:r>
        <w:rPr>
          <w:rFonts w:ascii="Arial" w:cs="Arial" w:eastAsia="Arial" w:hAnsi="Arial"/>
          <w:sz w:val="17"/>
          <w:szCs w:val="17"/>
          <w:color w:val="auto"/>
        </w:rPr>
        <w:t xml:space="preserve"> </w:t>
      </w:r>
      <w:r>
        <w:rPr>
          <w:rFonts w:ascii="Arial" w:cs="Arial" w:eastAsia="Arial" w:hAnsi="Arial"/>
          <w:sz w:val="17"/>
          <w:szCs w:val="17"/>
          <w:color w:val="auto"/>
          <w:highlight w:val="white"/>
        </w:rPr>
        <w:t xml:space="preserve">Twyneo met all co-primary endpoints in both Phase 3 trials. </w:t>
      </w:r>
      <w:r>
        <w:rPr>
          <w:rFonts w:ascii="Arial" w:cs="Arial" w:eastAsia="Arial" w:hAnsi="Arial"/>
          <w:sz w:val="17"/>
          <w:szCs w:val="17"/>
          <w:color w:val="auto"/>
        </w:rPr>
        <w:t>The Phase 3 program enrolled an aggregate of 858 patients aged nine and older in two</w:t>
      </w:r>
      <w:r>
        <w:rPr>
          <w:rFonts w:ascii="Arial" w:cs="Arial" w:eastAsia="Arial" w:hAnsi="Arial"/>
          <w:sz w:val="17"/>
          <w:szCs w:val="17"/>
          <w:color w:val="auto"/>
          <w:highlight w:val="white"/>
        </w:rPr>
        <w:t xml:space="preserve"> </w:t>
      </w:r>
      <w:r>
        <w:rPr>
          <w:rFonts w:ascii="Arial" w:cs="Arial" w:eastAsia="Arial" w:hAnsi="Arial"/>
          <w:sz w:val="17"/>
          <w:szCs w:val="17"/>
          <w:color w:val="auto"/>
        </w:rPr>
        <w:t xml:space="preserve">multicenter, randomized, double-blind, parallel group, vehicle-controlled trials at 63 sites across the United States. Twyneo demonstrated statistically significant improvement in each of the co-primary endpoints of </w:t>
      </w:r>
      <w:r>
        <w:rPr>
          <w:rFonts w:ascii="Arial" w:cs="Arial" w:eastAsia="Arial" w:hAnsi="Arial"/>
          <w:sz w:val="17"/>
          <w:szCs w:val="17"/>
          <w:color w:val="auto"/>
          <w:highlight w:val="white"/>
        </w:rPr>
        <w:t>(1) the proportion of patients who succeeded in achieving at least a two</w:t>
      </w:r>
      <w:r>
        <w:rPr>
          <w:rFonts w:ascii="Arial" w:cs="Arial" w:eastAsia="Arial" w:hAnsi="Arial"/>
          <w:sz w:val="17"/>
          <w:szCs w:val="17"/>
          <w:color w:val="auto"/>
        </w:rPr>
        <w:t xml:space="preserve"> </w:t>
      </w:r>
      <w:r>
        <w:rPr>
          <w:rFonts w:ascii="Arial" w:cs="Arial" w:eastAsia="Arial" w:hAnsi="Arial"/>
          <w:sz w:val="17"/>
          <w:szCs w:val="17"/>
          <w:color w:val="auto"/>
          <w:highlight w:val="white"/>
        </w:rPr>
        <w:t>grade reduction from baseline and Clear (grade 0) or Almost Clear (grade 1) at Week 12 on a 5-point Investigator Global Assessment (IGA) scale,</w:t>
      </w:r>
    </w:p>
    <w:p>
      <w:pPr>
        <w:spacing w:after="0" w:line="3" w:lineRule="exact"/>
        <w:rPr>
          <w:sz w:val="20"/>
          <w:szCs w:val="20"/>
          <w:color w:val="auto"/>
        </w:rPr>
      </w:pPr>
    </w:p>
    <w:p>
      <w:pPr>
        <w:jc w:val="both"/>
        <w:ind w:left="1" w:right="100" w:hanging="1"/>
        <w:spacing w:after="0" w:line="294" w:lineRule="auto"/>
        <w:tabs>
          <w:tab w:leader="none" w:pos="271" w:val="left"/>
        </w:tabs>
        <w:numPr>
          <w:ilvl w:val="0"/>
          <w:numId w:val="1"/>
        </w:numPr>
        <w:rPr>
          <w:rFonts w:ascii="Arial" w:cs="Arial" w:eastAsia="Arial" w:hAnsi="Arial"/>
          <w:sz w:val="18"/>
          <w:szCs w:val="18"/>
          <w:color w:val="auto"/>
          <w:highlight w:val="white"/>
        </w:rPr>
      </w:pPr>
      <w:r>
        <w:rPr>
          <w:rFonts w:ascii="Arial" w:cs="Arial" w:eastAsia="Arial" w:hAnsi="Arial"/>
          <w:sz w:val="18"/>
          <w:szCs w:val="18"/>
          <w:color w:val="auto"/>
          <w:highlight w:val="white"/>
        </w:rPr>
        <w:t xml:space="preserve">an absolute change from baseline in inflammatory lesion count at Week 12, and (3) and an absolute change from baseline in non-inflammatory lesion count at Week 12. </w:t>
      </w:r>
      <w:r>
        <w:rPr>
          <w:rFonts w:ascii="Arial" w:cs="Arial" w:eastAsia="Arial" w:hAnsi="Arial"/>
          <w:sz w:val="18"/>
          <w:szCs w:val="18"/>
          <w:color w:val="auto"/>
        </w:rPr>
        <w:t>In addition, Twyneo was found to be well-tolerated. For more information on the top-line results of the Phase 3 program</w:t>
      </w:r>
      <w:r>
        <w:rPr>
          <w:rFonts w:ascii="Arial" w:cs="Arial" w:eastAsia="Arial" w:hAnsi="Arial"/>
          <w:sz w:val="18"/>
          <w:szCs w:val="18"/>
          <w:color w:val="auto"/>
          <w:highlight w:val="white"/>
        </w:rPr>
        <w:t xml:space="preserve"> </w:t>
      </w:r>
      <w:r>
        <w:rPr>
          <w:rFonts w:ascii="Arial" w:cs="Arial" w:eastAsia="Arial" w:hAnsi="Arial"/>
          <w:sz w:val="18"/>
          <w:szCs w:val="18"/>
          <w:color w:val="auto"/>
        </w:rPr>
        <w:t>evaluating Twyneo, see “—Recent Developments—Top-Line Results for Twyneo Phase 3 Program” below.</w:t>
      </w:r>
    </w:p>
    <w:p>
      <w:pPr>
        <w:spacing w:after="0" w:line="190" w:lineRule="exact"/>
        <w:rPr>
          <w:sz w:val="20"/>
          <w:szCs w:val="20"/>
          <w:color w:val="auto"/>
        </w:rPr>
      </w:pPr>
    </w:p>
    <w:p>
      <w:pPr>
        <w:ind w:left="581"/>
        <w:spacing w:after="0"/>
        <w:rPr>
          <w:sz w:val="20"/>
          <w:szCs w:val="20"/>
          <w:color w:val="auto"/>
        </w:rPr>
      </w:pPr>
      <w:r>
        <w:rPr>
          <w:rFonts w:ascii="Arial" w:cs="Arial" w:eastAsia="Arial" w:hAnsi="Arial"/>
          <w:sz w:val="19"/>
          <w:szCs w:val="19"/>
          <w:color w:val="auto"/>
        </w:rPr>
        <w:t>We intend to submit a new drug application, or NDA, to the FDA for marketing approval of Twyneo in the second half of 2020.</w:t>
      </w:r>
    </w:p>
    <w:p>
      <w:pPr>
        <w:spacing w:after="0" w:line="259" w:lineRule="exact"/>
        <w:rPr>
          <w:sz w:val="20"/>
          <w:szCs w:val="20"/>
          <w:color w:val="auto"/>
        </w:rPr>
      </w:pPr>
    </w:p>
    <w:p>
      <w:pPr>
        <w:ind w:left="1"/>
        <w:spacing w:after="0"/>
        <w:rPr>
          <w:sz w:val="20"/>
          <w:szCs w:val="20"/>
          <w:color w:val="auto"/>
        </w:rPr>
      </w:pPr>
      <w:r>
        <w:rPr>
          <w:rFonts w:ascii="Arial" w:cs="Arial" w:eastAsia="Arial" w:hAnsi="Arial"/>
          <w:sz w:val="19"/>
          <w:szCs w:val="19"/>
          <w:b w:val="1"/>
          <w:bCs w:val="1"/>
          <w:i w:val="1"/>
          <w:iCs w:val="1"/>
          <w:color w:val="auto"/>
        </w:rPr>
        <w:t>Epsolay for Subtype II Rosacea</w:t>
      </w:r>
    </w:p>
    <w:p>
      <w:pPr>
        <w:spacing w:after="0" w:line="259" w:lineRule="exact"/>
        <w:rPr>
          <w:sz w:val="20"/>
          <w:szCs w:val="20"/>
          <w:color w:val="auto"/>
        </w:rPr>
      </w:pPr>
    </w:p>
    <w:p>
      <w:pPr>
        <w:ind w:left="1" w:right="240" w:firstLine="573"/>
        <w:spacing w:after="0" w:line="268" w:lineRule="auto"/>
        <w:rPr>
          <w:sz w:val="20"/>
          <w:szCs w:val="20"/>
          <w:color w:val="auto"/>
        </w:rPr>
      </w:pPr>
      <w:r>
        <w:rPr>
          <w:rFonts w:ascii="Arial" w:cs="Arial" w:eastAsia="Arial" w:hAnsi="Arial"/>
          <w:sz w:val="19"/>
          <w:szCs w:val="19"/>
          <w:color w:val="auto"/>
          <w:highlight w:val="white"/>
        </w:rPr>
        <w:t>Our other branded product candidate, Epsolay, is a once-daily topical cream containing 5% encapsulated benzoyl peroxide that we are developing as a potential treatment for papulopustular (subtype II) rosacea. If approved, we believe Epsolay has the potential to become the first product containing encapsulated benzoyl peroxide that is marketed for the treatment of subtype II rosacea. In addition, we believe Epsolay</w:t>
      </w:r>
      <w:r>
        <w:rPr>
          <w:sz w:val="1"/>
          <w:szCs w:val="1"/>
          <w:color w:val="auto"/>
        </w:rPr>
        <w:drawing>
          <wp:inline distT="0" distB="0" distL="0" distR="0">
            <wp:extent cx="30480" cy="113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0480" cy="113665"/>
                    </a:xfrm>
                    <a:prstGeom prst="rect">
                      <a:avLst/>
                    </a:prstGeom>
                    <a:noFill/>
                    <a:ln>
                      <a:noFill/>
                    </a:ln>
                  </pic:spPr>
                </pic:pic>
              </a:graphicData>
            </a:graphic>
          </wp:inline>
        </w:drawing>
      </w:r>
      <w:r>
        <w:rPr>
          <w:rFonts w:ascii="Arial" w:cs="Arial" w:eastAsia="Arial" w:hAnsi="Arial"/>
          <w:sz w:val="19"/>
          <w:szCs w:val="19"/>
          <w:color w:val="auto"/>
          <w:highlight w:val="white"/>
        </w:rPr>
        <w:t>can reduce irritation typically associated with topical application of benzoyl peroxide while maintaining efficacy, increasing the potential for more tolerable application to rosacea-affected skin.</w:t>
      </w:r>
    </w:p>
    <w:p>
      <w:pPr>
        <w:sectPr>
          <w:pgSz w:w="11900" w:h="16838" w:orient="portrait"/>
          <w:cols w:equalWidth="0" w:num="1">
            <w:col w:w="11261"/>
          </w:cols>
          <w:pgMar w:left="319" w:top="448" w:right="319" w:bottom="287" w:gutter="0" w:footer="0" w:header="0"/>
        </w:sectPr>
      </w:pPr>
    </w:p>
    <w:bookmarkStart w:id="6" w:name="page7"/>
    <w:bookmarkEnd w:id="6"/>
    <w:p>
      <w:pPr>
        <w:jc w:val="center"/>
        <w:ind w:right="-20"/>
        <w:spacing w:after="0"/>
        <w:rPr>
          <w:sz w:val="20"/>
          <w:szCs w:val="20"/>
          <w:color w:val="auto"/>
        </w:rPr>
      </w:pPr>
      <w:r>
        <w:rPr>
          <w:rFonts w:ascii="Arial" w:cs="Arial" w:eastAsia="Arial" w:hAnsi="Arial"/>
          <w:sz w:val="17"/>
          <w:szCs w:val="17"/>
          <w:color w:val="auto"/>
        </w:rPr>
        <w:t>S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-764540</wp:posOffset>
            </wp:positionH>
            <wp:positionV relativeFrom="paragraph">
              <wp:posOffset>55245</wp:posOffset>
            </wp:positionV>
            <wp:extent cx="7262495" cy="152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9019"/>
          </w:cols>
          <w:pgMar w:left="1440" w:top="120" w:right="1440" w:bottom="1440" w:gutter="0" w:footer="0" w:header="0"/>
        </w:sectPr>
      </w:pPr>
    </w:p>
    <w:bookmarkStart w:id="7" w:name="page8"/>
    <w:bookmarkEnd w:id="7"/>
    <w:p>
      <w:pPr>
        <w:jc w:val="both"/>
        <w:ind w:right="320" w:firstLine="573"/>
        <w:spacing w:after="0" w:line="270" w:lineRule="auto"/>
        <w:rPr>
          <w:sz w:val="20"/>
          <w:szCs w:val="20"/>
          <w:color w:val="auto"/>
        </w:rPr>
      </w:pPr>
      <w:r>
        <w:rPr>
          <w:rFonts w:ascii="Arial" w:cs="Arial" w:eastAsia="Arial" w:hAnsi="Arial"/>
          <w:sz w:val="19"/>
          <w:szCs w:val="19"/>
          <w:color w:val="auto"/>
          <w:highlight w:val="white"/>
        </w:rPr>
        <w:drawing>
          <wp:anchor simplePos="0" relativeHeight="251657728" behindDoc="1" locked="0" layoutInCell="0" allowOverlap="1">
            <wp:simplePos x="0" y="0"/>
            <wp:positionH relativeFrom="page">
              <wp:posOffset>150495</wp:posOffset>
            </wp:positionH>
            <wp:positionV relativeFrom="page">
              <wp:posOffset>241300</wp:posOffset>
            </wp:positionV>
            <wp:extent cx="7290435" cy="8131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90435" cy="8131175"/>
                    </a:xfrm>
                    <a:prstGeom prst="rect">
                      <a:avLst/>
                    </a:prstGeom>
                    <a:noFill/>
                  </pic:spPr>
                </pic:pic>
              </a:graphicData>
            </a:graphic>
          </wp:anchor>
        </w:drawing>
        <w:t>We evaluated Epsolay in a double-blind, randomized, dose-ranging Phase 2 clinical trial involving 92 adult subjects at 10 centers in the United States. In this trial, Epsolay showed statistically significant improvements in the Investigator Global Assessment pre-defined co-primary efficacy endpoint and in the percent change in inflammatory lesion count at week 12, as compared to vehicle. Epsolay was also well tolerated in this trial.</w:t>
      </w:r>
    </w:p>
    <w:p>
      <w:pPr>
        <w:spacing w:after="0" w:line="209" w:lineRule="exact"/>
        <w:rPr>
          <w:sz w:val="20"/>
          <w:szCs w:val="20"/>
          <w:color w:val="auto"/>
        </w:rPr>
      </w:pPr>
    </w:p>
    <w:p>
      <w:pPr>
        <w:ind w:right="20" w:firstLine="573"/>
        <w:spacing w:after="0" w:line="267" w:lineRule="auto"/>
        <w:rPr>
          <w:sz w:val="20"/>
          <w:szCs w:val="20"/>
          <w:color w:val="auto"/>
        </w:rPr>
      </w:pPr>
      <w:r>
        <w:rPr>
          <w:rFonts w:ascii="Arial" w:cs="Arial" w:eastAsia="Arial" w:hAnsi="Arial"/>
          <w:sz w:val="19"/>
          <w:szCs w:val="19"/>
          <w:color w:val="auto"/>
          <w:highlight w:val="white"/>
        </w:rPr>
        <w:t xml:space="preserve">On July 8, 2019, we announced </w:t>
      </w:r>
      <w:r>
        <w:rPr>
          <w:rFonts w:ascii="Arial" w:cs="Arial" w:eastAsia="Arial" w:hAnsi="Arial"/>
          <w:sz w:val="19"/>
          <w:szCs w:val="19"/>
          <w:color w:val="auto"/>
        </w:rPr>
        <w:t>positive top-line results from our Phase 3 program evaluating Epsolay.</w:t>
      </w:r>
      <w:r>
        <w:rPr>
          <w:rFonts w:ascii="Arial" w:cs="Arial" w:eastAsia="Arial" w:hAnsi="Arial"/>
          <w:sz w:val="19"/>
          <w:szCs w:val="19"/>
          <w:color w:val="auto"/>
          <w:highlight w:val="white"/>
        </w:rPr>
        <w:t xml:space="preserve"> The program enrolled </w:t>
      </w:r>
      <w:r>
        <w:rPr>
          <w:rFonts w:ascii="Arial" w:cs="Arial" w:eastAsia="Arial" w:hAnsi="Arial"/>
          <w:sz w:val="19"/>
          <w:szCs w:val="19"/>
          <w:color w:val="auto"/>
        </w:rPr>
        <w:t>733 patients</w:t>
      </w:r>
      <w:r>
        <w:rPr>
          <w:rFonts w:ascii="Arial" w:cs="Arial" w:eastAsia="Arial" w:hAnsi="Arial"/>
          <w:sz w:val="19"/>
          <w:szCs w:val="19"/>
          <w:color w:val="auto"/>
          <w:highlight w:val="white"/>
        </w:rPr>
        <w:t xml:space="preserve"> </w:t>
      </w:r>
      <w:r>
        <w:rPr>
          <w:rFonts w:ascii="Arial" w:cs="Arial" w:eastAsia="Arial" w:hAnsi="Arial"/>
          <w:sz w:val="19"/>
          <w:szCs w:val="19"/>
          <w:color w:val="auto"/>
        </w:rPr>
        <w:t>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w:t>
      </w:r>
    </w:p>
    <w:p>
      <w:pPr>
        <w:spacing w:after="0" w:line="211" w:lineRule="exact"/>
        <w:rPr>
          <w:sz w:val="20"/>
          <w:szCs w:val="20"/>
          <w:color w:val="auto"/>
        </w:rPr>
      </w:pPr>
    </w:p>
    <w:p>
      <w:pPr>
        <w:ind w:right="180" w:firstLine="573"/>
        <w:spacing w:after="0" w:line="259" w:lineRule="auto"/>
        <w:rPr>
          <w:sz w:val="20"/>
          <w:szCs w:val="20"/>
          <w:color w:val="auto"/>
        </w:rPr>
      </w:pPr>
      <w:r>
        <w:rPr>
          <w:rFonts w:ascii="Arial" w:cs="Arial" w:eastAsia="Arial" w:hAnsi="Arial"/>
          <w:sz w:val="19"/>
          <w:szCs w:val="19"/>
          <w:color w:val="auto"/>
        </w:rPr>
        <w:t>We are currently conducting a long-term safety study for Epsolay and expect to report top-line results from this study in the first quarter of 2020. We intend to submit an NDA to the FDA for marketing approval of Epsolay in the first half 2020.</w:t>
      </w:r>
      <w:r>
        <w:rPr>
          <w:sz w:val="1"/>
          <w:szCs w:val="1"/>
          <w:color w:val="auto"/>
        </w:rPr>
        <w:drawing>
          <wp:inline distT="0" distB="0" distL="0" distR="0">
            <wp:extent cx="30480" cy="128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0480" cy="128905"/>
                    </a:xfrm>
                    <a:prstGeom prst="rect">
                      <a:avLst/>
                    </a:prstGeom>
                    <a:noFill/>
                    <a:ln>
                      <a:noFill/>
                    </a:ln>
                  </pic:spPr>
                </pic:pic>
              </a:graphicData>
            </a:graphic>
          </wp:inline>
        </w:drawing>
      </w:r>
    </w:p>
    <w:p>
      <w:pPr>
        <w:spacing w:after="0" w:line="21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SGT-210</w:t>
      </w:r>
    </w:p>
    <w:p>
      <w:pPr>
        <w:spacing w:after="0" w:line="259" w:lineRule="exact"/>
        <w:rPr>
          <w:sz w:val="20"/>
          <w:szCs w:val="20"/>
          <w:color w:val="auto"/>
        </w:rPr>
      </w:pPr>
    </w:p>
    <w:p>
      <w:pPr>
        <w:ind w:right="80" w:firstLine="573"/>
        <w:spacing w:after="0" w:line="321" w:lineRule="auto"/>
        <w:rPr>
          <w:sz w:val="20"/>
          <w:szCs w:val="20"/>
          <w:color w:val="auto"/>
        </w:rPr>
      </w:pPr>
      <w:r>
        <w:rPr>
          <w:rFonts w:ascii="Arial" w:cs="Arial" w:eastAsia="Arial" w:hAnsi="Arial"/>
          <w:sz w:val="17"/>
          <w:szCs w:val="17"/>
          <w:color w:val="auto"/>
          <w:highlight w:val="white"/>
        </w:rPr>
        <w:t>We have added SGT-210, a novel, topical epidermal growth factor receptor inhibitor, to our branded product candidate pipeline. SGT-210 is in development for the treatment of palmoplantar keratoderma, or PPK, a group of skin conditions characterized by thickening of the skin on the hands and soles of the feet, and basal cell carcinoma and squamous cell carcinoma, collectively referred to as non-melanoma skin cancer.</w:t>
      </w:r>
    </w:p>
    <w:p>
      <w:pPr>
        <w:spacing w:after="0" w:line="170" w:lineRule="exact"/>
        <w:rPr>
          <w:sz w:val="20"/>
          <w:szCs w:val="20"/>
          <w:color w:val="auto"/>
        </w:rPr>
      </w:pPr>
    </w:p>
    <w:p>
      <w:pPr>
        <w:ind w:right="80" w:firstLine="573"/>
        <w:spacing w:after="0" w:line="287" w:lineRule="auto"/>
        <w:rPr>
          <w:sz w:val="20"/>
          <w:szCs w:val="20"/>
          <w:color w:val="auto"/>
        </w:rPr>
      </w:pPr>
      <w:r>
        <w:rPr>
          <w:rFonts w:ascii="Arial" w:cs="Arial" w:eastAsia="Arial" w:hAnsi="Arial"/>
          <w:sz w:val="19"/>
          <w:szCs w:val="19"/>
          <w:color w:val="auto"/>
          <w:highlight w:val="white"/>
        </w:rPr>
        <w:t>SGT-210 is designed to be used alone or in combination for the treatment of hyperproliferation and hyperkeratinization disorders, including PPK and non-melanoma skin cancer.</w:t>
      </w:r>
    </w:p>
    <w:p>
      <w:pPr>
        <w:spacing w:after="0" w:line="193" w:lineRule="exact"/>
        <w:rPr>
          <w:sz w:val="20"/>
          <w:szCs w:val="20"/>
          <w:color w:val="auto"/>
        </w:rPr>
      </w:pPr>
    </w:p>
    <w:p>
      <w:pPr>
        <w:ind w:right="100" w:firstLine="573"/>
        <w:spacing w:after="0" w:line="268" w:lineRule="auto"/>
        <w:rPr>
          <w:sz w:val="20"/>
          <w:szCs w:val="20"/>
          <w:color w:val="auto"/>
        </w:rPr>
      </w:pPr>
      <w:r>
        <w:rPr>
          <w:rFonts w:ascii="Arial" w:cs="Arial" w:eastAsia="Arial" w:hAnsi="Arial"/>
          <w:sz w:val="19"/>
          <w:szCs w:val="19"/>
          <w:color w:val="auto"/>
          <w:highlight w:val="white"/>
        </w:rPr>
        <w:t>On January 2, 2019, we announced the initiation of a Phase 1 proof of concept clinical study of SGT-210 with punctate palmoplantar keratoderma type -1 (PPPK type 1), a genetic form of PPK. The Phase 1 proof of concept study SGT-84-01 is a single-center, single-blinded, vehicle-controlled study designed to evaluate the bioavailability, safety and tolerability of SGT-210 as well as inform on potential efficacy. The study is targeting enrollment of approximately 15 patients to undergo a three-month treatment period, followed by a three-month follow-up period. We expect to report top-line data in the first half of 2021.</w:t>
      </w:r>
    </w:p>
    <w:p>
      <w:pPr>
        <w:spacing w:after="0" w:line="20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Generic Drug Product Candidates</w:t>
      </w:r>
    </w:p>
    <w:p>
      <w:pPr>
        <w:spacing w:after="0" w:line="265" w:lineRule="exact"/>
        <w:rPr>
          <w:sz w:val="20"/>
          <w:szCs w:val="20"/>
          <w:color w:val="auto"/>
        </w:rPr>
      </w:pPr>
    </w:p>
    <w:p>
      <w:pPr>
        <w:jc w:val="both"/>
        <w:ind w:firstLine="573"/>
        <w:spacing w:after="0" w:line="296" w:lineRule="auto"/>
        <w:rPr>
          <w:sz w:val="20"/>
          <w:szCs w:val="20"/>
          <w:color w:val="auto"/>
        </w:rPr>
      </w:pPr>
      <w:r>
        <w:rPr>
          <w:rFonts w:ascii="Arial" w:cs="Arial" w:eastAsia="Arial" w:hAnsi="Arial"/>
          <w:sz w:val="18"/>
          <w:szCs w:val="18"/>
          <w:color w:val="auto"/>
        </w:rPr>
        <w:t>We are currently developing a portfolio of eight generic topical dermatological products, with five of our generic product candidates being developed in collaboration with Perrigo Company plc (“Perrigo”), and another being developed in collaboration with Douglas Pharmaceuticals. Both Perrigo and Douglas Pharmaceuticals have significant experience in the development of generic drugs.</w:t>
      </w:r>
    </w:p>
    <w:p>
      <w:pPr>
        <w:spacing w:after="0" w:line="188" w:lineRule="exact"/>
        <w:rPr>
          <w:sz w:val="20"/>
          <w:szCs w:val="20"/>
          <w:color w:val="auto"/>
        </w:rPr>
      </w:pPr>
    </w:p>
    <w:p>
      <w:pPr>
        <w:jc w:val="both"/>
        <w:ind w:firstLine="573"/>
        <w:spacing w:after="0" w:line="307" w:lineRule="auto"/>
        <w:rPr>
          <w:sz w:val="20"/>
          <w:szCs w:val="20"/>
          <w:color w:val="auto"/>
        </w:rPr>
      </w:pPr>
      <w:r>
        <w:rPr>
          <w:rFonts w:ascii="Arial" w:cs="Arial" w:eastAsia="Arial" w:hAnsi="Arial"/>
          <w:sz w:val="17"/>
          <w:szCs w:val="17"/>
          <w:color w:val="auto"/>
        </w:rPr>
        <w:t xml:space="preserve">We have one FDA-approved generic topical dermatological product, which is a generic version of Zovirax® (acyclovir) cream, 5%. In February 2019, we announced that </w:t>
      </w:r>
      <w:r>
        <w:rPr>
          <w:rFonts w:ascii="Arial" w:cs="Arial" w:eastAsia="Arial" w:hAnsi="Arial"/>
          <w:sz w:val="17"/>
          <w:szCs w:val="17"/>
          <w:color w:val="auto"/>
          <w:highlight w:val="white"/>
        </w:rPr>
        <w:t>Perrigo Israel, an affiliate of Perrigo,</w:t>
      </w:r>
      <w:r>
        <w:rPr>
          <w:rFonts w:ascii="Arial" w:cs="Arial" w:eastAsia="Arial" w:hAnsi="Arial"/>
          <w:sz w:val="17"/>
          <w:szCs w:val="17"/>
          <w:color w:val="auto"/>
        </w:rPr>
        <w:t xml:space="preserve"> received final approval from the FDA for this product. The product was developed in a collaboration between us and Perrigo in which we shared development costs with Perrigo and will equally share the gross profits generated from sales of the product. Following receipt by Perrigo of final approval from the FDA, Perrigo launched the product in February 2019. We recognized revenues of $18.8 million in the first nine months of 2019, representing our profit share from the sale of such product by Perrigo.</w:t>
      </w:r>
    </w:p>
    <w:p>
      <w:pPr>
        <w:spacing w:after="0" w:line="181" w:lineRule="exact"/>
        <w:rPr>
          <w:sz w:val="20"/>
          <w:szCs w:val="20"/>
          <w:color w:val="auto"/>
        </w:rPr>
      </w:pPr>
    </w:p>
    <w:p>
      <w:pPr>
        <w:jc w:val="both"/>
        <w:ind w:firstLine="573"/>
        <w:spacing w:after="0" w:line="286" w:lineRule="auto"/>
        <w:rPr>
          <w:sz w:val="20"/>
          <w:szCs w:val="20"/>
          <w:color w:val="auto"/>
        </w:rPr>
      </w:pPr>
      <w:r>
        <w:rPr>
          <w:rFonts w:ascii="Arial" w:cs="Arial" w:eastAsia="Arial" w:hAnsi="Arial"/>
          <w:sz w:val="18"/>
          <w:szCs w:val="18"/>
          <w:color w:val="auto"/>
          <w:highlight w:val="white"/>
        </w:rPr>
        <w:t xml:space="preserve">We have entered into collaboration agreements with Perrigo for the development, manufacturing and commercialization of six of our other </w:t>
      </w:r>
      <w:r>
        <w:rPr>
          <w:rFonts w:ascii="Arial" w:cs="Arial" w:eastAsia="Arial" w:hAnsi="Arial"/>
          <w:sz w:val="18"/>
          <w:szCs w:val="18"/>
          <w:color w:val="auto"/>
        </w:rPr>
        <w:t xml:space="preserve">generic product candidates. Under such agreements Perrigo will conduct the regulatory (if relevant), scientific, clinical and technical activities necessary to develop the generic product candidates and seek regulatory approval from the FDA for the generic product candidates. If approved by the FDA, Perrigo has agreed to commercialize the generic product candidates in the United States. We and Perrigo will share the development costs </w:t>
      </w:r>
      <w:r>
        <w:rPr>
          <w:rFonts w:ascii="Arial" w:cs="Arial" w:eastAsia="Arial" w:hAnsi="Arial"/>
          <w:sz w:val="18"/>
          <w:szCs w:val="18"/>
          <w:color w:val="auto"/>
          <w:highlight w:val="white"/>
        </w:rPr>
        <w:t>and the gross profits generated from the sales of the generic product candidates, if approved.</w:t>
      </w:r>
    </w:p>
    <w:p>
      <w:pPr>
        <w:spacing w:after="0" w:line="198" w:lineRule="exact"/>
        <w:rPr>
          <w:sz w:val="20"/>
          <w:szCs w:val="20"/>
          <w:color w:val="auto"/>
        </w:rPr>
      </w:pPr>
    </w:p>
    <w:p>
      <w:pPr>
        <w:jc w:val="both"/>
        <w:ind w:firstLine="573"/>
        <w:spacing w:after="0" w:line="274" w:lineRule="auto"/>
        <w:rPr>
          <w:sz w:val="20"/>
          <w:szCs w:val="20"/>
          <w:color w:val="auto"/>
        </w:rPr>
      </w:pPr>
      <w:r>
        <w:rPr>
          <w:rFonts w:ascii="Arial" w:cs="Arial" w:eastAsia="Arial" w:hAnsi="Arial"/>
          <w:sz w:val="19"/>
          <w:szCs w:val="19"/>
          <w:color w:val="auto"/>
          <w:highlight w:val="white"/>
        </w:rPr>
        <w:t>In December 2019, we completed a multi-center, double-blind, randomized, vehicle-controlled, parallel-group study showing bioequivalence to Efudex® Cream 5%</w:t>
      </w:r>
      <w:r>
        <w:rPr>
          <w:sz w:val="1"/>
          <w:szCs w:val="1"/>
          <w:color w:val="auto"/>
        </w:rPr>
        <w:drawing>
          <wp:inline distT="0" distB="0" distL="0" distR="0">
            <wp:extent cx="22860" cy="1136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2860" cy="113665"/>
                    </a:xfrm>
                    <a:prstGeom prst="rect">
                      <a:avLst/>
                    </a:prstGeom>
                    <a:noFill/>
                    <a:ln>
                      <a:noFill/>
                    </a:ln>
                  </pic:spPr>
                </pic:pic>
              </a:graphicData>
            </a:graphic>
          </wp:inline>
        </w:drawing>
      </w:r>
      <w:r>
        <w:rPr>
          <w:rFonts w:ascii="Arial" w:cs="Arial" w:eastAsia="Arial" w:hAnsi="Arial"/>
          <w:sz w:val="19"/>
          <w:szCs w:val="19"/>
          <w:color w:val="auto"/>
        </w:rPr>
        <w:t xml:space="preserve"> for generic 5-fluorouracil cream, 5%, for actinic keratosis, which is being developed in collaboration with Douglas Pharmaceuticals. We plan to submit an abbreviated NDA for generic 5-fluorouracil cream, 5%, in 2021.</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60"/>
        <w:spacing w:after="0"/>
        <w:rPr>
          <w:sz w:val="20"/>
          <w:szCs w:val="20"/>
          <w:color w:val="auto"/>
        </w:rPr>
      </w:pPr>
      <w:r>
        <w:rPr>
          <w:rFonts w:ascii="Arial" w:cs="Arial" w:eastAsia="Arial" w:hAnsi="Arial"/>
          <w:sz w:val="19"/>
          <w:szCs w:val="19"/>
          <w:color w:val="auto"/>
        </w:rPr>
        <w:t>S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47625</wp:posOffset>
            </wp:positionV>
            <wp:extent cx="7262495" cy="152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20"/>
          </w:cols>
          <w:pgMar w:left="320" w:top="693" w:right="259" w:bottom="1440" w:gutter="0" w:footer="0" w:header="0"/>
        </w:sectPr>
      </w:pPr>
    </w:p>
    <w:bookmarkStart w:id="8" w:name="page9"/>
    <w:bookmarkEnd w:id="8"/>
    <w:p>
      <w:pPr>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150495</wp:posOffset>
            </wp:positionH>
            <wp:positionV relativeFrom="page">
              <wp:posOffset>90170</wp:posOffset>
            </wp:positionV>
            <wp:extent cx="7290435" cy="69195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90435" cy="6919595"/>
                    </a:xfrm>
                    <a:prstGeom prst="rect">
                      <a:avLst/>
                    </a:prstGeom>
                    <a:noFill/>
                  </pic:spPr>
                </pic:pic>
              </a:graphicData>
            </a:graphic>
          </wp:anchor>
        </w:drawing>
        <w:t>Commercialization Strategy</w:t>
      </w:r>
    </w:p>
    <w:p>
      <w:pPr>
        <w:spacing w:after="0" w:line="265" w:lineRule="exact"/>
        <w:rPr>
          <w:sz w:val="20"/>
          <w:szCs w:val="20"/>
          <w:color w:val="auto"/>
        </w:rPr>
      </w:pPr>
    </w:p>
    <w:p>
      <w:pPr>
        <w:ind w:firstLine="573"/>
        <w:spacing w:after="0" w:line="283" w:lineRule="auto"/>
        <w:rPr>
          <w:sz w:val="20"/>
          <w:szCs w:val="20"/>
          <w:color w:val="auto"/>
        </w:rPr>
      </w:pPr>
      <w:r>
        <w:rPr>
          <w:rFonts w:ascii="Arial" w:cs="Arial" w:eastAsia="Arial" w:hAnsi="Arial"/>
          <w:sz w:val="18"/>
          <w:szCs w:val="18"/>
          <w:color w:val="auto"/>
          <w:highlight w:val="white"/>
        </w:rPr>
        <w:t>We are developing our sales, marketing and product distribution capabilities for Epsolay and Twyneo in order to support our planned commercial launch of these product candidates in the United States, if approved. We intend to commercialize Twyneo and Epsolay in the United States, if approved, by hiring a specialized field sales force with an initial estimate of approximately 45 to 62 sales representatives, which we believe will allow us to reach approximately 80% of the acne and rosacea volume by targeting dermatologists in the United States. Because the U.S. market is served by a relatively small number of practicing dermatologists, we believe a dedicated sales force of this size can efficiently cover a significant portion of that targeted patient population. In other markets, we may selectively pursue strategic collaborations with third parties in order to maximize the commercial potential of our product candidates.</w:t>
      </w:r>
    </w:p>
    <w:p>
      <w:pPr>
        <w:spacing w:after="0" w:line="194"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Recent Developments</w:t>
      </w:r>
    </w:p>
    <w:p>
      <w:pPr>
        <w:spacing w:after="0" w:line="26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Top-Line Results for Twyneo Phase 3 Program</w:t>
      </w:r>
    </w:p>
    <w:p>
      <w:pPr>
        <w:spacing w:after="0" w:line="259" w:lineRule="exact"/>
        <w:rPr>
          <w:sz w:val="20"/>
          <w:szCs w:val="20"/>
          <w:color w:val="auto"/>
        </w:rPr>
      </w:pPr>
    </w:p>
    <w:p>
      <w:pPr>
        <w:ind w:right="40" w:firstLine="573"/>
        <w:spacing w:after="0" w:line="282" w:lineRule="auto"/>
        <w:rPr>
          <w:sz w:val="20"/>
          <w:szCs w:val="20"/>
          <w:color w:val="auto"/>
        </w:rPr>
      </w:pPr>
      <w:r>
        <w:rPr>
          <w:rFonts w:ascii="Arial" w:cs="Arial" w:eastAsia="Arial" w:hAnsi="Arial"/>
          <w:sz w:val="18"/>
          <w:szCs w:val="18"/>
          <w:color w:val="auto"/>
        </w:rPr>
        <w:t xml:space="preserve">On December 30, 2019, we announced top-line results </w:t>
      </w:r>
      <w:r>
        <w:rPr>
          <w:rFonts w:ascii="Arial" w:cs="Arial" w:eastAsia="Arial" w:hAnsi="Arial"/>
          <w:sz w:val="18"/>
          <w:szCs w:val="18"/>
          <w:color w:val="auto"/>
          <w:highlight w:val="white"/>
        </w:rPr>
        <w:t>from two pivotal Phase 3 clinical trials evaluating Twyneo for the treatment of acne.</w:t>
      </w:r>
      <w:r>
        <w:rPr>
          <w:rFonts w:ascii="Arial" w:cs="Arial" w:eastAsia="Arial" w:hAnsi="Arial"/>
          <w:sz w:val="18"/>
          <w:szCs w:val="18"/>
          <w:color w:val="auto"/>
        </w:rPr>
        <w:t xml:space="preserve"> </w:t>
      </w:r>
      <w:r>
        <w:rPr>
          <w:rFonts w:ascii="Arial" w:cs="Arial" w:eastAsia="Arial" w:hAnsi="Arial"/>
          <w:sz w:val="18"/>
          <w:szCs w:val="18"/>
          <w:color w:val="auto"/>
          <w:highlight w:val="white"/>
        </w:rPr>
        <w:t xml:space="preserve">Twyneo met all co-primary endpoints in both Phase 3 trials. </w:t>
      </w:r>
      <w:r>
        <w:rPr>
          <w:rFonts w:ascii="Arial" w:cs="Arial" w:eastAsia="Arial" w:hAnsi="Arial"/>
          <w:sz w:val="18"/>
          <w:szCs w:val="18"/>
          <w:color w:val="auto"/>
        </w:rPr>
        <w:t>The Phase 3 program enrolled an aggregate of 858 patients aged nine and older, with</w:t>
      </w:r>
      <w:r>
        <w:rPr>
          <w:rFonts w:ascii="Arial" w:cs="Arial" w:eastAsia="Arial" w:hAnsi="Arial"/>
          <w:sz w:val="18"/>
          <w:szCs w:val="18"/>
          <w:color w:val="auto"/>
          <w:highlight w:val="white"/>
        </w:rPr>
        <w:t xml:space="preserve"> </w:t>
      </w:r>
      <w:r>
        <w:rPr>
          <w:rFonts w:ascii="Arial" w:cs="Arial" w:eastAsia="Arial" w:hAnsi="Arial"/>
          <w:sz w:val="18"/>
          <w:szCs w:val="18"/>
          <w:color w:val="auto"/>
        </w:rPr>
        <w:t xml:space="preserve">moderate-to-severe acne in two multicenter, randomized, double-blind, parallel group, vehicle-controlled trials at 63 sites across the United States. Patients were randomized at a 2:1 ratio to be treated once-daily with either Twyneo (n=571) or vehicle cream (n=287) for 12 weeks. Twyneo demonstrated statistically significant improvement in each of the co-primary endpoints of </w:t>
      </w:r>
      <w:r>
        <w:rPr>
          <w:rFonts w:ascii="Arial" w:cs="Arial" w:eastAsia="Arial" w:hAnsi="Arial"/>
          <w:sz w:val="18"/>
          <w:szCs w:val="18"/>
          <w:color w:val="auto"/>
          <w:highlight w:val="white"/>
        </w:rPr>
        <w:t>(1) the proportion of patients who succeeded in achieving</w:t>
      </w:r>
      <w:r>
        <w:rPr>
          <w:rFonts w:ascii="Arial" w:cs="Arial" w:eastAsia="Arial" w:hAnsi="Arial"/>
          <w:sz w:val="18"/>
          <w:szCs w:val="18"/>
          <w:color w:val="auto"/>
        </w:rPr>
        <w:t xml:space="preserve"> </w:t>
      </w:r>
      <w:r>
        <w:rPr>
          <w:rFonts w:ascii="Arial" w:cs="Arial" w:eastAsia="Arial" w:hAnsi="Arial"/>
          <w:sz w:val="18"/>
          <w:szCs w:val="18"/>
          <w:color w:val="auto"/>
          <w:highlight w:val="white"/>
        </w:rPr>
        <w:t>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w:t>
      </w:r>
    </w:p>
    <w:p>
      <w:pPr>
        <w:spacing w:after="0" w:line="201"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Co-Primary Endpoint Results (Intention-to-Treat Population)</w:t>
      </w:r>
    </w:p>
    <w:p>
      <w:pPr>
        <w:spacing w:after="0" w:line="259" w:lineRule="exact"/>
        <w:rPr>
          <w:sz w:val="20"/>
          <w:szCs w:val="20"/>
          <w:color w:val="auto"/>
        </w:rPr>
      </w:pPr>
    </w:p>
    <w:p>
      <w:pPr>
        <w:jc w:val="both"/>
        <w:ind w:right="40" w:firstLine="677"/>
        <w:spacing w:after="0" w:line="274" w:lineRule="auto"/>
        <w:rPr>
          <w:sz w:val="20"/>
          <w:szCs w:val="20"/>
          <w:color w:val="auto"/>
        </w:rPr>
      </w:pPr>
      <w:r>
        <w:rPr>
          <w:rFonts w:ascii="Arial" w:cs="Arial" w:eastAsia="Arial" w:hAnsi="Arial"/>
          <w:sz w:val="19"/>
          <w:szCs w:val="19"/>
          <w:color w:val="auto"/>
        </w:rPr>
        <w:t>In trial SGT-65-04, 38.5% of patients treated with Twyneo achieved success in IGA versus 11.5% in the vehicle treated group (P&lt;0.001) at week 12. In trial SGT-65-05, 25.4% of patients treated with Twyneo achieved success in IGA versus 14.7% in the vehicle group (P=0.017) at week 12.</w:t>
      </w:r>
    </w:p>
    <w:p>
      <w:pPr>
        <w:spacing w:after="0" w:line="206" w:lineRule="exact"/>
        <w:rPr>
          <w:sz w:val="20"/>
          <w:szCs w:val="20"/>
          <w:color w:val="auto"/>
        </w:rPr>
      </w:pPr>
    </w:p>
    <w:p>
      <w:pPr>
        <w:ind w:right="400" w:firstLine="677"/>
        <w:spacing w:after="0" w:line="274" w:lineRule="auto"/>
        <w:rPr>
          <w:sz w:val="20"/>
          <w:szCs w:val="20"/>
          <w:color w:val="auto"/>
        </w:rPr>
      </w:pPr>
      <w:r>
        <w:rPr>
          <w:rFonts w:ascii="Arial" w:cs="Arial" w:eastAsia="Arial" w:hAnsi="Arial"/>
          <w:sz w:val="19"/>
          <w:szCs w:val="19"/>
          <w:color w:val="auto"/>
        </w:rPr>
        <w:t>In trial SGT-65-04, the absolute mean change from baseline of inflammatory lesion count for Twyneo was -21.6 versus -14.8 for the vehicle group (P&lt;0.001) at week 12. In trial SGT-65-05, the absolute change from baseline of inflammatory lesion count for Twyneo was -16.2 versus -14.1 for the vehicle group (P=0.021) at week 12.</w:t>
      </w:r>
    </w:p>
    <w:p>
      <w:pPr>
        <w:spacing w:after="0" w:line="206" w:lineRule="exact"/>
        <w:rPr>
          <w:sz w:val="20"/>
          <w:szCs w:val="20"/>
          <w:color w:val="auto"/>
        </w:rPr>
      </w:pPr>
    </w:p>
    <w:p>
      <w:pPr>
        <w:ind w:right="200" w:firstLine="677"/>
        <w:spacing w:after="0" w:line="274" w:lineRule="auto"/>
        <w:rPr>
          <w:sz w:val="20"/>
          <w:szCs w:val="20"/>
          <w:color w:val="auto"/>
        </w:rPr>
      </w:pPr>
      <w:r>
        <w:rPr>
          <w:rFonts w:ascii="Arial" w:cs="Arial" w:eastAsia="Arial" w:hAnsi="Arial"/>
          <w:sz w:val="19"/>
          <w:szCs w:val="19"/>
          <w:color w:val="auto"/>
        </w:rPr>
        <w:t>In trial SGT-65-04, the absolute mean change from baseline of non-inflammatory lesion count for Twyneo was -29.7 versus -19.8 for the vehicle group (P&lt;0.001). In trial SGT-65-05, the absolute mean change from baseline of non-inflammatory lesion count for Twyneo was -24.2 versus -17.4 for the vehicle group (P&lt;0.001) at week 12.</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i w:val="1"/>
          <w:iCs w:val="1"/>
          <w:color w:val="auto"/>
        </w:rPr>
        <w:t>Safety and Tolerability</w:t>
      </w:r>
    </w:p>
    <w:p>
      <w:pPr>
        <w:spacing w:after="0" w:line="259" w:lineRule="exact"/>
        <w:rPr>
          <w:sz w:val="20"/>
          <w:szCs w:val="20"/>
          <w:color w:val="auto"/>
        </w:rPr>
      </w:pPr>
    </w:p>
    <w:p>
      <w:pPr>
        <w:ind w:right="120" w:firstLine="677"/>
        <w:spacing w:after="0" w:line="270" w:lineRule="auto"/>
        <w:rPr>
          <w:sz w:val="20"/>
          <w:szCs w:val="20"/>
          <w:color w:val="auto"/>
        </w:rPr>
      </w:pPr>
      <w:r>
        <w:rPr>
          <w:rFonts w:ascii="Arial" w:cs="Arial" w:eastAsia="Arial" w:hAnsi="Arial"/>
          <w:sz w:val="19"/>
          <w:szCs w:val="19"/>
          <w:color w:val="auto"/>
        </w:rPr>
        <w:t>In both trials, Twyneo appeared to be generally safe and well-tolerated and the majority of local skin reactions, when reported, were mild or moderate and improved over time. A total of 18 subjects discontinued treatment in both trials due to treatment emergent adverse events. There were no treatment-related serious adverse events and four unrelated serious adverse events (one Twyneo (depression), three vehicle) were reported across both trials.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60"/>
        <w:spacing w:after="0"/>
        <w:rPr>
          <w:sz w:val="20"/>
          <w:szCs w:val="20"/>
          <w:color w:val="auto"/>
        </w:rPr>
      </w:pPr>
      <w:r>
        <w:rPr>
          <w:rFonts w:ascii="Arial" w:cs="Arial" w:eastAsia="Arial" w:hAnsi="Arial"/>
          <w:sz w:val="19"/>
          <w:szCs w:val="19"/>
          <w:color w:val="auto"/>
        </w:rPr>
        <w:t>S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40005</wp:posOffset>
            </wp:positionV>
            <wp:extent cx="7262495" cy="152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20"/>
          </w:cols>
          <w:pgMar w:left="320" w:top="448" w:right="259" w:bottom="1440" w:gutter="0" w:footer="0" w:header="0"/>
        </w:sectPr>
      </w:pPr>
    </w:p>
    <w:bookmarkStart w:id="9" w:name="page10"/>
    <w:bookmarkEnd w:id="9"/>
    <w:p>
      <w:pPr>
        <w:spacing w:after="0"/>
        <w:rPr>
          <w:sz w:val="20"/>
          <w:szCs w:val="20"/>
          <w:color w:val="auto"/>
        </w:rPr>
      </w:pPr>
      <w:r>
        <w:rPr>
          <w:rFonts w:ascii="Arial" w:cs="Arial" w:eastAsia="Arial" w:hAnsi="Arial"/>
          <w:sz w:val="19"/>
          <w:szCs w:val="19"/>
          <w:b w:val="1"/>
          <w:bCs w:val="1"/>
          <w:i w:val="1"/>
          <w:iCs w:val="1"/>
          <w:color w:val="auto"/>
        </w:rPr>
        <w:drawing>
          <wp:anchor simplePos="0" relativeHeight="251657728" behindDoc="1" locked="0" layoutInCell="0" allowOverlap="1">
            <wp:simplePos x="0" y="0"/>
            <wp:positionH relativeFrom="page">
              <wp:posOffset>150495</wp:posOffset>
            </wp:positionH>
            <wp:positionV relativeFrom="page">
              <wp:posOffset>90170</wp:posOffset>
            </wp:positionV>
            <wp:extent cx="7290435" cy="52533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90435" cy="5253355"/>
                    </a:xfrm>
                    <a:prstGeom prst="rect">
                      <a:avLst/>
                    </a:prstGeom>
                    <a:noFill/>
                  </pic:spPr>
                </pic:pic>
              </a:graphicData>
            </a:graphic>
          </wp:anchor>
        </w:drawing>
        <w:t>Preliminary Financial Results for the Year Ended December 31, 2019</w:t>
      </w:r>
    </w:p>
    <w:p>
      <w:pPr>
        <w:spacing w:after="0" w:line="259" w:lineRule="exact"/>
        <w:rPr>
          <w:sz w:val="20"/>
          <w:szCs w:val="20"/>
          <w:color w:val="auto"/>
        </w:rPr>
      </w:pPr>
    </w:p>
    <w:p>
      <w:pPr>
        <w:ind w:right="100" w:firstLine="573"/>
        <w:spacing w:after="0" w:line="268" w:lineRule="auto"/>
        <w:rPr>
          <w:sz w:val="20"/>
          <w:szCs w:val="20"/>
          <w:color w:val="auto"/>
        </w:rPr>
      </w:pPr>
      <w:r>
        <w:rPr>
          <w:rFonts w:ascii="Arial" w:cs="Arial" w:eastAsia="Arial" w:hAnsi="Arial"/>
          <w:sz w:val="19"/>
          <w:szCs w:val="19"/>
          <w:color w:val="auto"/>
        </w:rPr>
        <w:t>We estimate our revenue for the quarter and year ended December 31, 2019 attributable to sales of our partnered generic product, acyclovir cream, 5%, with Perrigo to be approximately $4.0 million and $22.8 million, respectively. As of the date of this prospectus supplement, this is the only generic acyclovir cream available on the U.S. market. As of December 31, 2019, our cash, cash equivalents, deposits and marketable securities are expected to be approximately $50.4 million, excluding the approximate $4.0 million in revenue from acyclovir cream, 5%, in the fourth quarter of 2019.</w:t>
      </w:r>
    </w:p>
    <w:p>
      <w:pPr>
        <w:spacing w:after="0" w:line="211" w:lineRule="exact"/>
        <w:rPr>
          <w:sz w:val="20"/>
          <w:szCs w:val="20"/>
          <w:color w:val="auto"/>
        </w:rPr>
      </w:pPr>
    </w:p>
    <w:p>
      <w:pPr>
        <w:ind w:firstLine="573"/>
        <w:spacing w:after="0" w:line="284" w:lineRule="auto"/>
        <w:rPr>
          <w:sz w:val="20"/>
          <w:szCs w:val="20"/>
          <w:color w:val="auto"/>
        </w:rPr>
      </w:pPr>
      <w:r>
        <w:rPr>
          <w:rFonts w:ascii="Arial" w:cs="Arial" w:eastAsia="Arial" w:hAnsi="Arial"/>
          <w:sz w:val="18"/>
          <w:szCs w:val="18"/>
          <w:color w:val="auto"/>
        </w:rPr>
        <w:t>The estimates above represent the most current information available to our management and do not present all necessary information for an understanding of our financial condition as of and the results of operations for the year ended December 31, 2019. We are currently preparing our financial results for the quarter and year ended December 31, 2019. There is no assurance that our revenues from the sale of acyclovir cream, 5%, along with our cash, cash equivalents, deposits and marketable securities as of and for the year ended December 31, 2019 to be reported in our financial statements for the period, when finalized and reviewed, will not differ from the estimates provided. Any such differences could be material, and accordingly prospective investors should not place undue reliance on these estimates.</w:t>
      </w:r>
    </w:p>
    <w:p>
      <w:pPr>
        <w:spacing w:after="0" w:line="200" w:lineRule="exact"/>
        <w:rPr>
          <w:sz w:val="20"/>
          <w:szCs w:val="20"/>
          <w:color w:val="auto"/>
        </w:rPr>
      </w:pPr>
    </w:p>
    <w:p>
      <w:pPr>
        <w:ind w:right="120" w:firstLine="573"/>
        <w:spacing w:after="0" w:line="267" w:lineRule="auto"/>
        <w:rPr>
          <w:sz w:val="20"/>
          <w:szCs w:val="20"/>
          <w:color w:val="auto"/>
        </w:rPr>
      </w:pPr>
      <w:r>
        <w:rPr>
          <w:rFonts w:ascii="Arial" w:cs="Arial" w:eastAsia="Arial" w:hAnsi="Arial"/>
          <w:sz w:val="19"/>
          <w:szCs w:val="19"/>
          <w:color w:val="auto"/>
        </w:rPr>
        <w:t>The preliminary financial data included in this document has been prepared by, and is the responsibility of our management. Our independent registered public accounting firm, Kesselman &amp; Kesselman, Certified Public Accountants (Isr.), a member firm of PricewaterhouseCoopers International Limited, has not audited, reviewed, compiled or applied agreed upon procedures with respect to the preliminary financial data. Accordingly, Kesselman &amp; Kesselman does not express an opinion or any other form of assurance with respect thereto. These are estimates which should not be regarded as a representation by us, our management, or the underwriters as to our actual results for the quarter and year ended December 31, 2019.</w:t>
      </w:r>
    </w:p>
    <w:p>
      <w:pPr>
        <w:spacing w:after="0" w:line="20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Corporate Information</w:t>
      </w:r>
    </w:p>
    <w:p>
      <w:pPr>
        <w:spacing w:after="0" w:line="265" w:lineRule="exact"/>
        <w:rPr>
          <w:sz w:val="20"/>
          <w:szCs w:val="20"/>
          <w:color w:val="auto"/>
        </w:rPr>
      </w:pPr>
    </w:p>
    <w:p>
      <w:pPr>
        <w:ind w:right="60" w:firstLine="573"/>
        <w:spacing w:after="0" w:line="287" w:lineRule="auto"/>
        <w:rPr>
          <w:sz w:val="20"/>
          <w:szCs w:val="20"/>
          <w:color w:val="auto"/>
        </w:rPr>
      </w:pPr>
      <w:r>
        <w:rPr>
          <w:rFonts w:ascii="Arial" w:cs="Arial" w:eastAsia="Arial" w:hAnsi="Arial"/>
          <w:sz w:val="19"/>
          <w:szCs w:val="19"/>
          <w:color w:val="auto"/>
        </w:rPr>
        <w:t>Our legal and commercial name is Sol-Gel Technologies Ltd. We were incorporated on October 28, 1997 and were registered as a company with limited liability under the laws of the State of Israel.</w:t>
      </w:r>
    </w:p>
    <w:p>
      <w:pPr>
        <w:spacing w:after="0" w:line="193" w:lineRule="exact"/>
        <w:rPr>
          <w:sz w:val="20"/>
          <w:szCs w:val="20"/>
          <w:color w:val="auto"/>
        </w:rPr>
      </w:pPr>
    </w:p>
    <w:p>
      <w:pPr>
        <w:ind w:right="160" w:firstLine="573"/>
        <w:spacing w:after="0" w:line="268" w:lineRule="auto"/>
        <w:rPr>
          <w:sz w:val="20"/>
          <w:szCs w:val="20"/>
          <w:color w:val="auto"/>
        </w:rPr>
      </w:pPr>
      <w:r>
        <w:rPr>
          <w:rFonts w:ascii="Arial" w:cs="Arial" w:eastAsia="Arial" w:hAnsi="Arial"/>
          <w:sz w:val="19"/>
          <w:szCs w:val="19"/>
          <w:color w:val="auto"/>
        </w:rPr>
        <w:t>Our principal executive offices are located at 7 Golda Meir St., Weizmann Science Park, Ness Ziona, 7403650 Israel, and our telephone number is +972-8-931-3433. Our website address is http://www.sol-gel.com. The information on our website does not constitute a part of this prospectus. We have included our website address in this prospectus solely as an inactive textual reference. Our agent for service of process in the United States is Sol-Gel Technologies, Inc., c/o The Corporation Trust Company, located at Corporation Trust Center, 1209 Orange Street, Wilmington, Delaware 19801.</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40"/>
        <w:spacing w:after="0"/>
        <w:rPr>
          <w:sz w:val="20"/>
          <w:szCs w:val="20"/>
          <w:color w:val="auto"/>
        </w:rPr>
      </w:pPr>
      <w:r>
        <w:rPr>
          <w:rFonts w:ascii="Arial" w:cs="Arial" w:eastAsia="Arial" w:hAnsi="Arial"/>
          <w:sz w:val="19"/>
          <w:szCs w:val="19"/>
          <w:color w:val="auto"/>
        </w:rPr>
        <w:t>S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40005</wp:posOffset>
            </wp:positionV>
            <wp:extent cx="7262495" cy="152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00"/>
          </w:cols>
          <w:pgMar w:left="320" w:top="454" w:right="279" w:bottom="1440" w:gutter="0" w:footer="0" w:header="0"/>
        </w:sectPr>
      </w:pPr>
    </w:p>
    <w:bookmarkStart w:id="10" w:name="page11"/>
    <w:bookmarkEnd w:id="10"/>
    <w:p>
      <w:pPr>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150495</wp:posOffset>
            </wp:positionH>
            <wp:positionV relativeFrom="page">
              <wp:posOffset>90170</wp:posOffset>
            </wp:positionV>
            <wp:extent cx="7290435" cy="43522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90435" cy="4352290"/>
                    </a:xfrm>
                    <a:prstGeom prst="rect">
                      <a:avLst/>
                    </a:prstGeom>
                    <a:noFill/>
                  </pic:spPr>
                </pic:pic>
              </a:graphicData>
            </a:graphic>
          </wp:anchor>
        </w:drawing>
        <w:t>Implications of Being an Emerging Growth Company and a Foreign Private Issuer</w:t>
      </w:r>
    </w:p>
    <w:p>
      <w:pPr>
        <w:spacing w:after="0" w:line="265" w:lineRule="exact"/>
        <w:rPr>
          <w:sz w:val="20"/>
          <w:szCs w:val="20"/>
          <w:color w:val="auto"/>
        </w:rPr>
      </w:pPr>
    </w:p>
    <w:p>
      <w:pPr>
        <w:ind w:right="60" w:firstLine="573"/>
        <w:spacing w:after="0" w:line="281" w:lineRule="auto"/>
        <w:rPr>
          <w:sz w:val="20"/>
          <w:szCs w:val="20"/>
          <w:color w:val="auto"/>
        </w:rPr>
      </w:pPr>
      <w:r>
        <w:rPr>
          <w:rFonts w:ascii="Arial" w:cs="Arial" w:eastAsia="Arial" w:hAnsi="Arial"/>
          <w:sz w:val="18"/>
          <w:szCs w:val="18"/>
          <w:color w:val="auto"/>
        </w:rPr>
        <w:t>We are an “emerging growth company” as defined in the Jumpstart Our Business Startups Act of 2012, and therefore we may take advantage of certain exemptions from various public company reporting requirements, including not being required to have our internal control over financial reporting audited by our independent registered public accounting firm pursuant to Section 404 of the Sarbanes Oxley Act of 2002, or the Sarbanes-Oxley Act, and reduced financial reporting requirements. We may take advantage of these exemptions until we are no longer an “emerging growth company.” We will remain an emerging growth company until the earliest of: (1) the end of the fiscal year in which the market value of our ordinary shares that are held by non-affiliates is at least $700 million as of the last business day of our most recently completed second fiscal quarter, (2) the end of the fiscal year in which we have total annual gross revenues of $1.07 billion or more during such fiscal year, (3) the date on which we have issued more than $1 billion in non-convertible debt in a three-year period, and (4) the last day of the fiscal year following the fifth anniversary of our initial public offering, which was completed in February 2018.</w:t>
      </w:r>
    </w:p>
    <w:p>
      <w:pPr>
        <w:spacing w:after="0" w:line="204" w:lineRule="exact"/>
        <w:rPr>
          <w:sz w:val="20"/>
          <w:szCs w:val="20"/>
          <w:color w:val="auto"/>
        </w:rPr>
      </w:pPr>
    </w:p>
    <w:p>
      <w:pPr>
        <w:ind w:right="240" w:firstLine="573"/>
        <w:spacing w:after="0" w:line="274" w:lineRule="auto"/>
        <w:rPr>
          <w:sz w:val="20"/>
          <w:szCs w:val="20"/>
          <w:color w:val="auto"/>
        </w:rPr>
      </w:pPr>
      <w:r>
        <w:rPr>
          <w:rFonts w:ascii="Arial" w:cs="Arial" w:eastAsia="Arial" w:hAnsi="Arial"/>
          <w:sz w:val="19"/>
          <w:szCs w:val="19"/>
          <w:color w:val="auto"/>
        </w:rPr>
        <w:t>Even after we no longer qualify as an emerging growth company, as long as we qualify as a foreign private issuer under the Securities Exchange Act of 1934, or the Exchange Act, we will be exempt from certain provisions of the Exchange Act that are applicable to U.S. domestic public companies, including:</w:t>
      </w:r>
    </w:p>
    <w:p>
      <w:pPr>
        <w:spacing w:after="0" w:line="200" w:lineRule="exact"/>
        <w:rPr>
          <w:sz w:val="20"/>
          <w:szCs w:val="20"/>
          <w:color w:val="auto"/>
        </w:rPr>
      </w:pPr>
    </w:p>
    <w:p>
      <w:pPr>
        <w:ind w:left="580" w:hanging="295"/>
        <w:spacing w:after="0"/>
        <w:tabs>
          <w:tab w:leader="none" w:pos="580" w:val="left"/>
        </w:tabs>
        <w:numPr>
          <w:ilvl w:val="0"/>
          <w:numId w:val="2"/>
        </w:numPr>
        <w:rPr>
          <w:rFonts w:ascii="Arial" w:cs="Arial" w:eastAsia="Arial" w:hAnsi="Arial"/>
          <w:sz w:val="15"/>
          <w:szCs w:val="15"/>
          <w:color w:val="auto"/>
        </w:rPr>
      </w:pPr>
      <w:r>
        <w:rPr>
          <w:rFonts w:ascii="Arial" w:cs="Arial" w:eastAsia="Arial" w:hAnsi="Arial"/>
          <w:sz w:val="15"/>
          <w:szCs w:val="15"/>
          <w:color w:val="auto"/>
        </w:rPr>
        <w:t>the sections of the Exchange Act regulating the solicitation of proxies, consents or authorizations in respect of a security registered under the Exchange Act;</w:t>
      </w:r>
    </w:p>
    <w:p>
      <w:pPr>
        <w:spacing w:after="0" w:line="256" w:lineRule="exact"/>
        <w:rPr>
          <w:rFonts w:ascii="Arial" w:cs="Arial" w:eastAsia="Arial" w:hAnsi="Arial"/>
          <w:sz w:val="15"/>
          <w:szCs w:val="15"/>
          <w:color w:val="auto"/>
        </w:rPr>
      </w:pPr>
    </w:p>
    <w:p>
      <w:pPr>
        <w:ind w:left="580" w:right="180" w:hanging="295"/>
        <w:spacing w:after="0" w:line="274" w:lineRule="auto"/>
        <w:tabs>
          <w:tab w:leader="none" w:pos="58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sections of the Exchange Act requiring insiders to file public reports of their stock ownership and trading activities and liability for insiders who profit from trades made in a short period of time; and</w:t>
      </w:r>
    </w:p>
    <w:p>
      <w:pPr>
        <w:spacing w:after="0" w:line="211" w:lineRule="exact"/>
        <w:rPr>
          <w:rFonts w:ascii="Arial" w:cs="Arial" w:eastAsia="Arial" w:hAnsi="Arial"/>
          <w:sz w:val="16"/>
          <w:szCs w:val="16"/>
          <w:color w:val="auto"/>
        </w:rPr>
      </w:pPr>
    </w:p>
    <w:p>
      <w:pPr>
        <w:ind w:left="580" w:right="820" w:hanging="295"/>
        <w:spacing w:after="0" w:line="274" w:lineRule="auto"/>
        <w:tabs>
          <w:tab w:leader="none" w:pos="58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rules under the Exchange Act requiring filing with the SEC of quarterly periodic reports on Form 10-Q containing unaudited financial and other specific information, or current reports on Form 8-K, upon the occurrence of specified significant events.</w:t>
      </w:r>
    </w:p>
    <w:p>
      <w:pPr>
        <w:spacing w:after="0" w:line="205" w:lineRule="exact"/>
        <w:rPr>
          <w:sz w:val="20"/>
          <w:szCs w:val="20"/>
          <w:color w:val="auto"/>
        </w:rPr>
      </w:pPr>
    </w:p>
    <w:p>
      <w:pPr>
        <w:ind w:firstLine="573"/>
        <w:spacing w:after="0" w:line="321" w:lineRule="auto"/>
        <w:rPr>
          <w:sz w:val="20"/>
          <w:szCs w:val="20"/>
          <w:color w:val="auto"/>
        </w:rPr>
      </w:pPr>
      <w:r>
        <w:rPr>
          <w:rFonts w:ascii="Arial" w:cs="Arial" w:eastAsia="Arial" w:hAnsi="Arial"/>
          <w:sz w:val="17"/>
          <w:szCs w:val="17"/>
          <w:color w:val="auto"/>
        </w:rPr>
        <w:t>Both foreign private issuers and emerging growth companies also are exempt from certain more stringent executive compensation disclosure rules. Thus, even if we no longer qualify as an emerging growth company, but remain a foreign private issuer, we will continue to be exempt from the more stringent compensation disclosures required of companies that are neither an emerging growth company nor a foreign private issuer.</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60"/>
        <w:spacing w:after="0"/>
        <w:rPr>
          <w:sz w:val="20"/>
          <w:szCs w:val="20"/>
          <w:color w:val="auto"/>
        </w:rPr>
      </w:pPr>
      <w:r>
        <w:rPr>
          <w:rFonts w:ascii="Arial" w:cs="Arial" w:eastAsia="Arial" w:hAnsi="Arial"/>
          <w:sz w:val="19"/>
          <w:szCs w:val="19"/>
          <w:color w:val="auto"/>
        </w:rPr>
        <w:t>S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40005</wp:posOffset>
            </wp:positionV>
            <wp:extent cx="7262495" cy="152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20"/>
          </w:cols>
          <w:pgMar w:left="320" w:top="448" w:right="259" w:bottom="1440" w:gutter="0" w:footer="0" w:header="0"/>
        </w:sectPr>
      </w:pPr>
    </w:p>
    <w:bookmarkStart w:id="11" w:name="page12"/>
    <w:bookmarkEnd w:id="11"/>
    <w:p>
      <w:pPr>
        <w:jc w:val="center"/>
        <w:ind w:right="-19"/>
        <w:spacing w:after="0"/>
        <w:rPr>
          <w:sz w:val="20"/>
          <w:szCs w:val="20"/>
          <w:color w:val="auto"/>
        </w:rPr>
      </w:pPr>
      <w:r>
        <w:rPr>
          <w:rFonts w:ascii="Arial" w:cs="Arial" w:eastAsia="Arial" w:hAnsi="Arial"/>
          <w:sz w:val="19"/>
          <w:szCs w:val="19"/>
          <w:b w:val="1"/>
          <w:bCs w:val="1"/>
          <w:color w:val="auto"/>
        </w:rPr>
        <w:drawing>
          <wp:anchor simplePos="0" relativeHeight="251657728" behindDoc="1" locked="0" layoutInCell="0" allowOverlap="1">
            <wp:simplePos x="0" y="0"/>
            <wp:positionH relativeFrom="page">
              <wp:posOffset>150495</wp:posOffset>
            </wp:positionH>
            <wp:positionV relativeFrom="page">
              <wp:posOffset>90170</wp:posOffset>
            </wp:positionV>
            <wp:extent cx="7290435" cy="2678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90435" cy="2678430"/>
                    </a:xfrm>
                    <a:prstGeom prst="rect">
                      <a:avLst/>
                    </a:prstGeom>
                    <a:noFill/>
                  </pic:spPr>
                </pic:pic>
              </a:graphicData>
            </a:graphic>
          </wp:anchor>
        </w:drawing>
        <w:t>THE OFFERING</w:t>
      </w:r>
    </w:p>
    <w:p>
      <w:pPr>
        <w:sectPr>
          <w:pgSz w:w="11900" w:h="16838" w:orient="portrait"/>
          <w:cols w:equalWidth="0" w:num="1">
            <w:col w:w="11300"/>
          </w:cols>
          <w:pgMar w:left="320" w:top="448" w:right="279" w:bottom="1440" w:gutter="0" w:footer="0" w:header="0"/>
        </w:sectPr>
      </w:pPr>
    </w:p>
    <w:p>
      <w:pPr>
        <w:spacing w:after="0" w:line="259" w:lineRule="exact"/>
        <w:rPr>
          <w:sz w:val="20"/>
          <w:szCs w:val="20"/>
          <w:color w:val="auto"/>
        </w:rPr>
      </w:pPr>
    </w:p>
    <w:p>
      <w:pPr>
        <w:spacing w:after="0"/>
        <w:rPr>
          <w:sz w:val="20"/>
          <w:szCs w:val="20"/>
          <w:color w:val="auto"/>
        </w:rPr>
      </w:pPr>
      <w:r>
        <w:rPr>
          <w:rFonts w:ascii="Arial" w:cs="Arial" w:eastAsia="Arial" w:hAnsi="Arial"/>
          <w:sz w:val="14"/>
          <w:szCs w:val="14"/>
          <w:color w:val="auto"/>
        </w:rPr>
        <w:t>Ordinary shares offered by us</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Manner of offering</w:t>
      </w:r>
    </w:p>
    <w:p>
      <w:pPr>
        <w:spacing w:after="0" w:line="388" w:lineRule="exact"/>
        <w:rPr>
          <w:sz w:val="20"/>
          <w:szCs w:val="20"/>
          <w:color w:val="auto"/>
        </w:rPr>
      </w:pPr>
    </w:p>
    <w:p>
      <w:pPr>
        <w:spacing w:after="0"/>
        <w:rPr>
          <w:sz w:val="20"/>
          <w:szCs w:val="20"/>
          <w:color w:val="auto"/>
        </w:rPr>
      </w:pPr>
      <w:r>
        <w:rPr>
          <w:rFonts w:ascii="Arial" w:cs="Arial" w:eastAsia="Arial" w:hAnsi="Arial"/>
          <w:sz w:val="16"/>
          <w:szCs w:val="16"/>
          <w:color w:val="auto"/>
        </w:rPr>
        <w:t>Use of Proceeds</w:t>
      </w:r>
    </w:p>
    <w:p>
      <w:pPr>
        <w:spacing w:after="0" w:line="20" w:lineRule="exact"/>
        <w:rPr>
          <w:sz w:val="20"/>
          <w:szCs w:val="20"/>
          <w:color w:val="auto"/>
        </w:rPr>
      </w:pPr>
      <w:r>
        <w:rPr>
          <w:sz w:val="20"/>
          <w:szCs w:val="20"/>
          <w:color w:val="auto"/>
        </w:rPr>
        <w:br w:type="column"/>
      </w:r>
    </w:p>
    <w:p>
      <w:pPr>
        <w:spacing w:after="0" w:line="239" w:lineRule="exact"/>
        <w:rPr>
          <w:sz w:val="20"/>
          <w:szCs w:val="20"/>
          <w:color w:val="auto"/>
        </w:rPr>
      </w:pPr>
    </w:p>
    <w:p>
      <w:pPr>
        <w:ind w:right="200"/>
        <w:spacing w:after="0" w:line="274" w:lineRule="auto"/>
        <w:rPr>
          <w:sz w:val="20"/>
          <w:szCs w:val="20"/>
          <w:color w:val="auto"/>
        </w:rPr>
      </w:pPr>
      <w:r>
        <w:rPr>
          <w:rFonts w:ascii="Arial" w:cs="Arial" w:eastAsia="Arial" w:hAnsi="Arial"/>
          <w:sz w:val="16"/>
          <w:szCs w:val="16"/>
          <w:color w:val="auto"/>
        </w:rPr>
        <w:t>Our ordinary shares, par value NIS 0.1 per share, having an aggregate offering price of up to $25.0 million.</w:t>
      </w:r>
    </w:p>
    <w:p>
      <w:pPr>
        <w:spacing w:after="0" w:line="152" w:lineRule="exact"/>
        <w:rPr>
          <w:sz w:val="20"/>
          <w:szCs w:val="20"/>
          <w:color w:val="auto"/>
        </w:rPr>
      </w:pPr>
    </w:p>
    <w:p>
      <w:pPr>
        <w:spacing w:after="0"/>
        <w:rPr>
          <w:sz w:val="20"/>
          <w:szCs w:val="20"/>
          <w:color w:val="auto"/>
        </w:rPr>
      </w:pPr>
      <w:r>
        <w:rPr>
          <w:rFonts w:ascii="Arial" w:cs="Arial" w:eastAsia="Arial" w:hAnsi="Arial"/>
          <w:sz w:val="14"/>
          <w:szCs w:val="14"/>
          <w:color w:val="auto"/>
        </w:rPr>
        <w:t>“At the market” offering that may be made from time to time through our sales agent, Jefferies LLC.</w:t>
      </w:r>
    </w:p>
    <w:p>
      <w:pPr>
        <w:spacing w:after="0" w:line="43" w:lineRule="exact"/>
        <w:rPr>
          <w:sz w:val="20"/>
          <w:szCs w:val="20"/>
          <w:color w:val="auto"/>
        </w:rPr>
      </w:pPr>
    </w:p>
    <w:p>
      <w:pPr>
        <w:spacing w:after="0"/>
        <w:rPr>
          <w:sz w:val="20"/>
          <w:szCs w:val="20"/>
          <w:color w:val="auto"/>
        </w:rPr>
      </w:pPr>
      <w:r>
        <w:rPr>
          <w:rFonts w:ascii="Arial" w:cs="Arial" w:eastAsia="Arial" w:hAnsi="Arial"/>
          <w:sz w:val="16"/>
          <w:szCs w:val="16"/>
          <w:color w:val="auto"/>
        </w:rPr>
        <w:t>See “Plan of Distribution.”</w:t>
      </w:r>
    </w:p>
    <w:p>
      <w:pPr>
        <w:spacing w:after="0" w:line="185" w:lineRule="exact"/>
        <w:rPr>
          <w:sz w:val="20"/>
          <w:szCs w:val="20"/>
          <w:color w:val="auto"/>
        </w:rPr>
      </w:pPr>
    </w:p>
    <w:p>
      <w:pPr>
        <w:jc w:val="both"/>
        <w:ind w:right="460"/>
        <w:spacing w:after="0" w:line="316" w:lineRule="auto"/>
        <w:rPr>
          <w:sz w:val="20"/>
          <w:szCs w:val="20"/>
          <w:color w:val="auto"/>
        </w:rPr>
      </w:pPr>
      <w:r>
        <w:rPr>
          <w:rFonts w:ascii="Arial" w:cs="Arial" w:eastAsia="Arial" w:hAnsi="Arial"/>
          <w:sz w:val="14"/>
          <w:szCs w:val="14"/>
          <w:color w:val="auto"/>
        </w:rPr>
        <w:t xml:space="preserve">We intend to use the net proceeds from this offering to fund </w:t>
      </w:r>
      <w:r>
        <w:rPr>
          <w:rFonts w:ascii="Arial" w:cs="Arial" w:eastAsia="Arial" w:hAnsi="Arial"/>
          <w:sz w:val="14"/>
          <w:szCs w:val="14"/>
          <w:color w:val="auto"/>
          <w:highlight w:val="white"/>
        </w:rPr>
        <w:t>pre-commercialization and launch</w:t>
      </w:r>
      <w:r>
        <w:rPr>
          <w:rFonts w:ascii="Arial" w:cs="Arial" w:eastAsia="Arial" w:hAnsi="Arial"/>
          <w:sz w:val="14"/>
          <w:szCs w:val="14"/>
          <w:color w:val="auto"/>
        </w:rPr>
        <w:t xml:space="preserve"> </w:t>
      </w:r>
      <w:r>
        <w:rPr>
          <w:rFonts w:ascii="Arial" w:cs="Arial" w:eastAsia="Arial" w:hAnsi="Arial"/>
          <w:sz w:val="14"/>
          <w:szCs w:val="14"/>
          <w:color w:val="auto"/>
          <w:highlight w:val="white"/>
        </w:rPr>
        <w:t xml:space="preserve">activities for Epsolay and Twyneo, research and development activities and the remainder for working capital and other general </w:t>
      </w:r>
      <w:r>
        <w:rPr>
          <w:rFonts w:ascii="Arial" w:cs="Arial" w:eastAsia="Arial" w:hAnsi="Arial"/>
          <w:sz w:val="14"/>
          <w:szCs w:val="14"/>
          <w:color w:val="auto"/>
        </w:rPr>
        <w:t>corporate purposes. See “Use of Proceeds.”</w:t>
      </w:r>
    </w:p>
    <w:p>
      <w:pPr>
        <w:spacing w:after="0" w:line="127" w:lineRule="exact"/>
        <w:rPr>
          <w:sz w:val="20"/>
          <w:szCs w:val="20"/>
          <w:color w:val="auto"/>
        </w:rPr>
      </w:pPr>
    </w:p>
    <w:p>
      <w:pPr>
        <w:sectPr>
          <w:pgSz w:w="11900" w:h="16838" w:orient="portrait"/>
          <w:cols w:equalWidth="0" w:num="2">
            <w:col w:w="4100" w:space="720"/>
            <w:col w:w="6480"/>
          </w:cols>
          <w:pgMar w:left="320" w:top="448" w:right="279" w:bottom="1440" w:gutter="0" w:footer="0" w:header="0"/>
          <w:type w:val="continuous"/>
        </w:sectPr>
      </w:pPr>
    </w:p>
    <w:p>
      <w:pPr>
        <w:spacing w:after="0"/>
        <w:tabs>
          <w:tab w:leader="none" w:pos="4800" w:val="left"/>
        </w:tabs>
        <w:rPr>
          <w:sz w:val="20"/>
          <w:szCs w:val="20"/>
          <w:color w:val="auto"/>
        </w:rPr>
      </w:pPr>
      <w:r>
        <w:rPr>
          <w:rFonts w:ascii="Arial" w:cs="Arial" w:eastAsia="Arial" w:hAnsi="Arial"/>
          <w:sz w:val="16"/>
          <w:szCs w:val="16"/>
          <w:color w:val="auto"/>
        </w:rPr>
        <w:t>Risk Factors</w:t>
      </w:r>
      <w:r>
        <w:rPr>
          <w:sz w:val="20"/>
          <w:szCs w:val="20"/>
          <w:color w:val="auto"/>
        </w:rPr>
        <w:tab/>
      </w:r>
      <w:r>
        <w:rPr>
          <w:rFonts w:ascii="Arial" w:cs="Arial" w:eastAsia="Arial" w:hAnsi="Arial"/>
          <w:sz w:val="14"/>
          <w:szCs w:val="14"/>
          <w:color w:val="auto"/>
        </w:rPr>
        <w:t>Investing in our ordinary shares involves significant risks. See “Risk Factors” on page S-8 of this</w:t>
      </w:r>
    </w:p>
    <w:p>
      <w:pPr>
        <w:spacing w:after="0" w:line="20" w:lineRule="exact"/>
        <w:rPr>
          <w:sz w:val="20"/>
          <w:szCs w:val="20"/>
          <w:color w:val="auto"/>
        </w:rPr>
      </w:pPr>
    </w:p>
    <w:p>
      <w:pPr>
        <w:ind w:left="4820"/>
        <w:spacing w:after="0" w:line="257" w:lineRule="auto"/>
        <w:rPr>
          <w:sz w:val="20"/>
          <w:szCs w:val="20"/>
          <w:color w:val="auto"/>
        </w:rPr>
      </w:pPr>
      <w:r>
        <w:rPr>
          <w:rFonts w:ascii="Arial" w:cs="Arial" w:eastAsia="Arial" w:hAnsi="Arial"/>
          <w:sz w:val="16"/>
          <w:szCs w:val="16"/>
          <w:color w:val="auto"/>
        </w:rPr>
        <w:t>prospectus supplement, and under similar headings in other documents incorporated by reference into this prospectus supplement and the accompanying prospectus.</w:t>
      </w:r>
    </w:p>
    <w:p>
      <w:pPr>
        <w:spacing w:after="0" w:line="166" w:lineRule="exact"/>
        <w:rPr>
          <w:sz w:val="20"/>
          <w:szCs w:val="20"/>
          <w:color w:val="auto"/>
        </w:rPr>
      </w:pPr>
    </w:p>
    <w:p>
      <w:pPr>
        <w:spacing w:after="0"/>
        <w:tabs>
          <w:tab w:leader="none" w:pos="4800" w:val="left"/>
        </w:tabs>
        <w:rPr>
          <w:sz w:val="20"/>
          <w:szCs w:val="20"/>
          <w:color w:val="auto"/>
        </w:rPr>
      </w:pPr>
      <w:r>
        <w:rPr>
          <w:rFonts w:ascii="Arial" w:cs="Arial" w:eastAsia="Arial" w:hAnsi="Arial"/>
          <w:sz w:val="16"/>
          <w:szCs w:val="16"/>
          <w:color w:val="auto"/>
        </w:rPr>
        <w:t>Nasdaq Global Market symbol</w:t>
      </w:r>
      <w:r>
        <w:rPr>
          <w:sz w:val="20"/>
          <w:szCs w:val="20"/>
          <w:color w:val="auto"/>
        </w:rPr>
        <w:tab/>
      </w:r>
      <w:r>
        <w:rPr>
          <w:rFonts w:ascii="Arial" w:cs="Arial" w:eastAsia="Arial" w:hAnsi="Arial"/>
          <w:sz w:val="16"/>
          <w:szCs w:val="16"/>
          <w:color w:val="auto"/>
        </w:rPr>
        <w:t>“SLGL”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40"/>
        <w:spacing w:after="0"/>
        <w:rPr>
          <w:sz w:val="20"/>
          <w:szCs w:val="20"/>
          <w:color w:val="auto"/>
        </w:rPr>
      </w:pPr>
      <w:r>
        <w:rPr>
          <w:rFonts w:ascii="Arial" w:cs="Arial" w:eastAsia="Arial" w:hAnsi="Arial"/>
          <w:sz w:val="19"/>
          <w:szCs w:val="19"/>
          <w:color w:val="auto"/>
        </w:rPr>
        <w:t>S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wp:posOffset>
            </wp:positionH>
            <wp:positionV relativeFrom="paragraph">
              <wp:posOffset>40005</wp:posOffset>
            </wp:positionV>
            <wp:extent cx="7262495" cy="152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00"/>
          </w:cols>
          <w:pgMar w:left="320" w:top="448" w:right="27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9"/>
          <w:szCs w:val="19"/>
          <w:b w:val="1"/>
          <w:bCs w:val="1"/>
          <w:color w:val="auto"/>
        </w:rPr>
        <w:t>RISK FACTORS</w:t>
      </w:r>
    </w:p>
    <w:p>
      <w:pPr>
        <w:spacing w:after="0" w:line="265" w:lineRule="exact"/>
        <w:rPr>
          <w:sz w:val="20"/>
          <w:szCs w:val="20"/>
          <w:color w:val="auto"/>
        </w:rPr>
      </w:pPr>
    </w:p>
    <w:p>
      <w:pPr>
        <w:jc w:val="both"/>
        <w:ind w:firstLine="572"/>
        <w:spacing w:after="0" w:line="299" w:lineRule="auto"/>
        <w:rPr>
          <w:sz w:val="20"/>
          <w:szCs w:val="20"/>
          <w:color w:val="auto"/>
        </w:rPr>
      </w:pPr>
      <w:r>
        <w:rPr>
          <w:rFonts w:ascii="Arial" w:cs="Arial" w:eastAsia="Arial" w:hAnsi="Arial"/>
          <w:sz w:val="17"/>
          <w:szCs w:val="17"/>
          <w:i w:val="1"/>
          <w:iCs w:val="1"/>
          <w:color w:val="auto"/>
        </w:rPr>
        <w:t>An investment in our securities involves a high degree of risk. Our business, financial condition or results of operations could be adversely affected by any of these risks. You should carefully consider the risk factors discussed below and the risk factors under the caption “Item 3: Key Information—D. Risk Factors” in our Annual Report on Form 20-F for the year ended December 31, 2018, and in any other filing we make with the SEC subsequent to the date of this prospectus supplement that is incorporated herein by reference, before making your investment decision. The risks and uncertainties we have described are not the only ones we face. Additional risks and uncertainties not presently known to us or that we currently deem immaterial may also affect our operations. Past financial performance may not be a reliable indicator of future performance, and historical trends should not be used to anticipate results or trends in future periods. If any of these risks actually occurs, our business, business prospects, financial condition or results of operations could be seriously harmed. This could cause the trading price of our ordinary shares to decline, resulting in a loss of all or part of your investment. Please also read carefully the section below entitled “Forward-Looking Statements.”</w:t>
      </w:r>
    </w:p>
    <w:p>
      <w:pPr>
        <w:spacing w:after="0" w:line="18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Risks Related to the Offering and Our Ordinary Shares</w:t>
      </w:r>
    </w:p>
    <w:p>
      <w:pPr>
        <w:spacing w:after="0" w:line="265" w:lineRule="exact"/>
        <w:rPr>
          <w:sz w:val="20"/>
          <w:szCs w:val="20"/>
          <w:color w:val="auto"/>
        </w:rPr>
      </w:pPr>
    </w:p>
    <w:p>
      <w:pPr>
        <w:ind w:right="120"/>
        <w:spacing w:after="0" w:line="287" w:lineRule="auto"/>
        <w:rPr>
          <w:sz w:val="20"/>
          <w:szCs w:val="20"/>
          <w:color w:val="auto"/>
        </w:rPr>
      </w:pPr>
      <w:r>
        <w:rPr>
          <w:rFonts w:ascii="Arial" w:cs="Arial" w:eastAsia="Arial" w:hAnsi="Arial"/>
          <w:sz w:val="19"/>
          <w:szCs w:val="19"/>
          <w:b w:val="1"/>
          <w:bCs w:val="1"/>
          <w:i w:val="1"/>
          <w:iCs w:val="1"/>
          <w:color w:val="auto"/>
        </w:rPr>
        <w:t>Our management and board of directors will have broad discretion as to the use of the net proceeds from this offering, and we may not use them effectively.</w:t>
      </w:r>
    </w:p>
    <w:p>
      <w:pPr>
        <w:spacing w:after="0" w:line="193" w:lineRule="exact"/>
        <w:rPr>
          <w:sz w:val="20"/>
          <w:szCs w:val="20"/>
          <w:color w:val="auto"/>
        </w:rPr>
      </w:pPr>
    </w:p>
    <w:p>
      <w:pPr>
        <w:ind w:right="40" w:firstLine="572"/>
        <w:spacing w:after="0" w:line="266" w:lineRule="auto"/>
        <w:rPr>
          <w:sz w:val="20"/>
          <w:szCs w:val="20"/>
          <w:color w:val="auto"/>
        </w:rPr>
      </w:pPr>
      <w:r>
        <w:rPr>
          <w:rFonts w:ascii="Arial" w:cs="Arial" w:eastAsia="Arial" w:hAnsi="Arial"/>
          <w:sz w:val="19"/>
          <w:szCs w:val="19"/>
          <w:color w:val="auto"/>
        </w:rPr>
        <w:t>We intend to use the net proceeds from this offering to fund pre-commercialization and launch activities for Epsolay and Twyneo, research and development activities and the remainder for working capital and other general corporate purposes. However, our management and board of directors will have broad discretion in the application of the net proceeds from this offering, and you will be relying on their judgment regarding the application of these proceeds, which can be different from that contemplated at the time of this offering. Our management and board of directors could spend the proceeds in ways that do not improve our results of operations or enhance the value of our ordinary shares. Our failure to apply these funds effectively could have a material adverse effect on our business, delay the development of our products and cause the price of our ordinary shares to decline.</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You will experience immediate and substantial dilution in the book value per ordinary share you purchase.</w:t>
      </w:r>
    </w:p>
    <w:p>
      <w:pPr>
        <w:spacing w:after="0" w:line="259" w:lineRule="exact"/>
        <w:rPr>
          <w:sz w:val="20"/>
          <w:szCs w:val="20"/>
          <w:color w:val="auto"/>
        </w:rPr>
      </w:pPr>
    </w:p>
    <w:p>
      <w:pPr>
        <w:ind w:right="80" w:firstLine="572"/>
        <w:spacing w:after="0" w:line="281" w:lineRule="auto"/>
        <w:rPr>
          <w:sz w:val="20"/>
          <w:szCs w:val="20"/>
          <w:color w:val="auto"/>
        </w:rPr>
      </w:pPr>
      <w:r>
        <w:rPr>
          <w:rFonts w:ascii="Arial" w:cs="Arial" w:eastAsia="Arial" w:hAnsi="Arial"/>
          <w:sz w:val="18"/>
          <w:szCs w:val="18"/>
          <w:color w:val="auto"/>
        </w:rPr>
        <w:t>The offering price per share in this offering may exceed the net tangible book value per share of our ordinary shares outstanding prior to this offering. Assuming that an aggregate of 1,676,727 ordinary shares are sold during the term of the Sale Agreement with Jefferies LLC, or Jefferies, at a price of $14.91 per share (the last reported sale price of our ordinary shares on the Nasdaq Global Market on January 8, 2020), for aggregate gross proceeds of approximately $25.0 million, and after deducting commissions and estimated offering expenses payable by us, you will experience immediate dilution of $11.17 per share, representing the difference between the assumed offering price per share and our as adjusted net tangible book value per share as of September 30, 2019 after giving effect to this offering. If holders of outstanding options to acquire our ordinary shares exercise those options at prices below the public offering price per share, and upon vesting of outstanding restricted share units that we have granted, you will experience further dilution. See the section titled “Dilution” below for a more detailed illustration of the dilution you would incur if you participate in this offering.</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 large number of shares may be sold in the market following this offering, which may depress the market price of our ordinary shares.</w:t>
      </w:r>
    </w:p>
    <w:p>
      <w:pPr>
        <w:spacing w:after="0" w:line="282" w:lineRule="exact"/>
        <w:rPr>
          <w:sz w:val="20"/>
          <w:szCs w:val="20"/>
          <w:color w:val="auto"/>
        </w:rPr>
      </w:pPr>
    </w:p>
    <w:p>
      <w:pPr>
        <w:ind w:right="100" w:firstLine="572"/>
        <w:spacing w:after="0" w:line="270" w:lineRule="auto"/>
        <w:rPr>
          <w:sz w:val="20"/>
          <w:szCs w:val="20"/>
          <w:color w:val="auto"/>
        </w:rPr>
      </w:pPr>
      <w:r>
        <w:rPr>
          <w:rFonts w:ascii="Arial" w:cs="Arial" w:eastAsia="Arial" w:hAnsi="Arial"/>
          <w:sz w:val="19"/>
          <w:szCs w:val="19"/>
          <w:color w:val="auto"/>
        </w:rPr>
        <w:t>All of our ordinary shares sold in this offering will be freely tradable without restriction or further registration under the Securities Act. As a result, a substantial number of our ordinary shares may be sold in the public market following this offering, which may cause the market price of our ordinary shares to decline. This could make it more difficult for you to sell your ordinary shares at a time and price that you deem appropriate and could impair our ability to raise capital through the sale of additional equity securities.</w:t>
      </w:r>
    </w:p>
    <w:p>
      <w:pPr>
        <w:spacing w:after="0" w:line="20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You may experience further dilution as a result of future equity offerings.</w:t>
      </w:r>
    </w:p>
    <w:p>
      <w:pPr>
        <w:spacing w:after="0" w:line="259" w:lineRule="exact"/>
        <w:rPr>
          <w:sz w:val="20"/>
          <w:szCs w:val="20"/>
          <w:color w:val="auto"/>
        </w:rPr>
      </w:pPr>
    </w:p>
    <w:p>
      <w:pPr>
        <w:ind w:firstLine="572"/>
        <w:spacing w:after="0" w:line="307" w:lineRule="auto"/>
        <w:rPr>
          <w:sz w:val="20"/>
          <w:szCs w:val="20"/>
          <w:color w:val="auto"/>
        </w:rPr>
      </w:pPr>
      <w:r>
        <w:rPr>
          <w:rFonts w:ascii="Arial" w:cs="Arial" w:eastAsia="Arial" w:hAnsi="Arial"/>
          <w:sz w:val="17"/>
          <w:szCs w:val="17"/>
          <w:color w:val="auto"/>
        </w:rPr>
        <w:t>To raise additional capital, we may in the future offer additional ordinary shares or other securities convertible into or exchangeable for our ordinary shares at prices that may not be the same as the price per share in this offering. We may sell ordinary shares or other securities in any other offering at a price per share that is less than the price per share paid by investors in this offering, and investors purchasing shares or other securities in the future could have rights superior to existing shareholders. The price per share at which we sell additional ordinary shares, or securities convertible or exchangeable into ordinary shares, in future transactions may be higher or lower than the price per share paid by investors in this offering.</w:t>
      </w:r>
    </w:p>
    <w:p>
      <w:pPr>
        <w:spacing w:after="0" w:line="9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sectPr>
      </w:pPr>
    </w:p>
    <w:bookmarkStart w:id="13" w:name="page14"/>
    <w:bookmarkEnd w:id="13"/>
    <w:p>
      <w:pPr>
        <w:spacing w:after="0"/>
        <w:rPr>
          <w:sz w:val="20"/>
          <w:szCs w:val="20"/>
          <w:color w:val="auto"/>
        </w:rPr>
      </w:pPr>
      <w:r>
        <w:rPr>
          <w:rFonts w:ascii="Arial" w:cs="Arial" w:eastAsia="Arial" w:hAnsi="Arial"/>
          <w:sz w:val="19"/>
          <w:szCs w:val="19"/>
          <w:b w:val="1"/>
          <w:bCs w:val="1"/>
          <w:i w:val="1"/>
          <w:iCs w:val="1"/>
          <w:color w:val="auto"/>
        </w:rPr>
        <w:t>The actual number of ordinary shares we will issue under the Sale Agreement, at any one time or in total, is uncertain.</w:t>
      </w:r>
    </w:p>
    <w:p>
      <w:pPr>
        <w:spacing w:after="0" w:line="259" w:lineRule="exact"/>
        <w:rPr>
          <w:sz w:val="20"/>
          <w:szCs w:val="20"/>
          <w:color w:val="auto"/>
        </w:rPr>
      </w:pPr>
    </w:p>
    <w:p>
      <w:pPr>
        <w:jc w:val="both"/>
        <w:ind w:right="60" w:firstLine="572"/>
        <w:spacing w:after="0" w:line="290" w:lineRule="auto"/>
        <w:rPr>
          <w:sz w:val="20"/>
          <w:szCs w:val="20"/>
          <w:color w:val="auto"/>
        </w:rPr>
      </w:pPr>
      <w:r>
        <w:rPr>
          <w:rFonts w:ascii="Arial" w:cs="Arial" w:eastAsia="Arial" w:hAnsi="Arial"/>
          <w:sz w:val="18"/>
          <w:szCs w:val="18"/>
          <w:color w:val="auto"/>
        </w:rPr>
        <w:t>Subject to certain limitations in the Sale Agreement and compliance with applicable law, we have the discretion to deliver an issuance notice to Jefferies at any time during the term of the Sale Agreement. Because the number of shares that are sold by Jefferies after delivery of the issuance notice to Jefferies will fluctuate based on the market price of the ordinary shares during the sales period and any limits we set with Jefferies, it is not possible at this stage to predict the number of ordinary shares that will ultimately be issued.</w:t>
      </w:r>
    </w:p>
    <w:p>
      <w:pPr>
        <w:spacing w:after="0" w:line="192" w:lineRule="exact"/>
        <w:rPr>
          <w:sz w:val="20"/>
          <w:szCs w:val="20"/>
          <w:color w:val="auto"/>
        </w:rPr>
      </w:pPr>
    </w:p>
    <w:p>
      <w:pPr>
        <w:ind w:right="360"/>
        <w:spacing w:after="0" w:line="386" w:lineRule="auto"/>
        <w:rPr>
          <w:sz w:val="20"/>
          <w:szCs w:val="20"/>
          <w:color w:val="auto"/>
        </w:rPr>
      </w:pPr>
      <w:r>
        <w:rPr>
          <w:rFonts w:ascii="Arial" w:cs="Arial" w:eastAsia="Arial" w:hAnsi="Arial"/>
          <w:sz w:val="16"/>
          <w:szCs w:val="16"/>
          <w:b w:val="1"/>
          <w:bCs w:val="1"/>
          <w:i w:val="1"/>
          <w:iCs w:val="1"/>
          <w:color w:val="auto"/>
        </w:rPr>
        <w:t>We may be considered to be a passive foreign investment company for U.S. federal income tax purposes for the current tax year and possibly thereafter, which could result in materially adverse U.S. federal income tax consequences to U.S. Holders of our ordinary shares.</w:t>
      </w:r>
    </w:p>
    <w:p>
      <w:pPr>
        <w:spacing w:after="0" w:line="124" w:lineRule="exact"/>
        <w:rPr>
          <w:sz w:val="20"/>
          <w:szCs w:val="20"/>
          <w:color w:val="auto"/>
        </w:rPr>
      </w:pPr>
    </w:p>
    <w:p>
      <w:pPr>
        <w:ind w:firstLine="572"/>
        <w:spacing w:after="0" w:line="298" w:lineRule="auto"/>
        <w:rPr>
          <w:sz w:val="20"/>
          <w:szCs w:val="20"/>
          <w:color w:val="auto"/>
        </w:rPr>
      </w:pPr>
      <w:r>
        <w:rPr>
          <w:rFonts w:ascii="Arial" w:cs="Arial" w:eastAsia="Arial" w:hAnsi="Arial"/>
          <w:sz w:val="17"/>
          <w:szCs w:val="17"/>
          <w:color w:val="auto"/>
        </w:rPr>
        <w:t>A non-U.S. entity treated as a corporation for U.S. federal income tax purposes will be a passive foreign investment company, or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Starting in the first quarter of 2019, we began generating revenue under our collaboration agreement with Perrigo for the development of the generic version of Zovirax® (acyclovir) cream, 5%. We expect to generate substantial revenue under this agreement for our 2020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188" w:lineRule="exact"/>
        <w:rPr>
          <w:sz w:val="20"/>
          <w:szCs w:val="20"/>
          <w:color w:val="auto"/>
        </w:rPr>
      </w:pPr>
    </w:p>
    <w:p>
      <w:pPr>
        <w:ind w:firstLine="572"/>
        <w:spacing w:after="0" w:line="282" w:lineRule="auto"/>
        <w:rPr>
          <w:sz w:val="20"/>
          <w:szCs w:val="20"/>
          <w:color w:val="auto"/>
        </w:rPr>
      </w:pPr>
      <w:r>
        <w:rPr>
          <w:rFonts w:ascii="Arial" w:cs="Arial" w:eastAsia="Arial" w:hAnsi="Arial"/>
          <w:sz w:val="18"/>
          <w:szCs w:val="18"/>
          <w:color w:val="auto"/>
        </w:rPr>
        <w:t>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other ambiguities in applying the PFIC test to us. If we are considered a PFIC, material adverse U.S. federal income tax consequences could apply to U.S. Holders (as defined in the section headed “Material Tax Considerations—U.S. Federal Income Tax Considerations”) of our ordinary shares with respect to any “excess distribution” received from us and any gain from a sale or other disposition of our ordinary shares. Potential investors are strongly advised to consult their own advisors regarding the consequences to them if we were to be considered a PFIC. Please see “Material Tax Considerations—U.S. Federal Income Tax Considerations—Passive Foreign Investment Company” for more information.</w:t>
      </w:r>
    </w:p>
    <w:p>
      <w:pPr>
        <w:spacing w:after="0" w:line="356" w:lineRule="exact"/>
        <w:rPr>
          <w:sz w:val="20"/>
          <w:szCs w:val="20"/>
          <w:color w:val="auto"/>
        </w:rPr>
      </w:pPr>
    </w:p>
    <w:p>
      <w:pPr>
        <w:jc w:val="center"/>
        <w:ind w:right="-39"/>
        <w:spacing w:after="0"/>
        <w:rPr>
          <w:sz w:val="20"/>
          <w:szCs w:val="20"/>
          <w:color w:val="auto"/>
        </w:rPr>
      </w:pPr>
      <w:r>
        <w:rPr>
          <w:rFonts w:ascii="Arial" w:cs="Arial" w:eastAsia="Arial" w:hAnsi="Arial"/>
          <w:sz w:val="19"/>
          <w:szCs w:val="19"/>
          <w:color w:val="auto"/>
        </w:rPr>
        <w:t>S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14" w:name="page15"/>
    <w:bookmarkEnd w:id="14"/>
    <w:p>
      <w:pPr>
        <w:jc w:val="center"/>
        <w:ind w:right="-19"/>
        <w:spacing w:after="0"/>
        <w:rPr>
          <w:sz w:val="20"/>
          <w:szCs w:val="20"/>
          <w:color w:val="auto"/>
        </w:rPr>
      </w:pPr>
      <w:r>
        <w:rPr>
          <w:rFonts w:ascii="Arial" w:cs="Arial" w:eastAsia="Arial" w:hAnsi="Arial"/>
          <w:sz w:val="19"/>
          <w:szCs w:val="19"/>
          <w:b w:val="1"/>
          <w:bCs w:val="1"/>
          <w:color w:val="auto"/>
        </w:rPr>
        <w:t>FORWARD-LOOKING STATEMENTS</w:t>
      </w:r>
    </w:p>
    <w:p>
      <w:pPr>
        <w:spacing w:after="0" w:line="265" w:lineRule="exact"/>
        <w:rPr>
          <w:sz w:val="20"/>
          <w:szCs w:val="20"/>
          <w:color w:val="auto"/>
        </w:rPr>
      </w:pPr>
    </w:p>
    <w:p>
      <w:pPr>
        <w:ind w:firstLine="572"/>
        <w:spacing w:after="0" w:line="301" w:lineRule="auto"/>
        <w:rPr>
          <w:sz w:val="20"/>
          <w:szCs w:val="20"/>
          <w:color w:val="auto"/>
        </w:rPr>
      </w:pPr>
      <w:r>
        <w:rPr>
          <w:rFonts w:ascii="Arial" w:cs="Arial" w:eastAsia="Arial" w:hAnsi="Arial"/>
          <w:sz w:val="17"/>
          <w:szCs w:val="17"/>
          <w:color w:val="auto"/>
        </w:rPr>
        <w:t>We make forward-looking statements in this prospectus supplement, the accompanying prospectus and the other documents we have filed with the SEC that are incorporated herein and therein by reference,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252" w:lineRule="exact"/>
        <w:rPr>
          <w:sz w:val="20"/>
          <w:szCs w:val="20"/>
          <w:color w:val="auto"/>
        </w:rPr>
      </w:pPr>
    </w:p>
    <w:p>
      <w:pPr>
        <w:ind w:left="560" w:right="340" w:hanging="281"/>
        <w:spacing w:after="0" w:line="274" w:lineRule="auto"/>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adequacy of our financial and other resources, particularly in light of our history of recurring losses and the uncertainty regarding the adequacy of our liquidity to pursue our complete business objectives;</w:t>
      </w:r>
    </w:p>
    <w:p>
      <w:pPr>
        <w:spacing w:after="0" w:line="56"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complete the development of our product candidates;</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find suitable co-development partners;</w:t>
      </w:r>
    </w:p>
    <w:p>
      <w:pPr>
        <w:spacing w:after="0" w:line="102" w:lineRule="exact"/>
        <w:rPr>
          <w:rFonts w:ascii="Arial" w:cs="Arial" w:eastAsia="Arial" w:hAnsi="Arial"/>
          <w:sz w:val="16"/>
          <w:szCs w:val="16"/>
          <w:color w:val="auto"/>
        </w:rPr>
      </w:pPr>
    </w:p>
    <w:p>
      <w:pPr>
        <w:ind w:left="560" w:hanging="281"/>
        <w:spacing w:after="0" w:line="274" w:lineRule="auto"/>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56"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commercialize our pharmaceutical product candidates;</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obtain and maintain adequate protection of our intellectual property;</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manufacture our product candidates in commercial quantities, at an adequate quality or at an acceptable cost;</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establish adequate sales, marketing and distribution channels;</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acceptance of our product candidates by healthcare professionals and patients;</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possibility that we may face third-party claims of intellectual property infringement;</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102" w:lineRule="exact"/>
        <w:rPr>
          <w:rFonts w:ascii="Arial" w:cs="Arial" w:eastAsia="Arial" w:hAnsi="Arial"/>
          <w:sz w:val="16"/>
          <w:szCs w:val="16"/>
          <w:color w:val="auto"/>
        </w:rPr>
      </w:pPr>
    </w:p>
    <w:p>
      <w:pPr>
        <w:ind w:left="560" w:right="860" w:hanging="281"/>
        <w:spacing w:after="0" w:line="274" w:lineRule="auto"/>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56"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potential product liability claims;</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potential adverse federal, state and local government regulation in the United States, Europe or Israel; and</w:t>
      </w:r>
    </w:p>
    <w:p>
      <w:pPr>
        <w:spacing w:after="0" w:line="102" w:lineRule="exact"/>
        <w:rPr>
          <w:rFonts w:ascii="Arial" w:cs="Arial" w:eastAsia="Arial" w:hAnsi="Arial"/>
          <w:sz w:val="16"/>
          <w:szCs w:val="16"/>
          <w:color w:val="auto"/>
        </w:rPr>
      </w:pPr>
    </w:p>
    <w:p>
      <w:pPr>
        <w:ind w:left="560" w:hanging="281"/>
        <w:spacing w:after="0"/>
        <w:tabs>
          <w:tab w:leader="none" w:pos="560" w:val="left"/>
        </w:tabs>
        <w:numPr>
          <w:ilvl w:val="0"/>
          <w:numId w:val="3"/>
        </w:numPr>
        <w:rPr>
          <w:rFonts w:ascii="Arial" w:cs="Arial" w:eastAsia="Arial" w:hAnsi="Arial"/>
          <w:sz w:val="16"/>
          <w:szCs w:val="16"/>
          <w:color w:val="auto"/>
        </w:rPr>
      </w:pPr>
      <w:r>
        <w:rPr>
          <w:rFonts w:ascii="Arial" w:cs="Arial" w:eastAsia="Arial" w:hAnsi="Arial"/>
          <w:sz w:val="16"/>
          <w:szCs w:val="16"/>
          <w:color w:val="auto"/>
        </w:rPr>
        <w:t>loss or retirement of key executives and research scientists.</w:t>
      </w:r>
    </w:p>
    <w:p>
      <w:pPr>
        <w:spacing w:after="0" w:line="251" w:lineRule="exact"/>
        <w:rPr>
          <w:sz w:val="20"/>
          <w:szCs w:val="20"/>
          <w:color w:val="auto"/>
        </w:rPr>
      </w:pPr>
    </w:p>
    <w:p>
      <w:pPr>
        <w:ind w:right="20" w:firstLine="572"/>
        <w:spacing w:after="0" w:line="302"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prospectus supplement and in the accompanying prospectus, and under the heading “Risk Factors” in our most recent Annual Report on Form 20-F and in our other filings with the SEC that are incorporated by reference in this prospectus supplement and the accompanying prospectus, for a discussion of these and other risks that relate to our business and investing in our ordinary shares. The forward-looking statements contained in this prospectus supplement, the accompanying prospectus and the other documents we have filed with the SEC that are incorporated herein and therein by reference are expressly qualified in their entirety by this cautionary statement. Except as required by law, we undertake no obligation to update publicly any forward-looking statements after the date of this prospectus supplement to conform these statements to actual results or to changes in our expectations.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00"/>
          </w:cols>
          <w:pgMar w:left="240" w:top="126" w:right="259" w:bottom="1440" w:gutter="0" w:footer="0" w:header="0"/>
        </w:sectPr>
      </w:pPr>
    </w:p>
    <w:bookmarkStart w:id="15" w:name="page16"/>
    <w:bookmarkEnd w:id="15"/>
    <w:p>
      <w:pPr>
        <w:jc w:val="center"/>
        <w:ind w:right="-19"/>
        <w:spacing w:after="0"/>
        <w:rPr>
          <w:sz w:val="20"/>
          <w:szCs w:val="20"/>
          <w:color w:val="auto"/>
        </w:rPr>
      </w:pPr>
      <w:r>
        <w:rPr>
          <w:rFonts w:ascii="Arial" w:cs="Arial" w:eastAsia="Arial" w:hAnsi="Arial"/>
          <w:sz w:val="19"/>
          <w:szCs w:val="19"/>
          <w:b w:val="1"/>
          <w:bCs w:val="1"/>
          <w:color w:val="auto"/>
        </w:rPr>
        <w:t>USE OF PROCEEDS</w:t>
      </w:r>
    </w:p>
    <w:p>
      <w:pPr>
        <w:spacing w:after="0" w:line="265" w:lineRule="exact"/>
        <w:rPr>
          <w:sz w:val="20"/>
          <w:szCs w:val="20"/>
          <w:color w:val="auto"/>
        </w:rPr>
      </w:pPr>
    </w:p>
    <w:p>
      <w:pPr>
        <w:ind w:right="60" w:firstLine="572"/>
        <w:spacing w:after="0" w:line="268" w:lineRule="auto"/>
        <w:rPr>
          <w:sz w:val="20"/>
          <w:szCs w:val="20"/>
          <w:color w:val="auto"/>
        </w:rPr>
      </w:pPr>
      <w:r>
        <w:rPr>
          <w:rFonts w:ascii="Arial" w:cs="Arial" w:eastAsia="Arial" w:hAnsi="Arial"/>
          <w:sz w:val="19"/>
          <w:szCs w:val="19"/>
          <w:color w:val="auto"/>
        </w:rPr>
        <w:t>We may issue and sell our ordinary shares having aggregate sales proceeds of up to $25.0 million from time to time. The amount of proceeds from this offering will depend upon the number of ordinary shares sold and the market price at which they are sold. Because there is no minimum offering amount required as a condition of this offering, the actual total public offering amount, commissions and proceeds to us, if any, are not determinable at this time. There can be no assurance that we will be able to sell any shares under or fully utilize the Sale Agreement with Jefferies as a source of financing.</w:t>
      </w:r>
    </w:p>
    <w:p>
      <w:pPr>
        <w:spacing w:after="0" w:line="211" w:lineRule="exact"/>
        <w:rPr>
          <w:sz w:val="20"/>
          <w:szCs w:val="20"/>
          <w:color w:val="auto"/>
        </w:rPr>
      </w:pPr>
    </w:p>
    <w:p>
      <w:pPr>
        <w:jc w:val="both"/>
        <w:ind w:right="340" w:firstLine="572"/>
        <w:spacing w:after="0" w:line="274" w:lineRule="auto"/>
        <w:rPr>
          <w:sz w:val="20"/>
          <w:szCs w:val="20"/>
          <w:color w:val="auto"/>
        </w:rPr>
      </w:pPr>
      <w:r>
        <w:rPr>
          <w:rFonts w:ascii="Arial" w:cs="Arial" w:eastAsia="Arial" w:hAnsi="Arial"/>
          <w:sz w:val="19"/>
          <w:szCs w:val="19"/>
          <w:color w:val="auto"/>
        </w:rPr>
        <w:t>We intend to use the net proceeds from the sale of securities offered under this Prospectus Supplement to fund pre-commercialization and launch activities for Epsolay and Twyneo, research and development activities and the remainder for working capital and other general corporate purposes.</w:t>
      </w:r>
    </w:p>
    <w:p>
      <w:pPr>
        <w:spacing w:after="0" w:line="206" w:lineRule="exact"/>
        <w:rPr>
          <w:sz w:val="20"/>
          <w:szCs w:val="20"/>
          <w:color w:val="auto"/>
        </w:rPr>
      </w:pPr>
    </w:p>
    <w:p>
      <w:pPr>
        <w:ind w:firstLine="572"/>
        <w:spacing w:after="0" w:line="281" w:lineRule="auto"/>
        <w:rPr>
          <w:sz w:val="20"/>
          <w:szCs w:val="20"/>
          <w:color w:val="auto"/>
        </w:rPr>
      </w:pPr>
      <w:r>
        <w:rPr>
          <w:rFonts w:ascii="Arial" w:cs="Arial" w:eastAsia="Arial" w:hAnsi="Arial"/>
          <w:sz w:val="18"/>
          <w:szCs w:val="18"/>
          <w:color w:val="auto"/>
        </w:rPr>
        <w:t>Although we have identified some potential uses of the net proceeds to be received upon completion of this offering, we cannot specify these uses with certainty. Our expected use of net proceeds from this offering represents our intentions based on our present plans and business conditions, which could change as our plans and business conditions evolve. The amounts and timing of our actual expenditures may vary significantly depending on numerous factors, including the progress of our product candidate development, the status of, and results from, clinical trials, as well as any collaborations that we have entered into or may enter into with third parties for our product candidates, and any unforeseen cash needs. As a result, our management and board of directors will have broad discretion in the application of the net proceeds from this offering and could use them for purposes other than those contemplated at the time of this offering. Our shareholders may not agree with the manner in which our management chooses to allocate and spend the net proceeds. Moreover, our management may use the net proceeds for corporate purposes that may not result in our being profitable or increase our market value.</w:t>
      </w:r>
    </w:p>
    <w:p>
      <w:pPr>
        <w:spacing w:after="0" w:line="204" w:lineRule="exact"/>
        <w:rPr>
          <w:sz w:val="20"/>
          <w:szCs w:val="20"/>
          <w:color w:val="auto"/>
        </w:rPr>
      </w:pPr>
    </w:p>
    <w:p>
      <w:pPr>
        <w:ind w:right="760" w:firstLine="572"/>
        <w:spacing w:after="0" w:line="287" w:lineRule="auto"/>
        <w:rPr>
          <w:sz w:val="20"/>
          <w:szCs w:val="20"/>
          <w:color w:val="auto"/>
        </w:rPr>
      </w:pPr>
      <w:r>
        <w:rPr>
          <w:rFonts w:ascii="Arial" w:cs="Arial" w:eastAsia="Arial" w:hAnsi="Arial"/>
          <w:sz w:val="19"/>
          <w:szCs w:val="19"/>
          <w:color w:val="auto"/>
        </w:rPr>
        <w:t>Until we use the net proceeds of this offering, we intend to deploy the funds in either (i) cash and cash equivalents or (ii) short-term, investment grade, interest-bearing instruments, consistent with our investment policy.</w:t>
      </w:r>
    </w:p>
    <w:p>
      <w:pPr>
        <w:spacing w:after="0" w:line="336"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9"/>
          <w:szCs w:val="19"/>
          <w:b w:val="1"/>
          <w:bCs w:val="1"/>
          <w:color w:val="auto"/>
        </w:rPr>
        <w:t>CAPITALIZATION</w:t>
      </w:r>
    </w:p>
    <w:p>
      <w:pPr>
        <w:spacing w:after="0" w:line="265"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table below sets forth our cash, cash equivalents and marketable securities and capitalization as of September 30, 2019:</w:t>
      </w:r>
    </w:p>
    <w:p>
      <w:pPr>
        <w:spacing w:after="0" w:line="253" w:lineRule="exact"/>
        <w:rPr>
          <w:sz w:val="20"/>
          <w:szCs w:val="20"/>
          <w:color w:val="auto"/>
        </w:rPr>
      </w:pPr>
    </w:p>
    <w:p>
      <w:pPr>
        <w:ind w:left="560" w:hanging="278"/>
        <w:spacing w:after="0"/>
        <w:tabs>
          <w:tab w:leader="none" w:pos="5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on an actual basis; and</w:t>
      </w:r>
    </w:p>
    <w:p>
      <w:pPr>
        <w:spacing w:after="0" w:line="221" w:lineRule="exact"/>
        <w:rPr>
          <w:rFonts w:ascii="Arial" w:cs="Arial" w:eastAsia="Arial" w:hAnsi="Arial"/>
          <w:sz w:val="16"/>
          <w:szCs w:val="16"/>
          <w:color w:val="auto"/>
        </w:rPr>
      </w:pPr>
    </w:p>
    <w:p>
      <w:pPr>
        <w:ind w:left="560" w:right="160" w:hanging="278"/>
        <w:spacing w:after="0" w:line="348" w:lineRule="auto"/>
        <w:tabs>
          <w:tab w:leader="none" w:pos="560" w:val="left"/>
        </w:tabs>
        <w:numPr>
          <w:ilvl w:val="0"/>
          <w:numId w:val="4"/>
        </w:numPr>
        <w:rPr>
          <w:rFonts w:ascii="Arial" w:cs="Arial" w:eastAsia="Arial" w:hAnsi="Arial"/>
          <w:sz w:val="14"/>
          <w:szCs w:val="14"/>
          <w:color w:val="auto"/>
        </w:rPr>
      </w:pPr>
      <w:r>
        <w:rPr>
          <w:rFonts w:ascii="Arial" w:cs="Arial" w:eastAsia="Arial" w:hAnsi="Arial"/>
          <w:sz w:val="14"/>
          <w:szCs w:val="14"/>
          <w:color w:val="auto"/>
        </w:rPr>
        <w:t>on an as adjusted basis to reflect the sale of an aggregate of 1,676,727 ordinary shares in this offering at an assumed offering price of $14.91 per share (the last reported sale price of our ordinary shares on the Nasdaq Global Market on January 8, 2020), after deducting commissions and estimated offering expenses payable by us.</w:t>
      </w:r>
    </w:p>
    <w:p>
      <w:pPr>
        <w:spacing w:after="0" w:line="159" w:lineRule="exact"/>
        <w:rPr>
          <w:sz w:val="20"/>
          <w:szCs w:val="20"/>
          <w:color w:val="auto"/>
        </w:rPr>
      </w:pPr>
    </w:p>
    <w:p>
      <w:pPr>
        <w:ind w:right="880" w:firstLine="572"/>
        <w:spacing w:after="0" w:line="287" w:lineRule="auto"/>
        <w:rPr>
          <w:sz w:val="20"/>
          <w:szCs w:val="20"/>
          <w:color w:val="auto"/>
        </w:rPr>
      </w:pPr>
      <w:r>
        <w:rPr>
          <w:rFonts w:ascii="Arial" w:cs="Arial" w:eastAsia="Arial" w:hAnsi="Arial"/>
          <w:sz w:val="19"/>
          <w:szCs w:val="19"/>
          <w:color w:val="auto"/>
        </w:rPr>
        <w:t>The actual and as adjusted data included in the table below is unaudited. The financial data in the following table should be read in conjunction with our financial statements and notes thereto incorporated by reference herein.</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20" w:type="dxa"/>
            <w:vAlign w:val="bottom"/>
          </w:tcPr>
          <w:p>
            <w:pPr>
              <w:spacing w:after="0"/>
              <w:rPr>
                <w:sz w:val="18"/>
                <w:szCs w:val="18"/>
                <w:color w:val="auto"/>
              </w:rPr>
            </w:pPr>
          </w:p>
        </w:tc>
        <w:tc>
          <w:tcPr>
            <w:tcW w:w="8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20" w:type="dxa"/>
            <w:vAlign w:val="bottom"/>
            <w:gridSpan w:val="6"/>
          </w:tcPr>
          <w:p>
            <w:pPr>
              <w:jc w:val="center"/>
              <w:ind w:right="340"/>
              <w:spacing w:after="0"/>
              <w:rPr>
                <w:sz w:val="20"/>
                <w:szCs w:val="20"/>
                <w:color w:val="auto"/>
              </w:rPr>
            </w:pPr>
            <w:r>
              <w:rPr>
                <w:rFonts w:ascii="Arial" w:cs="Arial" w:eastAsia="Arial" w:hAnsi="Arial"/>
                <w:sz w:val="16"/>
                <w:szCs w:val="16"/>
                <w:b w:val="1"/>
                <w:bCs w:val="1"/>
                <w:color w:val="auto"/>
                <w:w w:val="88"/>
              </w:rPr>
              <w:t>As of September 30, 2019</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85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261"/>
              <w:spacing w:after="0"/>
              <w:rPr>
                <w:sz w:val="20"/>
                <w:szCs w:val="20"/>
                <w:color w:val="auto"/>
              </w:rPr>
            </w:pPr>
            <w:r>
              <w:rPr>
                <w:rFonts w:ascii="Arial" w:cs="Arial" w:eastAsia="Arial" w:hAnsi="Arial"/>
                <w:sz w:val="16"/>
                <w:szCs w:val="16"/>
                <w:b w:val="1"/>
                <w:bCs w:val="1"/>
                <w:color w:val="auto"/>
              </w:rPr>
              <w:t>Actual</w:t>
            </w:r>
          </w:p>
        </w:tc>
        <w:tc>
          <w:tcPr>
            <w:tcW w:w="140" w:type="dxa"/>
            <w:vAlign w:val="bottom"/>
            <w:tcBorders>
              <w:top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020" w:type="dxa"/>
            <w:vAlign w:val="bottom"/>
            <w:tcBorders>
              <w:top w:val="single" w:sz="8" w:color="auto"/>
              <w:bottom w:val="single" w:sz="8" w:color="auto"/>
            </w:tcBorders>
          </w:tcPr>
          <w:p>
            <w:pPr>
              <w:jc w:val="right"/>
              <w:ind w:right="61"/>
              <w:spacing w:after="0"/>
              <w:rPr>
                <w:sz w:val="20"/>
                <w:szCs w:val="20"/>
                <w:color w:val="auto"/>
              </w:rPr>
            </w:pPr>
            <w:r>
              <w:rPr>
                <w:rFonts w:ascii="Arial" w:cs="Arial" w:eastAsia="Arial" w:hAnsi="Arial"/>
                <w:sz w:val="16"/>
                <w:szCs w:val="16"/>
                <w:b w:val="1"/>
                <w:bCs w:val="1"/>
                <w:color w:val="auto"/>
                <w:w w:val="92"/>
              </w:rPr>
              <w:t>As Adjusted</w:t>
            </w: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8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20" w:type="dxa"/>
            <w:vAlign w:val="bottom"/>
            <w:gridSpan w:val="6"/>
          </w:tcPr>
          <w:p>
            <w:pPr>
              <w:jc w:val="center"/>
              <w:ind w:right="340"/>
              <w:spacing w:after="0" w:line="175" w:lineRule="exact"/>
              <w:rPr>
                <w:sz w:val="20"/>
                <w:szCs w:val="20"/>
                <w:color w:val="auto"/>
              </w:rPr>
            </w:pPr>
            <w:r>
              <w:rPr>
                <w:rFonts w:ascii="Arial" w:cs="Arial" w:eastAsia="Arial" w:hAnsi="Arial"/>
                <w:sz w:val="16"/>
                <w:szCs w:val="16"/>
                <w:b w:val="1"/>
                <w:bCs w:val="1"/>
                <w:color w:val="auto"/>
                <w:w w:val="91"/>
              </w:rPr>
              <w:t>(unaudited)</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8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2300" w:type="dxa"/>
            <w:vAlign w:val="bottom"/>
            <w:tcBorders>
              <w:bottom w:val="single" w:sz="8" w:color="auto"/>
            </w:tcBorders>
            <w:gridSpan w:val="5"/>
          </w:tcPr>
          <w:p>
            <w:pPr>
              <w:jc w:val="center"/>
              <w:ind w:right="121"/>
              <w:spacing w:after="0"/>
              <w:rPr>
                <w:sz w:val="20"/>
                <w:szCs w:val="20"/>
                <w:color w:val="auto"/>
              </w:rPr>
            </w:pPr>
            <w:r>
              <w:rPr>
                <w:rFonts w:ascii="Arial" w:cs="Arial" w:eastAsia="Arial" w:hAnsi="Arial"/>
                <w:sz w:val="16"/>
                <w:szCs w:val="16"/>
                <w:b w:val="1"/>
                <w:bCs w:val="1"/>
                <w:color w:val="auto"/>
                <w:w w:val="88"/>
              </w:rPr>
              <w:t>(in thousands)</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20" w:type="dxa"/>
            <w:vAlign w:val="bottom"/>
            <w:vMerge w:val="restart"/>
          </w:tcPr>
          <w:p>
            <w:pPr>
              <w:spacing w:after="0"/>
              <w:rPr>
                <w:sz w:val="16"/>
                <w:szCs w:val="16"/>
                <w:color w:val="auto"/>
              </w:rPr>
            </w:pPr>
          </w:p>
        </w:tc>
        <w:tc>
          <w:tcPr>
            <w:tcW w:w="8500" w:type="dxa"/>
            <w:vAlign w:val="bottom"/>
          </w:tcPr>
          <w:p>
            <w:pPr>
              <w:spacing w:after="0"/>
              <w:rPr>
                <w:sz w:val="16"/>
                <w:szCs w:val="16"/>
                <w:color w:val="auto"/>
              </w:rPr>
            </w:pPr>
          </w:p>
        </w:tc>
        <w:tc>
          <w:tcPr>
            <w:tcW w:w="500" w:type="dxa"/>
            <w:vAlign w:val="bottom"/>
            <w:gridSpan w:val="2"/>
          </w:tcPr>
          <w:p>
            <w:pPr>
              <w:spacing w:after="0"/>
              <w:rPr>
                <w:sz w:val="16"/>
                <w:szCs w:val="16"/>
                <w:color w:val="auto"/>
              </w:rPr>
            </w:pPr>
          </w:p>
        </w:tc>
        <w:tc>
          <w:tcPr>
            <w:tcW w:w="9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gridSpan w:val="2"/>
          </w:tcPr>
          <w:p>
            <w:pPr>
              <w:spacing w:after="0"/>
              <w:rPr>
                <w:sz w:val="16"/>
                <w:szCs w:val="16"/>
                <w:color w:val="auto"/>
              </w:rPr>
            </w:pPr>
          </w:p>
        </w:tc>
        <w:tc>
          <w:tcPr>
            <w:tcW w:w="1140" w:type="dxa"/>
            <w:vAlign w:val="bottom"/>
            <w:gridSpan w:val="2"/>
          </w:tcPr>
          <w:p>
            <w:pPr>
              <w:spacing w:after="0"/>
              <w:rPr>
                <w:sz w:val="16"/>
                <w:szCs w:val="16"/>
                <w:color w:val="auto"/>
              </w:rPr>
            </w:pPr>
          </w:p>
        </w:tc>
        <w:tc>
          <w:tcPr>
            <w:tcW w:w="0" w:type="dxa"/>
            <w:vAlign w:val="bottom"/>
          </w:tcPr>
          <w:p>
            <w:pPr>
              <w:spacing w:after="0"/>
              <w:rPr>
                <w:sz w:val="1"/>
                <w:szCs w:val="1"/>
                <w:color w:val="auto"/>
              </w:rPr>
            </w:pPr>
          </w:p>
        </w:tc>
      </w:tr>
      <w:tr>
        <w:trPr>
          <w:trHeight w:val="231"/>
        </w:trPr>
        <w:tc>
          <w:tcPr>
            <w:tcW w:w="20" w:type="dxa"/>
            <w:vAlign w:val="bottom"/>
            <w:vMerge w:val="continue"/>
          </w:tcPr>
          <w:p>
            <w:pPr>
              <w:spacing w:after="0"/>
              <w:rPr>
                <w:sz w:val="20"/>
                <w:szCs w:val="20"/>
                <w:color w:val="auto"/>
              </w:rPr>
            </w:pPr>
          </w:p>
        </w:tc>
        <w:tc>
          <w:tcPr>
            <w:tcW w:w="8500" w:type="dxa"/>
            <w:vAlign w:val="bottom"/>
            <w:shd w:val="clear" w:color="auto" w:fill="CCEEFF"/>
          </w:tcPr>
          <w:p>
            <w:pPr>
              <w:spacing w:after="0"/>
              <w:rPr>
                <w:sz w:val="20"/>
                <w:szCs w:val="20"/>
                <w:color w:val="auto"/>
              </w:rPr>
            </w:pPr>
            <w:r>
              <w:rPr>
                <w:rFonts w:ascii="Arial" w:cs="Arial" w:eastAsia="Arial" w:hAnsi="Arial"/>
                <w:sz w:val="16"/>
                <w:szCs w:val="16"/>
                <w:color w:val="auto"/>
              </w:rPr>
              <w:t>Cash, cash equivalents and marketable securities</w:t>
            </w:r>
          </w:p>
        </w:tc>
        <w:tc>
          <w:tcPr>
            <w:tcW w:w="500" w:type="dxa"/>
            <w:vAlign w:val="bottom"/>
            <w:gridSpan w:val="2"/>
            <w:shd w:val="clear" w:color="auto" w:fill="CCEEFF"/>
          </w:tcPr>
          <w:p>
            <w:pPr>
              <w:jc w:val="right"/>
              <w:ind w:right="66"/>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57,726</w:t>
            </w:r>
          </w:p>
        </w:tc>
        <w:tc>
          <w:tcPr>
            <w:tcW w:w="140" w:type="dxa"/>
            <w:vAlign w:val="bottom"/>
            <w:shd w:val="clear" w:color="auto" w:fill="CCEEFF"/>
          </w:tcPr>
          <w:p>
            <w:pPr>
              <w:spacing w:after="0"/>
              <w:rPr>
                <w:sz w:val="20"/>
                <w:szCs w:val="20"/>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81,776</w:t>
            </w: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8500" w:type="dxa"/>
            <w:vAlign w:val="bottom"/>
            <w:tcBorders>
              <w:top w:val="single" w:sz="8" w:color="CCEEFF"/>
            </w:tcBorders>
          </w:tcPr>
          <w:p>
            <w:pPr>
              <w:spacing w:after="0" w:line="178" w:lineRule="exact"/>
              <w:rPr>
                <w:sz w:val="20"/>
                <w:szCs w:val="20"/>
                <w:color w:val="auto"/>
              </w:rPr>
            </w:pPr>
            <w:r>
              <w:rPr>
                <w:rFonts w:ascii="Arial" w:cs="Arial" w:eastAsia="Arial" w:hAnsi="Arial"/>
                <w:sz w:val="16"/>
                <w:szCs w:val="16"/>
                <w:color w:val="auto"/>
              </w:rPr>
              <w:t>Shareholders’ equity</w:t>
            </w:r>
          </w:p>
        </w:tc>
        <w:tc>
          <w:tcPr>
            <w:tcW w:w="280" w:type="dxa"/>
            <w:vAlign w:val="bottom"/>
            <w:tcBorders>
              <w:top w:val="single" w:sz="8" w:color="CCEEFF"/>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940" w:type="dxa"/>
            <w:vAlign w:val="bottom"/>
            <w:tcBorders>
              <w:top w:val="single" w:sz="8" w:color="auto"/>
            </w:tcBorders>
          </w:tcPr>
          <w:p>
            <w:pPr>
              <w:spacing w:after="0"/>
              <w:rPr>
                <w:sz w:val="15"/>
                <w:szCs w:val="15"/>
                <w:color w:val="auto"/>
              </w:rPr>
            </w:pPr>
          </w:p>
        </w:tc>
        <w:tc>
          <w:tcPr>
            <w:tcW w:w="140" w:type="dxa"/>
            <w:vAlign w:val="bottom"/>
            <w:tcBorders>
              <w:top w:val="single" w:sz="8" w:color="CCEEFF"/>
            </w:tcBorders>
          </w:tcPr>
          <w:p>
            <w:pPr>
              <w:spacing w:after="0"/>
              <w:rPr>
                <w:sz w:val="15"/>
                <w:szCs w:val="15"/>
                <w:color w:val="auto"/>
              </w:rPr>
            </w:pPr>
          </w:p>
        </w:tc>
        <w:tc>
          <w:tcPr>
            <w:tcW w:w="100" w:type="dxa"/>
            <w:vAlign w:val="bottom"/>
            <w:tcBorders>
              <w:top w:val="single" w:sz="8" w:color="CCEEFF"/>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1020" w:type="dxa"/>
            <w:vAlign w:val="bottom"/>
            <w:tcBorders>
              <w:top w:val="single" w:sz="8" w:color="auto"/>
            </w:tcBorders>
          </w:tcPr>
          <w:p>
            <w:pPr>
              <w:spacing w:after="0"/>
              <w:rPr>
                <w:sz w:val="15"/>
                <w:szCs w:val="15"/>
                <w:color w:val="auto"/>
              </w:rPr>
            </w:pPr>
          </w:p>
        </w:tc>
        <w:tc>
          <w:tcPr>
            <w:tcW w:w="120" w:type="dxa"/>
            <w:vAlign w:val="bottom"/>
            <w:tcBorders>
              <w:top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8500" w:type="dxa"/>
            <w:vAlign w:val="bottom"/>
            <w:shd w:val="clear" w:color="auto" w:fill="CCEEFF"/>
          </w:tcPr>
          <w:p>
            <w:pPr>
              <w:spacing w:after="0" w:line="178" w:lineRule="exact"/>
              <w:rPr>
                <w:sz w:val="20"/>
                <w:szCs w:val="20"/>
                <w:color w:val="auto"/>
              </w:rPr>
            </w:pPr>
            <w:r>
              <w:rPr>
                <w:rFonts w:ascii="Arial" w:cs="Arial" w:eastAsia="Arial" w:hAnsi="Arial"/>
                <w:sz w:val="16"/>
                <w:szCs w:val="16"/>
                <w:color w:val="auto"/>
                <w:w w:val="90"/>
              </w:rPr>
              <w:t>Ordinary shares, par value NIS 0.1 per share; 50,000,000 shares authorized and 20,387,468 shares issued and outstanding, actual;</w:t>
            </w:r>
          </w:p>
        </w:tc>
        <w:tc>
          <w:tcPr>
            <w:tcW w:w="2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500" w:type="dxa"/>
            <w:vAlign w:val="bottom"/>
            <w:shd w:val="clear" w:color="auto" w:fill="CCEEFF"/>
          </w:tcPr>
          <w:p>
            <w:pPr>
              <w:spacing w:after="0"/>
              <w:rPr>
                <w:sz w:val="20"/>
                <w:szCs w:val="20"/>
                <w:color w:val="auto"/>
              </w:rPr>
            </w:pPr>
            <w:r>
              <w:rPr>
                <w:rFonts w:ascii="Arial" w:cs="Arial" w:eastAsia="Arial" w:hAnsi="Arial"/>
                <w:sz w:val="16"/>
                <w:szCs w:val="16"/>
                <w:color w:val="auto"/>
              </w:rPr>
              <w:t>50,000,000 shares authorized and 22,064,195 issued and outstanding, as adjusted</w:t>
            </w:r>
          </w:p>
        </w:tc>
        <w:tc>
          <w:tcPr>
            <w:tcW w:w="500" w:type="dxa"/>
            <w:vAlign w:val="bottom"/>
            <w:gridSpan w:val="2"/>
            <w:shd w:val="clear" w:color="auto" w:fill="CCEEFF"/>
          </w:tcPr>
          <w:p>
            <w:pPr>
              <w:jc w:val="right"/>
              <w:ind w:right="66"/>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561</w:t>
            </w:r>
          </w:p>
        </w:tc>
        <w:tc>
          <w:tcPr>
            <w:tcW w:w="140" w:type="dxa"/>
            <w:vAlign w:val="bottom"/>
            <w:shd w:val="clear" w:color="auto" w:fill="CCEEFF"/>
          </w:tcPr>
          <w:p>
            <w:pPr>
              <w:spacing w:after="0"/>
              <w:rPr>
                <w:sz w:val="17"/>
                <w:szCs w:val="17"/>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609</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8500" w:type="dxa"/>
            <w:vAlign w:val="bottom"/>
          </w:tcPr>
          <w:p>
            <w:pPr>
              <w:spacing w:after="0"/>
              <w:rPr>
                <w:sz w:val="20"/>
                <w:szCs w:val="20"/>
                <w:color w:val="auto"/>
              </w:rPr>
            </w:pPr>
            <w:r>
              <w:rPr>
                <w:rFonts w:ascii="Arial" w:cs="Arial" w:eastAsia="Arial" w:hAnsi="Arial"/>
                <w:sz w:val="16"/>
                <w:szCs w:val="16"/>
                <w:color w:val="auto"/>
              </w:rPr>
              <w:t>Additional paid-in capital</w:t>
            </w: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203,481</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6"/>
                <w:szCs w:val="16"/>
                <w:color w:val="auto"/>
              </w:rPr>
              <w:t>227,483</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8500" w:type="dxa"/>
            <w:vAlign w:val="bottom"/>
            <w:shd w:val="clear" w:color="auto" w:fill="CCEEFF"/>
          </w:tcPr>
          <w:p>
            <w:pPr>
              <w:spacing w:after="0"/>
              <w:rPr>
                <w:sz w:val="20"/>
                <w:szCs w:val="20"/>
                <w:color w:val="auto"/>
              </w:rPr>
            </w:pPr>
            <w:r>
              <w:rPr>
                <w:rFonts w:ascii="Arial" w:cs="Arial" w:eastAsia="Arial" w:hAnsi="Arial"/>
                <w:sz w:val="16"/>
                <w:szCs w:val="16"/>
                <w:color w:val="auto"/>
              </w:rPr>
              <w:t>Accumulated deficit</w:t>
            </w:r>
          </w:p>
        </w:tc>
        <w:tc>
          <w:tcPr>
            <w:tcW w:w="28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(145,471)</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(145,471)</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8500" w:type="dxa"/>
            <w:vAlign w:val="bottom"/>
          </w:tcPr>
          <w:p>
            <w:pPr>
              <w:spacing w:after="0"/>
              <w:rPr>
                <w:sz w:val="20"/>
                <w:szCs w:val="20"/>
                <w:color w:val="auto"/>
              </w:rPr>
            </w:pPr>
            <w:r>
              <w:rPr>
                <w:rFonts w:ascii="Arial" w:cs="Arial" w:eastAsia="Arial" w:hAnsi="Arial"/>
                <w:sz w:val="16"/>
                <w:szCs w:val="16"/>
                <w:color w:val="auto"/>
              </w:rPr>
              <w:t>Total shareholders’ equity</w:t>
            </w: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58,571</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6"/>
                <w:szCs w:val="16"/>
                <w:color w:val="auto"/>
              </w:rPr>
              <w:t>82,621</w:t>
            </w: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capitalization</w:t>
            </w:r>
          </w:p>
        </w:tc>
        <w:tc>
          <w:tcPr>
            <w:tcW w:w="2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auto"/>
            </w:tcBorders>
            <w:shd w:val="clear" w:color="auto" w:fill="CCEEFF"/>
          </w:tcPr>
          <w:p>
            <w:pPr>
              <w:jc w:val="right"/>
              <w:ind w:right="66"/>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58,571</w:t>
            </w:r>
          </w:p>
        </w:tc>
        <w:tc>
          <w:tcPr>
            <w:tcW w:w="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82,621</w:t>
            </w:r>
          </w:p>
        </w:tc>
        <w:tc>
          <w:tcPr>
            <w:tcW w:w="1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above table is based on 20,387,468 ordinary shares issued and outstanding as of September 30, 2019, and excludes the following:</w:t>
      </w:r>
    </w:p>
    <w:p>
      <w:pPr>
        <w:spacing w:after="0" w:line="265" w:lineRule="exact"/>
        <w:rPr>
          <w:sz w:val="20"/>
          <w:szCs w:val="20"/>
          <w:color w:val="auto"/>
        </w:rPr>
      </w:pPr>
    </w:p>
    <w:p>
      <w:pPr>
        <w:ind w:left="560" w:right="60" w:hanging="278"/>
        <w:spacing w:after="0" w:line="274" w:lineRule="auto"/>
        <w:tabs>
          <w:tab w:leader="none" w:pos="560" w:val="left"/>
        </w:tabs>
        <w:numPr>
          <w:ilvl w:val="0"/>
          <w:numId w:val="5"/>
        </w:numPr>
        <w:rPr>
          <w:rFonts w:ascii="Arial" w:cs="Arial" w:eastAsia="Arial" w:hAnsi="Arial"/>
          <w:sz w:val="16"/>
          <w:szCs w:val="16"/>
          <w:color w:val="auto"/>
        </w:rPr>
      </w:pPr>
      <w:r>
        <w:rPr>
          <w:rFonts w:ascii="Arial" w:cs="Arial" w:eastAsia="Arial" w:hAnsi="Arial"/>
          <w:sz w:val="16"/>
          <w:szCs w:val="16"/>
          <w:color w:val="auto"/>
        </w:rPr>
        <w:t>1,223,867 ordinary shares issuable upon the exercise of options to purchase ordinary shares outstanding under our 2014 Share Incentive Plan as of September 30, 2019, at a weighted average exercise price of $5.08 per ordinary share;</w:t>
      </w:r>
    </w:p>
    <w:p>
      <w:pPr>
        <w:spacing w:after="0" w:line="200" w:lineRule="exact"/>
        <w:rPr>
          <w:rFonts w:ascii="Arial" w:cs="Arial" w:eastAsia="Arial" w:hAnsi="Arial"/>
          <w:sz w:val="16"/>
          <w:szCs w:val="16"/>
          <w:color w:val="auto"/>
        </w:rPr>
      </w:pPr>
    </w:p>
    <w:p>
      <w:pPr>
        <w:ind w:left="560" w:hanging="278"/>
        <w:spacing w:after="0"/>
        <w:tabs>
          <w:tab w:leader="none" w:pos="560" w:val="left"/>
        </w:tabs>
        <w:numPr>
          <w:ilvl w:val="0"/>
          <w:numId w:val="5"/>
        </w:numPr>
        <w:rPr>
          <w:rFonts w:ascii="Arial" w:cs="Arial" w:eastAsia="Arial" w:hAnsi="Arial"/>
          <w:sz w:val="15"/>
          <w:szCs w:val="15"/>
          <w:color w:val="auto"/>
        </w:rPr>
      </w:pPr>
      <w:r>
        <w:rPr>
          <w:rFonts w:ascii="Arial" w:cs="Arial" w:eastAsia="Arial" w:hAnsi="Arial"/>
          <w:sz w:val="15"/>
          <w:szCs w:val="15"/>
          <w:color w:val="auto"/>
        </w:rPr>
        <w:t>46,000 ordinary shares issuable upon the vesting of restricted share units outstanding under our 2014 Share Incentive Plan as of September 30, 2019; and</w:t>
      </w:r>
    </w:p>
    <w:p>
      <w:pPr>
        <w:spacing w:after="0" w:line="256" w:lineRule="exact"/>
        <w:rPr>
          <w:rFonts w:ascii="Arial" w:cs="Arial" w:eastAsia="Arial" w:hAnsi="Arial"/>
          <w:sz w:val="15"/>
          <w:szCs w:val="15"/>
          <w:color w:val="auto"/>
        </w:rPr>
      </w:pPr>
    </w:p>
    <w:p>
      <w:pPr>
        <w:ind w:left="560" w:hanging="278"/>
        <w:spacing w:after="0"/>
        <w:tabs>
          <w:tab w:leader="none" w:pos="560" w:val="left"/>
        </w:tabs>
        <w:numPr>
          <w:ilvl w:val="0"/>
          <w:numId w:val="5"/>
        </w:numPr>
        <w:rPr>
          <w:rFonts w:ascii="Arial" w:cs="Arial" w:eastAsia="Arial" w:hAnsi="Arial"/>
          <w:sz w:val="16"/>
          <w:szCs w:val="16"/>
          <w:color w:val="auto"/>
        </w:rPr>
      </w:pPr>
      <w:r>
        <w:rPr>
          <w:rFonts w:ascii="Arial" w:cs="Arial" w:eastAsia="Arial" w:hAnsi="Arial"/>
          <w:sz w:val="16"/>
          <w:szCs w:val="16"/>
          <w:color w:val="auto"/>
        </w:rPr>
        <w:t>an additional 52,735 ordinary shares reserved for future issuance under our amended and restated 2014 Share Incentive Plan.</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556" w:right="219" w:bottom="1440" w:gutter="0" w:footer="0" w:header="0"/>
        </w:sectPr>
      </w:pPr>
    </w:p>
    <w:bookmarkStart w:id="17" w:name="page18"/>
    <w:bookmarkEnd w:id="17"/>
    <w:p>
      <w:pPr>
        <w:jc w:val="center"/>
        <w:spacing w:after="0"/>
        <w:rPr>
          <w:sz w:val="20"/>
          <w:szCs w:val="20"/>
          <w:color w:val="auto"/>
        </w:rPr>
      </w:pPr>
      <w:r>
        <w:rPr>
          <w:rFonts w:ascii="Arial" w:cs="Arial" w:eastAsia="Arial" w:hAnsi="Arial"/>
          <w:sz w:val="19"/>
          <w:szCs w:val="19"/>
          <w:b w:val="1"/>
          <w:bCs w:val="1"/>
          <w:color w:val="auto"/>
        </w:rPr>
        <w:t>DILUTION</w:t>
      </w:r>
    </w:p>
    <w:p>
      <w:pPr>
        <w:spacing w:after="0" w:line="265" w:lineRule="exact"/>
        <w:rPr>
          <w:sz w:val="20"/>
          <w:szCs w:val="20"/>
          <w:color w:val="auto"/>
        </w:rPr>
      </w:pPr>
    </w:p>
    <w:p>
      <w:pPr>
        <w:ind w:right="20" w:firstLine="572"/>
        <w:spacing w:after="0" w:line="270" w:lineRule="auto"/>
        <w:rPr>
          <w:sz w:val="20"/>
          <w:szCs w:val="20"/>
          <w:color w:val="auto"/>
        </w:rPr>
      </w:pPr>
      <w:r>
        <w:rPr>
          <w:rFonts w:ascii="Arial" w:cs="Arial" w:eastAsia="Arial" w:hAnsi="Arial"/>
          <w:sz w:val="19"/>
          <w:szCs w:val="19"/>
          <w:color w:val="auto"/>
        </w:rPr>
        <w:t>If you invest in our ordinary shares in this offering, your interest will be diluted immediately to the extent of the difference between the public offering price per share and the as adjusted net tangible book value per share of our ordinary shares after this offering. We calculate net tangible book value per ordinary share by subtracting our liabilities from our tangible assets and dividing the difference by the number of ordinary shares outstanding at a given date.</w:t>
      </w:r>
    </w:p>
    <w:p>
      <w:pPr>
        <w:spacing w:after="0" w:line="209" w:lineRule="exact"/>
        <w:rPr>
          <w:sz w:val="20"/>
          <w:szCs w:val="20"/>
          <w:color w:val="auto"/>
        </w:rPr>
      </w:pPr>
    </w:p>
    <w:p>
      <w:pPr>
        <w:ind w:left="560"/>
        <w:spacing w:after="0"/>
        <w:rPr>
          <w:sz w:val="20"/>
          <w:szCs w:val="20"/>
          <w:color w:val="auto"/>
        </w:rPr>
      </w:pPr>
      <w:r>
        <w:rPr>
          <w:rFonts w:ascii="Arial" w:cs="Arial" w:eastAsia="Arial" w:hAnsi="Arial"/>
          <w:sz w:val="19"/>
          <w:szCs w:val="19"/>
          <w:color w:val="auto"/>
        </w:rPr>
        <w:t>Our net tangible book value as of September 30, 2019 was approximately $58.6 million, or $2.87 per share.</w:t>
      </w:r>
    </w:p>
    <w:p>
      <w:pPr>
        <w:spacing w:after="0" w:line="259" w:lineRule="exact"/>
        <w:rPr>
          <w:sz w:val="20"/>
          <w:szCs w:val="20"/>
          <w:color w:val="auto"/>
        </w:rPr>
      </w:pPr>
    </w:p>
    <w:p>
      <w:pPr>
        <w:ind w:right="60" w:firstLine="572"/>
        <w:spacing w:after="0" w:line="307" w:lineRule="auto"/>
        <w:rPr>
          <w:sz w:val="20"/>
          <w:szCs w:val="20"/>
          <w:color w:val="auto"/>
        </w:rPr>
      </w:pPr>
      <w:r>
        <w:rPr>
          <w:rFonts w:ascii="Arial" w:cs="Arial" w:eastAsia="Arial" w:hAnsi="Arial"/>
          <w:sz w:val="17"/>
          <w:szCs w:val="17"/>
          <w:color w:val="auto"/>
        </w:rPr>
        <w:t>After giving effect to the sale of $25.0 million of our ordinary shares in this offering at an assumed public offering price of $14.91 per share (the last reported sale price of our ordinary shares on the Nasdaq Global Market on January 8, 2020), and after deducting commissions and estimated offering expenses payable by us, our as adjusted net tangible book value as of September 30, 2019 would have been approximately $82.6 million, or $3.74 per ordinary share. This represents an immediate increase in net tangible book value of $0.87 per share to our existing shareholders and immediate dilution in net tangible book value of $11.17 per share to investors participating in this offering, as illustrated by the following table: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20" w:type="dxa"/>
            <w:vAlign w:val="bottom"/>
          </w:tcPr>
          <w:p>
            <w:pPr>
              <w:spacing w:after="0"/>
              <w:rPr>
                <w:sz w:val="16"/>
                <w:szCs w:val="16"/>
                <w:color w:val="auto"/>
              </w:rPr>
            </w:pPr>
          </w:p>
        </w:tc>
        <w:tc>
          <w:tcPr>
            <w:tcW w:w="7760" w:type="dxa"/>
            <w:vAlign w:val="bottom"/>
            <w:shd w:val="clear" w:color="auto" w:fill="CCEEFF"/>
          </w:tcPr>
          <w:p>
            <w:pPr>
              <w:spacing w:after="0"/>
              <w:rPr>
                <w:sz w:val="20"/>
                <w:szCs w:val="20"/>
                <w:color w:val="auto"/>
              </w:rPr>
            </w:pPr>
            <w:r>
              <w:rPr>
                <w:rFonts w:ascii="Arial" w:cs="Arial" w:eastAsia="Arial" w:hAnsi="Arial"/>
                <w:sz w:val="16"/>
                <w:szCs w:val="16"/>
                <w:color w:val="auto"/>
              </w:rPr>
              <w:t>Assumed offering price per ordinary share</w:t>
            </w:r>
          </w:p>
        </w:tc>
        <w:tc>
          <w:tcPr>
            <w:tcW w:w="102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340" w:type="dxa"/>
            <w:vAlign w:val="bottom"/>
            <w:gridSpan w:val="4"/>
            <w:shd w:val="clear" w:color="auto" w:fill="CCEEFF"/>
          </w:tcPr>
          <w:p>
            <w:pPr>
              <w:jc w:val="right"/>
              <w:ind w:right="289"/>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14.91</w:t>
            </w: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760" w:type="dxa"/>
            <w:vAlign w:val="bottom"/>
          </w:tcPr>
          <w:p>
            <w:pPr>
              <w:spacing w:after="0"/>
              <w:rPr>
                <w:sz w:val="20"/>
                <w:szCs w:val="20"/>
                <w:color w:val="auto"/>
              </w:rPr>
            </w:pPr>
            <w:r>
              <w:rPr>
                <w:rFonts w:ascii="Arial" w:cs="Arial" w:eastAsia="Arial" w:hAnsi="Arial"/>
                <w:sz w:val="16"/>
                <w:szCs w:val="16"/>
                <w:color w:val="auto"/>
              </w:rPr>
              <w:t>Net tangible book value per share as of September 30, 2019</w:t>
            </w:r>
          </w:p>
        </w:tc>
        <w:tc>
          <w:tcPr>
            <w:tcW w:w="1500" w:type="dxa"/>
            <w:vAlign w:val="bottom"/>
            <w:gridSpan w:val="2"/>
          </w:tcPr>
          <w:p>
            <w:pPr>
              <w:jc w:val="right"/>
              <w:ind w:right="326"/>
              <w:spacing w:after="0"/>
              <w:rPr>
                <w:sz w:val="20"/>
                <w:szCs w:val="20"/>
                <w:color w:val="auto"/>
              </w:rPr>
            </w:pPr>
            <w:r>
              <w:rPr>
                <w:rFonts w:ascii="Arial" w:cs="Arial" w:eastAsia="Arial" w:hAnsi="Arial"/>
                <w:sz w:val="16"/>
                <w:szCs w:val="16"/>
                <w:color w:val="auto"/>
              </w:rPr>
              <w:t>$</w:t>
            </w:r>
          </w:p>
        </w:tc>
        <w:tc>
          <w:tcPr>
            <w:tcW w:w="920" w:type="dxa"/>
            <w:vAlign w:val="bottom"/>
            <w:gridSpan w:val="2"/>
          </w:tcPr>
          <w:p>
            <w:pPr>
              <w:jc w:val="right"/>
              <w:ind w:right="161"/>
              <w:spacing w:after="0"/>
              <w:rPr>
                <w:sz w:val="20"/>
                <w:szCs w:val="20"/>
                <w:color w:val="auto"/>
              </w:rPr>
            </w:pPr>
            <w:r>
              <w:rPr>
                <w:rFonts w:ascii="Arial" w:cs="Arial" w:eastAsia="Arial" w:hAnsi="Arial"/>
                <w:sz w:val="16"/>
                <w:szCs w:val="16"/>
                <w:color w:val="auto"/>
              </w:rPr>
              <w:t>2.87</w:t>
            </w: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7760" w:type="dxa"/>
            <w:vAlign w:val="bottom"/>
            <w:shd w:val="clear" w:color="auto" w:fill="CCEEFF"/>
          </w:tcPr>
          <w:p>
            <w:pPr>
              <w:spacing w:after="0"/>
              <w:rPr>
                <w:sz w:val="20"/>
                <w:szCs w:val="20"/>
                <w:color w:val="auto"/>
              </w:rPr>
            </w:pPr>
            <w:r>
              <w:rPr>
                <w:rFonts w:ascii="Arial" w:cs="Arial" w:eastAsia="Arial" w:hAnsi="Arial"/>
                <w:sz w:val="16"/>
                <w:szCs w:val="16"/>
                <w:color w:val="auto"/>
              </w:rPr>
              <w:t>Increase in net tangible book value per share attributable to this offering</w:t>
            </w:r>
          </w:p>
        </w:tc>
        <w:tc>
          <w:tcPr>
            <w:tcW w:w="102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326"/>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1"/>
              <w:spacing w:after="0"/>
              <w:rPr>
                <w:sz w:val="20"/>
                <w:szCs w:val="20"/>
                <w:color w:val="auto"/>
              </w:rPr>
            </w:pPr>
            <w:r>
              <w:rPr>
                <w:rFonts w:ascii="Arial" w:cs="Arial" w:eastAsia="Arial" w:hAnsi="Arial"/>
                <w:sz w:val="16"/>
                <w:szCs w:val="16"/>
                <w:color w:val="auto"/>
              </w:rPr>
              <w:t>0.87</w:t>
            </w:r>
          </w:p>
        </w:tc>
        <w:tc>
          <w:tcPr>
            <w:tcW w:w="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760" w:type="dxa"/>
            <w:vAlign w:val="bottom"/>
            <w:tcBorders>
              <w:top w:val="single" w:sz="8" w:color="CCEEFF"/>
            </w:tcBorders>
          </w:tcPr>
          <w:p>
            <w:pPr>
              <w:spacing w:after="0"/>
              <w:rPr>
                <w:sz w:val="20"/>
                <w:szCs w:val="20"/>
                <w:color w:val="auto"/>
              </w:rPr>
            </w:pPr>
            <w:r>
              <w:rPr>
                <w:rFonts w:ascii="Arial" w:cs="Arial" w:eastAsia="Arial" w:hAnsi="Arial"/>
                <w:sz w:val="16"/>
                <w:szCs w:val="16"/>
                <w:color w:val="auto"/>
              </w:rPr>
              <w:t>As adjusted net tangible book value per share as of September 30, 2019, after giving effect to this offering</w:t>
            </w:r>
          </w:p>
        </w:tc>
        <w:tc>
          <w:tcPr>
            <w:tcW w:w="1020" w:type="dxa"/>
            <w:vAlign w:val="bottom"/>
            <w:tcBorders>
              <w:top w:val="single" w:sz="8" w:color="CCEEFF"/>
            </w:tcBorders>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660" w:type="dxa"/>
            <w:vAlign w:val="bottom"/>
            <w:tcBorders>
              <w:top w:val="single" w:sz="8" w:color="CCEEFF"/>
            </w:tcBorders>
            <w:gridSpan w:val="3"/>
          </w:tcPr>
          <w:p>
            <w:pPr>
              <w:jc w:val="right"/>
              <w:ind w:right="289"/>
              <w:spacing w:after="0"/>
              <w:rPr>
                <w:sz w:val="20"/>
                <w:szCs w:val="20"/>
                <w:color w:val="auto"/>
              </w:rPr>
            </w:pPr>
            <w:r>
              <w:rPr>
                <w:rFonts w:ascii="Arial" w:cs="Arial" w:eastAsia="Arial" w:hAnsi="Arial"/>
                <w:sz w:val="16"/>
                <w:szCs w:val="16"/>
                <w:color w:val="auto"/>
              </w:rPr>
              <w:t>$</w:t>
            </w:r>
          </w:p>
        </w:tc>
        <w:tc>
          <w:tcPr>
            <w:tcW w:w="700" w:type="dxa"/>
            <w:vAlign w:val="bottom"/>
            <w:tcBorders>
              <w:top w:val="single" w:sz="8" w:color="CCEEFF"/>
            </w:tcBorders>
          </w:tcPr>
          <w:p>
            <w:pPr>
              <w:jc w:val="right"/>
              <w:spacing w:after="0"/>
              <w:rPr>
                <w:sz w:val="20"/>
                <w:szCs w:val="20"/>
                <w:color w:val="auto"/>
              </w:rPr>
            </w:pPr>
            <w:r>
              <w:rPr>
                <w:rFonts w:ascii="Arial" w:cs="Arial" w:eastAsia="Arial" w:hAnsi="Arial"/>
                <w:sz w:val="16"/>
                <w:szCs w:val="16"/>
                <w:color w:val="auto"/>
              </w:rPr>
              <w:t>3.74</w:t>
            </w:r>
          </w:p>
        </w:tc>
        <w:tc>
          <w:tcPr>
            <w:tcW w:w="12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7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9"/>
        </w:trPr>
        <w:tc>
          <w:tcPr>
            <w:tcW w:w="20" w:type="dxa"/>
            <w:vAlign w:val="bottom"/>
            <w:vMerge w:val="continue"/>
          </w:tcPr>
          <w:p>
            <w:pPr>
              <w:spacing w:after="0"/>
              <w:rPr>
                <w:sz w:val="19"/>
                <w:szCs w:val="19"/>
                <w:color w:val="auto"/>
              </w:rPr>
            </w:pPr>
          </w:p>
        </w:tc>
        <w:tc>
          <w:tcPr>
            <w:tcW w:w="7760" w:type="dxa"/>
            <w:vAlign w:val="bottom"/>
            <w:tcBorders>
              <w:bottom w:val="single" w:sz="8" w:color="CCEEFF"/>
            </w:tcBorders>
            <w:shd w:val="clear" w:color="auto" w:fill="CCEEFF"/>
          </w:tcPr>
          <w:p>
            <w:pPr>
              <w:spacing w:after="0" w:line="178" w:lineRule="exact"/>
              <w:rPr>
                <w:sz w:val="20"/>
                <w:szCs w:val="20"/>
                <w:color w:val="auto"/>
              </w:rPr>
            </w:pPr>
            <w:r>
              <w:rPr>
                <w:rFonts w:ascii="Arial" w:cs="Arial" w:eastAsia="Arial" w:hAnsi="Arial"/>
                <w:sz w:val="16"/>
                <w:szCs w:val="16"/>
                <w:color w:val="auto"/>
              </w:rPr>
              <w:t>Dilution per share to investors participating in this offering</w:t>
            </w:r>
          </w:p>
        </w:tc>
        <w:tc>
          <w:tcPr>
            <w:tcW w:w="102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tcBorders>
            <w:gridSpan w:val="3"/>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289"/>
              <w:spacing w:after="0"/>
              <w:rPr>
                <w:sz w:val="20"/>
                <w:szCs w:val="20"/>
                <w:color w:val="auto"/>
              </w:rPr>
            </w:pPr>
            <w:r>
              <w:rPr>
                <w:rFonts w:ascii="Arial" w:cs="Arial" w:eastAsia="Arial" w:hAnsi="Arial"/>
                <w:sz w:val="10"/>
                <w:szCs w:val="10"/>
                <w:color w:val="auto"/>
                <w:w w:val="71"/>
              </w:rPr>
              <w:t>$</w:t>
            </w:r>
          </w:p>
        </w:tc>
        <w:tc>
          <w:tcPr>
            <w:tcW w:w="700" w:type="dxa"/>
            <w:vAlign w:val="bottom"/>
            <w:tcBorders>
              <w:bottom w:val="single" w:sz="8" w:color="auto"/>
            </w:tcBorders>
            <w:shd w:val="clear" w:color="auto" w:fill="CCEEFF"/>
          </w:tcPr>
          <w:p>
            <w:pPr>
              <w:jc w:val="right"/>
              <w:spacing w:after="0" w:line="178" w:lineRule="exact"/>
              <w:rPr>
                <w:sz w:val="20"/>
                <w:szCs w:val="20"/>
                <w:color w:val="auto"/>
              </w:rPr>
            </w:pPr>
            <w:r>
              <w:rPr>
                <w:rFonts w:ascii="Arial" w:cs="Arial" w:eastAsia="Arial" w:hAnsi="Arial"/>
                <w:sz w:val="16"/>
                <w:szCs w:val="16"/>
                <w:color w:val="auto"/>
              </w:rPr>
              <w:t>11.17</w:t>
            </w:r>
          </w:p>
        </w:tc>
        <w:tc>
          <w:tcPr>
            <w:tcW w:w="1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jc w:val="both"/>
        <w:ind w:right="100" w:firstLine="572"/>
        <w:spacing w:after="0" w:line="274" w:lineRule="auto"/>
        <w:rPr>
          <w:sz w:val="20"/>
          <w:szCs w:val="20"/>
          <w:color w:val="auto"/>
        </w:rPr>
      </w:pPr>
      <w:r>
        <w:rPr>
          <w:rFonts w:ascii="Arial" w:cs="Arial" w:eastAsia="Arial" w:hAnsi="Arial"/>
          <w:sz w:val="19"/>
          <w:szCs w:val="19"/>
          <w:color w:val="auto"/>
        </w:rPr>
        <w:t>The table above assumes for illustrative purposes that an aggregate of 1,676,727 of our ordinary shares are sold at a price of $14.91 per share (the last reported sale price of our ordinary shares on the Nasdaq Global Market on January 8, 2020), for aggregate gross proceeds of approximately $25.0 million. The shares sold in this offering, if any, will be sold from time to time at various prices.</w:t>
      </w:r>
    </w:p>
    <w:p>
      <w:pPr>
        <w:spacing w:after="0" w:line="206" w:lineRule="exact"/>
        <w:rPr>
          <w:sz w:val="20"/>
          <w:szCs w:val="20"/>
          <w:color w:val="auto"/>
        </w:rPr>
      </w:pPr>
    </w:p>
    <w:p>
      <w:pPr>
        <w:ind w:right="220" w:firstLine="572"/>
        <w:spacing w:after="0" w:line="287" w:lineRule="auto"/>
        <w:rPr>
          <w:sz w:val="20"/>
          <w:szCs w:val="20"/>
          <w:color w:val="auto"/>
        </w:rPr>
      </w:pPr>
      <w:r>
        <w:rPr>
          <w:rFonts w:ascii="Arial" w:cs="Arial" w:eastAsia="Arial" w:hAnsi="Arial"/>
          <w:sz w:val="19"/>
          <w:szCs w:val="19"/>
          <w:color w:val="auto"/>
        </w:rPr>
        <w:t>The above discussion and table are based on 20,387,468 ordinary shares issued and outstanding as of September 30, 2019, and excludes the following:</w:t>
      </w:r>
    </w:p>
    <w:p>
      <w:pPr>
        <w:spacing w:after="0" w:line="188" w:lineRule="exact"/>
        <w:rPr>
          <w:sz w:val="20"/>
          <w:szCs w:val="20"/>
          <w:color w:val="auto"/>
        </w:rPr>
      </w:pPr>
    </w:p>
    <w:p>
      <w:pPr>
        <w:ind w:left="560" w:right="60" w:hanging="278"/>
        <w:spacing w:after="0" w:line="274" w:lineRule="auto"/>
        <w:tabs>
          <w:tab w:leader="none" w:pos="560" w:val="left"/>
        </w:tabs>
        <w:numPr>
          <w:ilvl w:val="0"/>
          <w:numId w:val="6"/>
        </w:numPr>
        <w:rPr>
          <w:rFonts w:ascii="Arial" w:cs="Arial" w:eastAsia="Arial" w:hAnsi="Arial"/>
          <w:sz w:val="16"/>
          <w:szCs w:val="16"/>
          <w:color w:val="auto"/>
        </w:rPr>
      </w:pPr>
      <w:r>
        <w:rPr>
          <w:rFonts w:ascii="Arial" w:cs="Arial" w:eastAsia="Arial" w:hAnsi="Arial"/>
          <w:sz w:val="16"/>
          <w:szCs w:val="16"/>
          <w:color w:val="auto"/>
        </w:rPr>
        <w:t>1,223,867 ordinary shares issuable upon the exercise of options to purchase ordinary shares outstanding under our 2014 Share Incentive Plan as of September 30, 2019, at a weighted average exercise price of $5.08 per ordinary share;</w:t>
      </w:r>
    </w:p>
    <w:p>
      <w:pPr>
        <w:spacing w:after="0" w:line="200" w:lineRule="exact"/>
        <w:rPr>
          <w:rFonts w:ascii="Arial" w:cs="Arial" w:eastAsia="Arial" w:hAnsi="Arial"/>
          <w:sz w:val="16"/>
          <w:szCs w:val="16"/>
          <w:color w:val="auto"/>
        </w:rPr>
      </w:pPr>
    </w:p>
    <w:p>
      <w:pPr>
        <w:ind w:left="560" w:hanging="278"/>
        <w:spacing w:after="0"/>
        <w:tabs>
          <w:tab w:leader="none" w:pos="560" w:val="left"/>
        </w:tabs>
        <w:numPr>
          <w:ilvl w:val="0"/>
          <w:numId w:val="6"/>
        </w:numPr>
        <w:rPr>
          <w:rFonts w:ascii="Arial" w:cs="Arial" w:eastAsia="Arial" w:hAnsi="Arial"/>
          <w:sz w:val="15"/>
          <w:szCs w:val="15"/>
          <w:color w:val="auto"/>
        </w:rPr>
      </w:pPr>
      <w:r>
        <w:rPr>
          <w:rFonts w:ascii="Arial" w:cs="Arial" w:eastAsia="Arial" w:hAnsi="Arial"/>
          <w:sz w:val="15"/>
          <w:szCs w:val="15"/>
          <w:color w:val="auto"/>
        </w:rPr>
        <w:t>46,000 ordinary shares issuable upon the vesting of restricted share units outstanding under our 2014 Share Incentive Plan as of September 30, 2019; and</w:t>
      </w:r>
    </w:p>
    <w:p>
      <w:pPr>
        <w:spacing w:after="0" w:line="256" w:lineRule="exact"/>
        <w:rPr>
          <w:rFonts w:ascii="Arial" w:cs="Arial" w:eastAsia="Arial" w:hAnsi="Arial"/>
          <w:sz w:val="15"/>
          <w:szCs w:val="15"/>
          <w:color w:val="auto"/>
        </w:rPr>
      </w:pPr>
    </w:p>
    <w:p>
      <w:pPr>
        <w:ind w:left="560" w:hanging="278"/>
        <w:spacing w:after="0"/>
        <w:tabs>
          <w:tab w:leader="none" w:pos="560" w:val="left"/>
        </w:tabs>
        <w:numPr>
          <w:ilvl w:val="0"/>
          <w:numId w:val="6"/>
        </w:numPr>
        <w:rPr>
          <w:rFonts w:ascii="Arial" w:cs="Arial" w:eastAsia="Arial" w:hAnsi="Arial"/>
          <w:sz w:val="16"/>
          <w:szCs w:val="16"/>
          <w:color w:val="auto"/>
        </w:rPr>
      </w:pPr>
      <w:r>
        <w:rPr>
          <w:rFonts w:ascii="Arial" w:cs="Arial" w:eastAsia="Arial" w:hAnsi="Arial"/>
          <w:sz w:val="16"/>
          <w:szCs w:val="16"/>
          <w:color w:val="auto"/>
        </w:rPr>
        <w:t>an additional 52,735 ordinary shares reserved for future issuance under our amended and restated 2014 Share Incentive Plan.</w:t>
      </w:r>
    </w:p>
    <w:p>
      <w:pPr>
        <w:spacing w:after="0" w:line="251" w:lineRule="exact"/>
        <w:rPr>
          <w:sz w:val="20"/>
          <w:szCs w:val="20"/>
          <w:color w:val="auto"/>
        </w:rPr>
      </w:pPr>
    </w:p>
    <w:p>
      <w:pPr>
        <w:jc w:val="both"/>
        <w:ind w:right="160" w:firstLine="572"/>
        <w:spacing w:after="0" w:line="311" w:lineRule="auto"/>
        <w:rPr>
          <w:sz w:val="20"/>
          <w:szCs w:val="20"/>
          <w:color w:val="auto"/>
        </w:rPr>
      </w:pPr>
      <w:r>
        <w:rPr>
          <w:rFonts w:ascii="Arial" w:cs="Arial" w:eastAsia="Arial" w:hAnsi="Arial"/>
          <w:sz w:val="17"/>
          <w:szCs w:val="17"/>
          <w:color w:val="auto"/>
        </w:rPr>
        <w:t>To the extent that any of these outstanding options are exercised or we issue additional shares under our equity incentive plans, there will be further dilution to new investors. In addition, we may choose to raise additional capital due to market conditions or strategic considerations even if we believe we have sufficient funds for our current or future operating plans. To the extent that we raise additional capital through the sale of equity or convertible debt securities, the issuance of these securities could result in further dilution to our shareholders.</w:t>
      </w: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sectPr>
      </w:pPr>
    </w:p>
    <w:bookmarkStart w:id="18" w:name="page19"/>
    <w:bookmarkEnd w:id="18"/>
    <w:p>
      <w:pPr>
        <w:ind w:left="4100"/>
        <w:spacing w:after="0"/>
        <w:rPr>
          <w:sz w:val="20"/>
          <w:szCs w:val="20"/>
          <w:color w:val="auto"/>
        </w:rPr>
      </w:pPr>
      <w:r>
        <w:rPr>
          <w:rFonts w:ascii="Arial" w:cs="Arial" w:eastAsia="Arial" w:hAnsi="Arial"/>
          <w:sz w:val="19"/>
          <w:szCs w:val="19"/>
          <w:b w:val="1"/>
          <w:bCs w:val="1"/>
          <w:color w:val="auto"/>
        </w:rPr>
        <w:t>MATERIAL TAX CONSIDERATIONS</w:t>
      </w:r>
    </w:p>
    <w:p>
      <w:pPr>
        <w:spacing w:after="0" w:line="25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Israeli Tax Considerations and Government Programs</w:t>
      </w:r>
    </w:p>
    <w:p>
      <w:pPr>
        <w:spacing w:after="0" w:line="26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General</w:t>
      </w:r>
    </w:p>
    <w:p>
      <w:pPr>
        <w:spacing w:after="0" w:line="259" w:lineRule="exact"/>
        <w:rPr>
          <w:sz w:val="20"/>
          <w:szCs w:val="20"/>
          <w:color w:val="auto"/>
        </w:rPr>
      </w:pPr>
    </w:p>
    <w:p>
      <w:pPr>
        <w:ind w:right="40" w:firstLine="572"/>
        <w:spacing w:after="0" w:line="283" w:lineRule="auto"/>
        <w:rPr>
          <w:sz w:val="20"/>
          <w:szCs w:val="20"/>
          <w:color w:val="auto"/>
        </w:rPr>
      </w:pPr>
      <w:r>
        <w:rPr>
          <w:rFonts w:ascii="Arial" w:cs="Arial" w:eastAsia="Arial" w:hAnsi="Arial"/>
          <w:sz w:val="18"/>
          <w:szCs w:val="18"/>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200" w:lineRule="exact"/>
        <w:rPr>
          <w:sz w:val="20"/>
          <w:szCs w:val="20"/>
          <w:color w:val="auto"/>
        </w:rPr>
      </w:pPr>
    </w:p>
    <w:p>
      <w:pPr>
        <w:jc w:val="both"/>
        <w:ind w:firstLine="572"/>
        <w:spacing w:after="0" w:line="274" w:lineRule="auto"/>
        <w:rPr>
          <w:sz w:val="20"/>
          <w:szCs w:val="20"/>
          <w:color w:val="auto"/>
        </w:rPr>
      </w:pPr>
      <w:r>
        <w:rPr>
          <w:rFonts w:ascii="Arial" w:cs="Arial" w:eastAsia="Arial" w:hAnsi="Arial"/>
          <w:sz w:val="19"/>
          <w:szCs w:val="19"/>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General Corporate Tax Structure in Israel</w:t>
      </w:r>
    </w:p>
    <w:p>
      <w:pPr>
        <w:spacing w:after="0" w:line="259" w:lineRule="exact"/>
        <w:rPr>
          <w:sz w:val="20"/>
          <w:szCs w:val="20"/>
          <w:color w:val="auto"/>
        </w:rPr>
      </w:pPr>
    </w:p>
    <w:p>
      <w:pPr>
        <w:ind w:right="240" w:firstLine="572"/>
        <w:spacing w:after="0" w:line="270" w:lineRule="auto"/>
        <w:rPr>
          <w:sz w:val="20"/>
          <w:szCs w:val="20"/>
          <w:color w:val="auto"/>
        </w:rPr>
      </w:pPr>
      <w:r>
        <w:rPr>
          <w:rFonts w:ascii="Arial" w:cs="Arial" w:eastAsia="Arial" w:hAnsi="Arial"/>
          <w:sz w:val="19"/>
          <w:szCs w:val="19"/>
          <w:color w:val="auto"/>
        </w:rPr>
        <w:t>Israeli resident companies are generally subject to corporate tax at the rate of 24% of a company’s taxable income in 2017, which was reduced to 23% in 2018 and thereafter. However, the effective tax rate payable by a company that derives income from a Benefited Enterprise or a Preferred Enterprise (each, as discussed below) may be considerably less. Capital gains derived by an Israeli resident company are subject to tax at the prevailing corporate tax rate.</w:t>
      </w:r>
    </w:p>
    <w:p>
      <w:pPr>
        <w:spacing w:after="0" w:line="209" w:lineRule="exact"/>
        <w:rPr>
          <w:sz w:val="20"/>
          <w:szCs w:val="20"/>
          <w:color w:val="auto"/>
        </w:rPr>
      </w:pPr>
    </w:p>
    <w:p>
      <w:pPr>
        <w:ind w:right="480" w:firstLine="572"/>
        <w:spacing w:after="0" w:line="287" w:lineRule="auto"/>
        <w:rPr>
          <w:sz w:val="20"/>
          <w:szCs w:val="20"/>
          <w:color w:val="auto"/>
        </w:rPr>
      </w:pPr>
      <w:r>
        <w:rPr>
          <w:rFonts w:ascii="Arial" w:cs="Arial" w:eastAsia="Arial" w:hAnsi="Arial"/>
          <w:sz w:val="19"/>
          <w:szCs w:val="19"/>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193"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Law for the Encouragement of Industry (Taxes), 5729-1969</w:t>
      </w:r>
    </w:p>
    <w:p>
      <w:pPr>
        <w:spacing w:after="0" w:line="259" w:lineRule="exact"/>
        <w:rPr>
          <w:sz w:val="20"/>
          <w:szCs w:val="20"/>
          <w:color w:val="auto"/>
        </w:rPr>
      </w:pPr>
    </w:p>
    <w:p>
      <w:pPr>
        <w:jc w:val="both"/>
        <w:ind w:right="180" w:firstLine="572"/>
        <w:spacing w:after="0" w:line="287" w:lineRule="auto"/>
        <w:rPr>
          <w:sz w:val="20"/>
          <w:szCs w:val="20"/>
          <w:color w:val="auto"/>
        </w:rPr>
      </w:pPr>
      <w:r>
        <w:rPr>
          <w:rFonts w:ascii="Arial" w:cs="Arial" w:eastAsia="Arial" w:hAnsi="Arial"/>
          <w:sz w:val="19"/>
          <w:szCs w:val="19"/>
          <w:color w:val="auto"/>
        </w:rPr>
        <w:t>The Law for the Encouragement of Industry (Taxes), 5729-1969, generally referred to as the Industry Encouragement Law, provides several tax benefits for “Industrial Companies.”</w:t>
      </w:r>
    </w:p>
    <w:p>
      <w:pPr>
        <w:spacing w:after="0" w:line="193" w:lineRule="exact"/>
        <w:rPr>
          <w:sz w:val="20"/>
          <w:szCs w:val="20"/>
          <w:color w:val="auto"/>
        </w:rPr>
      </w:pPr>
    </w:p>
    <w:p>
      <w:pPr>
        <w:jc w:val="both"/>
        <w:ind w:right="200" w:firstLine="572"/>
        <w:spacing w:after="0" w:line="321" w:lineRule="auto"/>
        <w:rPr>
          <w:sz w:val="20"/>
          <w:szCs w:val="20"/>
          <w:color w:val="auto"/>
        </w:rPr>
      </w:pPr>
      <w:r>
        <w:rPr>
          <w:rFonts w:ascii="Arial" w:cs="Arial" w:eastAsia="Arial" w:hAnsi="Arial"/>
          <w:sz w:val="17"/>
          <w:szCs w:val="17"/>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following corporate tax benefits, among others, are available to Industrial Companies:</w:t>
      </w:r>
    </w:p>
    <w:p>
      <w:pPr>
        <w:spacing w:after="0" w:line="253" w:lineRule="exact"/>
        <w:rPr>
          <w:sz w:val="20"/>
          <w:szCs w:val="20"/>
          <w:color w:val="auto"/>
        </w:rPr>
      </w:pPr>
    </w:p>
    <w:p>
      <w:pPr>
        <w:ind w:left="560" w:right="300" w:hanging="278"/>
        <w:spacing w:after="0" w:line="274" w:lineRule="auto"/>
        <w:tabs>
          <w:tab w:leader="none" w:pos="560" w:val="left"/>
        </w:tabs>
        <w:numPr>
          <w:ilvl w:val="0"/>
          <w:numId w:val="7"/>
        </w:numPr>
        <w:rPr>
          <w:rFonts w:ascii="Arial" w:cs="Arial" w:eastAsia="Arial" w:hAnsi="Arial"/>
          <w:sz w:val="16"/>
          <w:szCs w:val="16"/>
          <w:color w:val="auto"/>
        </w:rPr>
      </w:pPr>
      <w:r>
        <w:rPr>
          <w:rFonts w:ascii="Arial" w:cs="Arial" w:eastAsia="Arial" w:hAnsi="Arial"/>
          <w:sz w:val="16"/>
          <w:szCs w:val="16"/>
          <w:color w:val="auto"/>
        </w:rPr>
        <w:t>amortization over an eight-year period of the cost of purchased know-how and patents and rights to use a patent and know-how which are used for the development or advancement of the Industrial Enterprise;</w:t>
      </w:r>
    </w:p>
    <w:p>
      <w:pPr>
        <w:spacing w:after="0" w:line="200" w:lineRule="exact"/>
        <w:rPr>
          <w:rFonts w:ascii="Arial" w:cs="Arial" w:eastAsia="Arial" w:hAnsi="Arial"/>
          <w:sz w:val="16"/>
          <w:szCs w:val="16"/>
          <w:color w:val="auto"/>
        </w:rPr>
      </w:pPr>
    </w:p>
    <w:p>
      <w:pPr>
        <w:ind w:left="560" w:hanging="278"/>
        <w:spacing w:after="0"/>
        <w:tabs>
          <w:tab w:leader="none" w:pos="560" w:val="left"/>
        </w:tabs>
        <w:numPr>
          <w:ilvl w:val="0"/>
          <w:numId w:val="7"/>
        </w:numPr>
        <w:rPr>
          <w:rFonts w:ascii="Arial" w:cs="Arial" w:eastAsia="Arial" w:hAnsi="Arial"/>
          <w:sz w:val="16"/>
          <w:szCs w:val="16"/>
          <w:color w:val="auto"/>
        </w:rPr>
      </w:pPr>
      <w:r>
        <w:rPr>
          <w:rFonts w:ascii="Arial" w:cs="Arial" w:eastAsia="Arial" w:hAnsi="Arial"/>
          <w:sz w:val="16"/>
          <w:szCs w:val="16"/>
          <w:color w:val="auto"/>
        </w:rPr>
        <w:t>under limited conditions, an election to file consolidated tax returns with related Israeli Industrial Companies; and</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7"/>
        </w:numPr>
        <w:rPr>
          <w:rFonts w:ascii="Arial" w:cs="Arial" w:eastAsia="Arial" w:hAnsi="Arial"/>
          <w:sz w:val="16"/>
          <w:szCs w:val="16"/>
          <w:color w:val="auto"/>
        </w:rPr>
      </w:pPr>
      <w:r>
        <w:rPr>
          <w:rFonts w:ascii="Arial" w:cs="Arial" w:eastAsia="Arial" w:hAnsi="Arial"/>
          <w:sz w:val="16"/>
          <w:szCs w:val="16"/>
          <w:color w:val="auto"/>
        </w:rPr>
        <w:t>expenses related to a public offering are deductible in equal amounts over three years.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sectPr>
      </w:pPr>
    </w:p>
    <w:bookmarkStart w:id="19" w:name="page20"/>
    <w:bookmarkEnd w:id="19"/>
    <w:p>
      <w:pPr>
        <w:ind w:left="5" w:right="620" w:firstLine="572"/>
        <w:spacing w:after="0" w:line="287" w:lineRule="auto"/>
        <w:rPr>
          <w:sz w:val="20"/>
          <w:szCs w:val="20"/>
          <w:color w:val="auto"/>
        </w:rPr>
      </w:pPr>
      <w:r>
        <w:rPr>
          <w:rFonts w:ascii="Arial" w:cs="Arial" w:eastAsia="Arial" w:hAnsi="Arial"/>
          <w:sz w:val="19"/>
          <w:szCs w:val="19"/>
          <w:color w:val="auto"/>
        </w:rPr>
        <w:t>Although as of the date of this prospectus supplement, we do not have industrial production activities, we may qualify as an Industrial Company in the future and may be eligible for the benefits described above.</w:t>
      </w:r>
    </w:p>
    <w:p>
      <w:pPr>
        <w:spacing w:after="0" w:line="193"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Tax Benefits and Grants for Research and Development</w:t>
      </w:r>
    </w:p>
    <w:p>
      <w:pPr>
        <w:spacing w:after="0" w:line="259" w:lineRule="exact"/>
        <w:rPr>
          <w:sz w:val="20"/>
          <w:szCs w:val="20"/>
          <w:color w:val="auto"/>
        </w:rPr>
      </w:pPr>
    </w:p>
    <w:p>
      <w:pPr>
        <w:ind w:left="5" w:firstLine="572"/>
        <w:spacing w:after="0" w:line="287" w:lineRule="auto"/>
        <w:rPr>
          <w:sz w:val="20"/>
          <w:szCs w:val="20"/>
          <w:color w:val="auto"/>
        </w:rPr>
      </w:pPr>
      <w:r>
        <w:rPr>
          <w:rFonts w:ascii="Arial" w:cs="Arial" w:eastAsia="Arial" w:hAnsi="Arial"/>
          <w:sz w:val="19"/>
          <w:szCs w:val="19"/>
          <w:color w:val="auto"/>
        </w:rPr>
        <w:t>Israeli tax law allows, under certain conditions, a tax deduction for expenditures, including capital expenditures, for the year in which they are incurred. Expenditures are deemed related to scientific research and development projects, if:</w:t>
      </w:r>
    </w:p>
    <w:p>
      <w:pPr>
        <w:spacing w:after="0" w:line="188" w:lineRule="exact"/>
        <w:rPr>
          <w:sz w:val="20"/>
          <w:szCs w:val="20"/>
          <w:color w:val="auto"/>
        </w:rPr>
      </w:pPr>
    </w:p>
    <w:p>
      <w:pPr>
        <w:ind w:left="245" w:hanging="245"/>
        <w:spacing w:after="0"/>
        <w:tabs>
          <w:tab w:leader="none" w:pos="245"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expenditures are approved by the relevant Israeli government ministry, determined by the field of research;</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research and development must be for the promotion of the company; and</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research and development is carried out by or on behalf of the company seeking such tax deduction.</w:t>
      </w:r>
    </w:p>
    <w:p>
      <w:pPr>
        <w:spacing w:after="0" w:line="251" w:lineRule="exact"/>
        <w:rPr>
          <w:sz w:val="20"/>
          <w:szCs w:val="20"/>
          <w:color w:val="auto"/>
        </w:rPr>
      </w:pPr>
    </w:p>
    <w:p>
      <w:pPr>
        <w:jc w:val="both"/>
        <w:ind w:left="5" w:right="300" w:firstLine="572"/>
        <w:spacing w:after="0" w:line="270" w:lineRule="auto"/>
        <w:rPr>
          <w:sz w:val="20"/>
          <w:szCs w:val="20"/>
          <w:color w:val="auto"/>
        </w:rPr>
      </w:pPr>
      <w:r>
        <w:rPr>
          <w:rFonts w:ascii="Arial" w:cs="Arial" w:eastAsia="Arial" w:hAnsi="Arial"/>
          <w:sz w:val="19"/>
          <w:szCs w:val="19"/>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209" w:lineRule="exact"/>
        <w:rPr>
          <w:sz w:val="20"/>
          <w:szCs w:val="20"/>
          <w:color w:val="auto"/>
        </w:rPr>
      </w:pPr>
    </w:p>
    <w:p>
      <w:pPr>
        <w:jc w:val="both"/>
        <w:ind w:left="5" w:right="320" w:firstLine="572"/>
        <w:spacing w:after="0" w:line="287" w:lineRule="auto"/>
        <w:rPr>
          <w:sz w:val="20"/>
          <w:szCs w:val="20"/>
          <w:color w:val="auto"/>
        </w:rPr>
      </w:pPr>
      <w:r>
        <w:rPr>
          <w:rFonts w:ascii="Arial" w:cs="Arial" w:eastAsia="Arial" w:hAnsi="Arial"/>
          <w:sz w:val="19"/>
          <w:szCs w:val="19"/>
          <w:color w:val="auto"/>
        </w:rPr>
        <w:t>From time to time we may apply to the Israel Innovation Authority for approval to allow a tax deduction for all research and development expenses during the year incurred. There can be no assurance that such application will be accepted.</w:t>
      </w:r>
    </w:p>
    <w:p>
      <w:pPr>
        <w:spacing w:after="0" w:line="193"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Law for the Encouragement of Capital Investments, 5719-1959</w:t>
      </w:r>
    </w:p>
    <w:p>
      <w:pPr>
        <w:spacing w:after="0" w:line="259" w:lineRule="exact"/>
        <w:rPr>
          <w:sz w:val="20"/>
          <w:szCs w:val="20"/>
          <w:color w:val="auto"/>
        </w:rPr>
      </w:pPr>
    </w:p>
    <w:p>
      <w:pPr>
        <w:ind w:left="5" w:right="120" w:firstLine="572"/>
        <w:spacing w:after="0" w:line="350" w:lineRule="auto"/>
        <w:rPr>
          <w:sz w:val="20"/>
          <w:szCs w:val="20"/>
          <w:color w:val="auto"/>
        </w:rPr>
      </w:pPr>
      <w:r>
        <w:rPr>
          <w:rFonts w:ascii="Arial" w:cs="Arial" w:eastAsia="Arial" w:hAnsi="Arial"/>
          <w:sz w:val="17"/>
          <w:szCs w:val="17"/>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145" w:lineRule="exact"/>
        <w:rPr>
          <w:sz w:val="20"/>
          <w:szCs w:val="20"/>
          <w:color w:val="auto"/>
        </w:rPr>
      </w:pPr>
    </w:p>
    <w:p>
      <w:pPr>
        <w:ind w:left="5"/>
        <w:spacing w:after="0"/>
        <w:rPr>
          <w:sz w:val="20"/>
          <w:szCs w:val="20"/>
          <w:color w:val="auto"/>
        </w:rPr>
      </w:pPr>
      <w:r>
        <w:rPr>
          <w:rFonts w:ascii="Arial" w:cs="Arial" w:eastAsia="Arial" w:hAnsi="Arial"/>
          <w:sz w:val="19"/>
          <w:szCs w:val="19"/>
          <w:b w:val="1"/>
          <w:bCs w:val="1"/>
          <w:i w:val="1"/>
          <w:iCs w:val="1"/>
          <w:color w:val="auto"/>
        </w:rPr>
        <w:t>Tax Benefits Prior to the 2005 Amendment</w:t>
      </w:r>
    </w:p>
    <w:p>
      <w:pPr>
        <w:spacing w:after="0" w:line="259" w:lineRule="exact"/>
        <w:rPr>
          <w:sz w:val="20"/>
          <w:szCs w:val="20"/>
          <w:color w:val="auto"/>
        </w:rPr>
      </w:pPr>
    </w:p>
    <w:p>
      <w:pPr>
        <w:ind w:left="5" w:right="20" w:firstLine="572"/>
        <w:spacing w:after="0" w:line="307" w:lineRule="auto"/>
        <w:rPr>
          <w:sz w:val="20"/>
          <w:szCs w:val="20"/>
          <w:color w:val="auto"/>
        </w:rPr>
      </w:pPr>
      <w:r>
        <w:rPr>
          <w:rFonts w:ascii="Arial" w:cs="Arial" w:eastAsia="Arial" w:hAnsi="Arial"/>
          <w:sz w:val="17"/>
          <w:szCs w:val="17"/>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181" w:lineRule="exact"/>
        <w:rPr>
          <w:sz w:val="20"/>
          <w:szCs w:val="20"/>
          <w:color w:val="auto"/>
        </w:rPr>
      </w:pPr>
    </w:p>
    <w:p>
      <w:pPr>
        <w:jc w:val="both"/>
        <w:ind w:left="5" w:right="460" w:firstLine="572"/>
        <w:spacing w:after="0" w:line="321" w:lineRule="auto"/>
        <w:rPr>
          <w:sz w:val="20"/>
          <w:szCs w:val="20"/>
          <w:color w:val="auto"/>
        </w:rPr>
      </w:pPr>
      <w:r>
        <w:rPr>
          <w:rFonts w:ascii="Arial" w:cs="Arial" w:eastAsia="Arial" w:hAnsi="Arial"/>
          <w:sz w:val="17"/>
          <w:szCs w:val="17"/>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170" w:lineRule="exact"/>
        <w:rPr>
          <w:sz w:val="20"/>
          <w:szCs w:val="20"/>
          <w:color w:val="auto"/>
        </w:rPr>
      </w:pPr>
    </w:p>
    <w:p>
      <w:pPr>
        <w:ind w:left="5" w:right="180" w:firstLine="572"/>
        <w:spacing w:after="0" w:line="286" w:lineRule="auto"/>
        <w:rPr>
          <w:sz w:val="20"/>
          <w:szCs w:val="20"/>
          <w:color w:val="auto"/>
        </w:rPr>
      </w:pPr>
      <w:r>
        <w:rPr>
          <w:rFonts w:ascii="Arial" w:cs="Arial" w:eastAsia="Arial" w:hAnsi="Arial"/>
          <w:sz w:val="18"/>
          <w:szCs w:val="18"/>
          <w:color w:val="auto"/>
        </w:rPr>
        <w:t>In addition, a company that has an Approved Enterprise program is eligible for further tax benefits if it qualifies as a Foreign Investors’ Company, or FIC, which is a company with a level of foreign investment, as defined in the Investment Law.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not entitled to tax benefits for Approved Enterprise.</w:t>
      </w:r>
    </w:p>
    <w:p>
      <w:pPr>
        <w:spacing w:after="0" w:line="102"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S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40005</wp:posOffset>
            </wp:positionV>
            <wp:extent cx="7262495" cy="152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5"/>
          </w:cols>
          <w:pgMar w:left="235" w:top="371" w:right="239" w:bottom="1440" w:gutter="0" w:footer="0" w:header="0"/>
        </w:sectPr>
      </w:pPr>
    </w:p>
    <w:bookmarkStart w:id="20" w:name="page21"/>
    <w:bookmarkEnd w:id="20"/>
    <w:p>
      <w:pPr>
        <w:spacing w:after="0"/>
        <w:rPr>
          <w:sz w:val="20"/>
          <w:szCs w:val="20"/>
          <w:color w:val="auto"/>
        </w:rPr>
      </w:pPr>
      <w:r>
        <w:rPr>
          <w:rFonts w:ascii="Arial" w:cs="Arial" w:eastAsia="Arial" w:hAnsi="Arial"/>
          <w:sz w:val="19"/>
          <w:szCs w:val="19"/>
          <w:b w:val="1"/>
          <w:bCs w:val="1"/>
          <w:i w:val="1"/>
          <w:iCs w:val="1"/>
          <w:color w:val="auto"/>
        </w:rPr>
        <w:t>Tax Benefits Subsequent to the 2005 Amendment</w:t>
      </w:r>
    </w:p>
    <w:p>
      <w:pPr>
        <w:spacing w:after="0" w:line="259" w:lineRule="exact"/>
        <w:rPr>
          <w:sz w:val="20"/>
          <w:szCs w:val="20"/>
          <w:color w:val="auto"/>
        </w:rPr>
      </w:pPr>
    </w:p>
    <w:p>
      <w:pPr>
        <w:ind w:right="40" w:firstLine="572"/>
        <w:spacing w:after="0" w:line="266" w:lineRule="auto"/>
        <w:rPr>
          <w:sz w:val="20"/>
          <w:szCs w:val="20"/>
          <w:color w:val="auto"/>
        </w:rPr>
      </w:pPr>
      <w:r>
        <w:rPr>
          <w:rFonts w:ascii="Arial" w:cs="Arial" w:eastAsia="Arial" w:hAnsi="Arial"/>
          <w:sz w:val="19"/>
          <w:szCs w:val="19"/>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213" w:lineRule="exact"/>
        <w:rPr>
          <w:sz w:val="20"/>
          <w:szCs w:val="20"/>
          <w:color w:val="auto"/>
        </w:rPr>
      </w:pPr>
    </w:p>
    <w:p>
      <w:pPr>
        <w:ind w:right="60" w:firstLine="572"/>
        <w:spacing w:after="0" w:line="268" w:lineRule="auto"/>
        <w:rPr>
          <w:sz w:val="20"/>
          <w:szCs w:val="20"/>
          <w:color w:val="auto"/>
        </w:rPr>
      </w:pPr>
      <w:r>
        <w:rPr>
          <w:rFonts w:ascii="Arial" w:cs="Arial" w:eastAsia="Arial" w:hAnsi="Arial"/>
          <w:sz w:val="19"/>
          <w:szCs w:val="19"/>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211" w:lineRule="exact"/>
        <w:rPr>
          <w:sz w:val="20"/>
          <w:szCs w:val="20"/>
          <w:color w:val="auto"/>
        </w:rPr>
      </w:pPr>
    </w:p>
    <w:p>
      <w:pPr>
        <w:ind w:firstLine="572"/>
        <w:spacing w:after="0" w:line="266" w:lineRule="auto"/>
        <w:rPr>
          <w:sz w:val="20"/>
          <w:szCs w:val="20"/>
          <w:color w:val="auto"/>
        </w:rPr>
      </w:pPr>
      <w:r>
        <w:rPr>
          <w:rFonts w:ascii="Arial" w:cs="Arial" w:eastAsia="Arial" w:hAnsi="Arial"/>
          <w:sz w:val="19"/>
          <w:szCs w:val="19"/>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213" w:lineRule="exact"/>
        <w:rPr>
          <w:sz w:val="20"/>
          <w:szCs w:val="20"/>
          <w:color w:val="auto"/>
        </w:rPr>
      </w:pPr>
    </w:p>
    <w:p>
      <w:pPr>
        <w:ind w:right="60" w:firstLine="572"/>
        <w:spacing w:after="0" w:line="299" w:lineRule="auto"/>
        <w:rPr>
          <w:sz w:val="20"/>
          <w:szCs w:val="20"/>
          <w:color w:val="auto"/>
        </w:rPr>
      </w:pPr>
      <w:r>
        <w:rPr>
          <w:rFonts w:ascii="Arial" w:cs="Arial" w:eastAsia="Arial" w:hAnsi="Arial"/>
          <w:sz w:val="17"/>
          <w:szCs w:val="17"/>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20% or such lower rate as may be provided in an applicable tax treaty.</w:t>
      </w:r>
    </w:p>
    <w:p>
      <w:pPr>
        <w:spacing w:after="0" w:line="193" w:lineRule="exact"/>
        <w:rPr>
          <w:sz w:val="20"/>
          <w:szCs w:val="20"/>
          <w:color w:val="auto"/>
        </w:rPr>
      </w:pPr>
    </w:p>
    <w:p>
      <w:pPr>
        <w:ind w:right="40" w:firstLine="572"/>
        <w:spacing w:after="0" w:line="274" w:lineRule="auto"/>
        <w:rPr>
          <w:sz w:val="20"/>
          <w:szCs w:val="20"/>
          <w:color w:val="auto"/>
        </w:rPr>
      </w:pPr>
      <w:r>
        <w:rPr>
          <w:rFonts w:ascii="Arial" w:cs="Arial" w:eastAsia="Arial" w:hAnsi="Arial"/>
          <w:sz w:val="19"/>
          <w:szCs w:val="19"/>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206" w:lineRule="exact"/>
        <w:rPr>
          <w:sz w:val="20"/>
          <w:szCs w:val="20"/>
          <w:color w:val="auto"/>
        </w:rPr>
      </w:pPr>
    </w:p>
    <w:p>
      <w:pPr>
        <w:ind w:right="60" w:firstLine="572"/>
        <w:spacing w:after="0" w:line="268" w:lineRule="auto"/>
        <w:rPr>
          <w:sz w:val="20"/>
          <w:szCs w:val="20"/>
          <w:color w:val="auto"/>
        </w:rPr>
      </w:pPr>
      <w:r>
        <w:rPr>
          <w:rFonts w:ascii="Arial" w:cs="Arial" w:eastAsia="Arial" w:hAnsi="Arial"/>
          <w:sz w:val="19"/>
          <w:szCs w:val="19"/>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1" w:name="page22"/>
    <w:bookmarkEnd w:id="21"/>
    <w:p>
      <w:pPr>
        <w:spacing w:after="0"/>
        <w:rPr>
          <w:sz w:val="20"/>
          <w:szCs w:val="20"/>
          <w:color w:val="auto"/>
        </w:rPr>
      </w:pPr>
      <w:r>
        <w:rPr>
          <w:rFonts w:ascii="Arial" w:cs="Arial" w:eastAsia="Arial" w:hAnsi="Arial"/>
          <w:sz w:val="19"/>
          <w:szCs w:val="19"/>
          <w:b w:val="1"/>
          <w:bCs w:val="1"/>
          <w:i w:val="1"/>
          <w:iCs w:val="1"/>
          <w:color w:val="auto"/>
        </w:rPr>
        <w:t>Tax Benefits Under the 2011 Amendment</w:t>
      </w:r>
    </w:p>
    <w:p>
      <w:pPr>
        <w:spacing w:after="0" w:line="259" w:lineRule="exact"/>
        <w:rPr>
          <w:sz w:val="20"/>
          <w:szCs w:val="20"/>
          <w:color w:val="auto"/>
        </w:rPr>
      </w:pPr>
    </w:p>
    <w:p>
      <w:pPr>
        <w:ind w:right="520" w:firstLine="572"/>
        <w:spacing w:after="0" w:line="350" w:lineRule="auto"/>
        <w:rPr>
          <w:sz w:val="20"/>
          <w:szCs w:val="20"/>
          <w:color w:val="auto"/>
        </w:rPr>
      </w:pPr>
      <w:r>
        <w:rPr>
          <w:rFonts w:ascii="Arial" w:cs="Arial" w:eastAsia="Arial" w:hAnsi="Arial"/>
          <w:sz w:val="17"/>
          <w:szCs w:val="17"/>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145" w:lineRule="exact"/>
        <w:rPr>
          <w:sz w:val="20"/>
          <w:szCs w:val="20"/>
          <w:color w:val="auto"/>
        </w:rPr>
      </w:pPr>
    </w:p>
    <w:p>
      <w:pPr>
        <w:jc w:val="both"/>
        <w:ind w:right="340" w:firstLine="572"/>
        <w:spacing w:after="0" w:line="274" w:lineRule="auto"/>
        <w:rPr>
          <w:sz w:val="20"/>
          <w:szCs w:val="20"/>
          <w:color w:val="auto"/>
        </w:rPr>
      </w:pPr>
      <w:r>
        <w:rPr>
          <w:rFonts w:ascii="Arial" w:cs="Arial" w:eastAsia="Arial" w:hAnsi="Arial"/>
          <w:sz w:val="19"/>
          <w:szCs w:val="19"/>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206" w:lineRule="exact"/>
        <w:rPr>
          <w:sz w:val="20"/>
          <w:szCs w:val="20"/>
          <w:color w:val="auto"/>
        </w:rPr>
      </w:pPr>
    </w:p>
    <w:p>
      <w:pPr>
        <w:ind w:left="560"/>
        <w:spacing w:after="0"/>
        <w:rPr>
          <w:sz w:val="20"/>
          <w:szCs w:val="20"/>
          <w:color w:val="auto"/>
        </w:rPr>
      </w:pPr>
      <w:r>
        <w:rPr>
          <w:rFonts w:ascii="Arial" w:cs="Arial" w:eastAsia="Arial" w:hAnsi="Arial"/>
          <w:sz w:val="17"/>
          <w:szCs w:val="17"/>
          <w:color w:val="auto"/>
        </w:rPr>
        <w:t>A Preferred Company is entitled to a reduced flat tax rate with respect to the income attributed to the Preferred Enterprise, at the following</w:t>
      </w:r>
    </w:p>
    <w:p>
      <w:pPr>
        <w:spacing w:after="0" w:line="47" w:lineRule="exact"/>
        <w:rPr>
          <w:sz w:val="20"/>
          <w:szCs w:val="20"/>
          <w:color w:val="auto"/>
        </w:rPr>
      </w:pPr>
    </w:p>
    <w:p>
      <w:pPr>
        <w:spacing w:after="0"/>
        <w:rPr>
          <w:sz w:val="20"/>
          <w:szCs w:val="20"/>
          <w:color w:val="auto"/>
        </w:rPr>
      </w:pPr>
      <w:r>
        <w:rPr>
          <w:rFonts w:ascii="Arial" w:cs="Arial" w:eastAsia="Arial" w:hAnsi="Arial"/>
          <w:sz w:val="19"/>
          <w:szCs w:val="19"/>
          <w:color w:val="auto"/>
        </w:rPr>
        <w:t>rates:</w:t>
      </w:r>
    </w:p>
    <w:p>
      <w:pPr>
        <w:spacing w:after="0" w:line="246" w:lineRule="exact"/>
        <w:rPr>
          <w:sz w:val="20"/>
          <w:szCs w:val="20"/>
          <w:color w:val="auto"/>
        </w:rPr>
      </w:pPr>
    </w:p>
    <w:tbl>
      <w:tblPr>
        <w:tblLayout w:type="fixed"/>
        <w:tblInd w:w="400" w:type="dxa"/>
        <w:tblCellMar>
          <w:top w:w="0" w:type="dxa"/>
          <w:left w:w="0" w:type="dxa"/>
          <w:bottom w:w="0" w:type="dxa"/>
          <w:right w:w="0" w:type="dxa"/>
        </w:tblCellMar>
      </w:tblPr>
      <w:tr>
        <w:trPr>
          <w:trHeight w:val="191"/>
        </w:trPr>
        <w:tc>
          <w:tcPr>
            <w:tcW w:w="75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89"/>
              </w:rPr>
              <w:t>Development</w:t>
            </w:r>
          </w:p>
        </w:tc>
        <w:tc>
          <w:tcPr>
            <w:tcW w:w="1400" w:type="dxa"/>
            <w:vAlign w:val="bottom"/>
            <w:gridSpan w:val="2"/>
          </w:tcPr>
          <w:p>
            <w:pPr>
              <w:ind w:left="220"/>
              <w:spacing w:after="0"/>
              <w:rPr>
                <w:sz w:val="20"/>
                <w:szCs w:val="20"/>
                <w:color w:val="auto"/>
              </w:rPr>
            </w:pPr>
            <w:r>
              <w:rPr>
                <w:rFonts w:ascii="Arial" w:cs="Arial" w:eastAsia="Arial" w:hAnsi="Arial"/>
                <w:sz w:val="16"/>
                <w:szCs w:val="16"/>
                <w:b w:val="1"/>
                <w:bCs w:val="1"/>
                <w:color w:val="auto"/>
              </w:rPr>
              <w:t>Other Areas</w:t>
            </w:r>
          </w:p>
        </w:tc>
      </w:tr>
      <w:tr>
        <w:trPr>
          <w:trHeight w:val="211"/>
        </w:trPr>
        <w:tc>
          <w:tcPr>
            <w:tcW w:w="752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Tax Year</w:t>
            </w:r>
          </w:p>
        </w:tc>
        <w:tc>
          <w:tcPr>
            <w:tcW w:w="200" w:type="dxa"/>
            <w:vAlign w:val="bottom"/>
          </w:tcPr>
          <w:p>
            <w:pPr>
              <w:spacing w:after="0"/>
              <w:rPr>
                <w:sz w:val="18"/>
                <w:szCs w:val="18"/>
                <w:color w:val="auto"/>
              </w:rPr>
            </w:pPr>
          </w:p>
        </w:tc>
        <w:tc>
          <w:tcPr>
            <w:tcW w:w="126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0"/>
              </w:rPr>
              <w:t>Region “A”</w:t>
            </w:r>
          </w:p>
        </w:tc>
        <w:tc>
          <w:tcPr>
            <w:tcW w:w="240" w:type="dxa"/>
            <w:vAlign w:val="bottom"/>
          </w:tcPr>
          <w:p>
            <w:pPr>
              <w:spacing w:after="0"/>
              <w:rPr>
                <w:sz w:val="18"/>
                <w:szCs w:val="18"/>
                <w:color w:val="auto"/>
              </w:rPr>
            </w:pPr>
          </w:p>
        </w:tc>
        <w:tc>
          <w:tcPr>
            <w:tcW w:w="1260" w:type="dxa"/>
            <w:vAlign w:val="bottom"/>
            <w:tcBorders>
              <w:bottom w:val="single" w:sz="8" w:color="auto"/>
            </w:tcBorders>
          </w:tcPr>
          <w:p>
            <w:pPr>
              <w:ind w:left="200"/>
              <w:spacing w:after="0"/>
              <w:rPr>
                <w:sz w:val="20"/>
                <w:szCs w:val="20"/>
                <w:color w:val="auto"/>
              </w:rPr>
            </w:pPr>
            <w:r>
              <w:rPr>
                <w:rFonts w:ascii="Arial" w:cs="Arial" w:eastAsia="Arial" w:hAnsi="Arial"/>
                <w:sz w:val="16"/>
                <w:szCs w:val="16"/>
                <w:b w:val="1"/>
                <w:bCs w:val="1"/>
                <w:color w:val="auto"/>
              </w:rPr>
              <w:t>within Israel</w:t>
            </w:r>
          </w:p>
        </w:tc>
        <w:tc>
          <w:tcPr>
            <w:tcW w:w="140" w:type="dxa"/>
            <w:vAlign w:val="bottom"/>
          </w:tcPr>
          <w:p>
            <w:pPr>
              <w:spacing w:after="0"/>
              <w:rPr>
                <w:sz w:val="18"/>
                <w:szCs w:val="18"/>
                <w:color w:val="auto"/>
              </w:rPr>
            </w:pPr>
          </w:p>
        </w:tc>
      </w:tr>
      <w:tr>
        <w:trPr>
          <w:trHeight w:val="191"/>
        </w:trPr>
        <w:tc>
          <w:tcPr>
            <w:tcW w:w="7520" w:type="dxa"/>
            <w:vAlign w:val="bottom"/>
            <w:shd w:val="clear" w:color="auto" w:fill="CCEEFF"/>
          </w:tcPr>
          <w:p>
            <w:pPr>
              <w:spacing w:after="0"/>
              <w:rPr>
                <w:sz w:val="20"/>
                <w:szCs w:val="20"/>
                <w:color w:val="auto"/>
              </w:rPr>
            </w:pPr>
            <w:r>
              <w:rPr>
                <w:rFonts w:ascii="Arial" w:cs="Arial" w:eastAsia="Arial" w:hAnsi="Arial"/>
                <w:sz w:val="16"/>
                <w:szCs w:val="16"/>
                <w:color w:val="auto"/>
              </w:rPr>
              <w:t>2011 – 2012</w:t>
            </w:r>
          </w:p>
        </w:tc>
        <w:tc>
          <w:tcPr>
            <w:tcW w:w="200" w:type="dxa"/>
            <w:vAlign w:val="bottom"/>
            <w:shd w:val="clear" w:color="auto" w:fill="CCEEFF"/>
          </w:tcPr>
          <w:p>
            <w:pPr>
              <w:spacing w:after="0"/>
              <w:rPr>
                <w:sz w:val="16"/>
                <w:szCs w:val="16"/>
                <w:color w:val="auto"/>
              </w:rPr>
            </w:pPr>
          </w:p>
        </w:tc>
        <w:tc>
          <w:tcPr>
            <w:tcW w:w="150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10%</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15%</w:t>
            </w:r>
          </w:p>
        </w:tc>
      </w:tr>
      <w:tr>
        <w:trPr>
          <w:trHeight w:val="191"/>
        </w:trPr>
        <w:tc>
          <w:tcPr>
            <w:tcW w:w="7520" w:type="dxa"/>
            <w:vAlign w:val="bottom"/>
          </w:tcPr>
          <w:p>
            <w:pPr>
              <w:spacing w:after="0"/>
              <w:rPr>
                <w:sz w:val="20"/>
                <w:szCs w:val="20"/>
                <w:color w:val="auto"/>
              </w:rPr>
            </w:pPr>
            <w:r>
              <w:rPr>
                <w:rFonts w:ascii="Arial" w:cs="Arial" w:eastAsia="Arial" w:hAnsi="Arial"/>
                <w:sz w:val="16"/>
                <w:szCs w:val="16"/>
                <w:color w:val="auto"/>
              </w:rPr>
              <w:t>2013</w:t>
            </w:r>
          </w:p>
        </w:tc>
        <w:tc>
          <w:tcPr>
            <w:tcW w:w="1700" w:type="dxa"/>
            <w:vAlign w:val="bottom"/>
            <w:gridSpan w:val="3"/>
          </w:tcPr>
          <w:p>
            <w:pPr>
              <w:jc w:val="right"/>
              <w:ind w:right="100"/>
              <w:spacing w:after="0"/>
              <w:rPr>
                <w:sz w:val="20"/>
                <w:szCs w:val="20"/>
                <w:color w:val="auto"/>
              </w:rPr>
            </w:pPr>
            <w:r>
              <w:rPr>
                <w:rFonts w:ascii="Arial" w:cs="Arial" w:eastAsia="Arial" w:hAnsi="Arial"/>
                <w:sz w:val="16"/>
                <w:szCs w:val="16"/>
                <w:color w:val="auto"/>
              </w:rPr>
              <w:t>7%</w:t>
            </w:r>
          </w:p>
        </w:tc>
        <w:tc>
          <w:tcPr>
            <w:tcW w:w="1400" w:type="dxa"/>
            <w:vAlign w:val="bottom"/>
            <w:gridSpan w:val="2"/>
          </w:tcPr>
          <w:p>
            <w:pPr>
              <w:jc w:val="right"/>
              <w:spacing w:after="0"/>
              <w:rPr>
                <w:sz w:val="20"/>
                <w:szCs w:val="20"/>
                <w:color w:val="auto"/>
              </w:rPr>
            </w:pPr>
            <w:r>
              <w:rPr>
                <w:rFonts w:ascii="Arial" w:cs="Arial" w:eastAsia="Arial" w:hAnsi="Arial"/>
                <w:sz w:val="16"/>
                <w:szCs w:val="16"/>
                <w:color w:val="auto"/>
              </w:rPr>
              <w:t>12.5%</w:t>
            </w:r>
          </w:p>
        </w:tc>
      </w:tr>
      <w:tr>
        <w:trPr>
          <w:trHeight w:val="191"/>
        </w:trPr>
        <w:tc>
          <w:tcPr>
            <w:tcW w:w="7520" w:type="dxa"/>
            <w:vAlign w:val="bottom"/>
            <w:shd w:val="clear" w:color="auto" w:fill="CCEEFF"/>
          </w:tcPr>
          <w:p>
            <w:pPr>
              <w:spacing w:after="0"/>
              <w:rPr>
                <w:sz w:val="20"/>
                <w:szCs w:val="20"/>
                <w:color w:val="auto"/>
              </w:rPr>
            </w:pPr>
            <w:r>
              <w:rPr>
                <w:rFonts w:ascii="Arial" w:cs="Arial" w:eastAsia="Arial" w:hAnsi="Arial"/>
                <w:sz w:val="16"/>
                <w:szCs w:val="16"/>
                <w:color w:val="auto"/>
              </w:rPr>
              <w:t>2014 – 2016</w:t>
            </w:r>
          </w:p>
        </w:tc>
        <w:tc>
          <w:tcPr>
            <w:tcW w:w="1700" w:type="dxa"/>
            <w:vAlign w:val="bottom"/>
            <w:gridSpan w:val="3"/>
            <w:shd w:val="clear" w:color="auto" w:fill="CCEEFF"/>
          </w:tcPr>
          <w:p>
            <w:pPr>
              <w:jc w:val="right"/>
              <w:ind w:right="100"/>
              <w:spacing w:after="0"/>
              <w:rPr>
                <w:sz w:val="20"/>
                <w:szCs w:val="20"/>
                <w:color w:val="auto"/>
              </w:rPr>
            </w:pPr>
            <w:r>
              <w:rPr>
                <w:rFonts w:ascii="Arial" w:cs="Arial" w:eastAsia="Arial" w:hAnsi="Arial"/>
                <w:sz w:val="16"/>
                <w:szCs w:val="16"/>
                <w:color w:val="auto"/>
              </w:rPr>
              <w:t>9%</w:t>
            </w:r>
          </w:p>
        </w:tc>
        <w:tc>
          <w:tcPr>
            <w:tcW w:w="14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16%</w:t>
            </w:r>
          </w:p>
        </w:tc>
      </w:tr>
      <w:tr>
        <w:trPr>
          <w:trHeight w:val="204"/>
        </w:trPr>
        <w:tc>
          <w:tcPr>
            <w:tcW w:w="7520" w:type="dxa"/>
            <w:vAlign w:val="bottom"/>
          </w:tcPr>
          <w:p>
            <w:pPr>
              <w:spacing w:after="0"/>
              <w:rPr>
                <w:sz w:val="20"/>
                <w:szCs w:val="20"/>
                <w:color w:val="auto"/>
              </w:rPr>
            </w:pPr>
            <w:r>
              <w:rPr>
                <w:rFonts w:ascii="Arial" w:cs="Arial" w:eastAsia="Arial" w:hAnsi="Arial"/>
                <w:sz w:val="16"/>
                <w:szCs w:val="16"/>
                <w:color w:val="auto"/>
              </w:rPr>
              <w:t>2017 and thereafter</w:t>
            </w:r>
          </w:p>
        </w:tc>
        <w:tc>
          <w:tcPr>
            <w:tcW w:w="1700" w:type="dxa"/>
            <w:vAlign w:val="bottom"/>
            <w:gridSpan w:val="3"/>
          </w:tcPr>
          <w:p>
            <w:pPr>
              <w:jc w:val="right"/>
              <w:ind w:right="100"/>
              <w:spacing w:after="0"/>
              <w:rPr>
                <w:sz w:val="20"/>
                <w:szCs w:val="20"/>
                <w:color w:val="auto"/>
              </w:rPr>
            </w:pPr>
            <w:r>
              <w:rPr>
                <w:rFonts w:ascii="Arial" w:cs="Arial" w:eastAsia="Arial" w:hAnsi="Arial"/>
                <w:sz w:val="16"/>
                <w:szCs w:val="16"/>
                <w:color w:val="auto"/>
              </w:rPr>
              <w:t>7.5%</w:t>
            </w:r>
          </w:p>
        </w:tc>
        <w:tc>
          <w:tcPr>
            <w:tcW w:w="1400" w:type="dxa"/>
            <w:vAlign w:val="bottom"/>
            <w:gridSpan w:val="2"/>
          </w:tcPr>
          <w:p>
            <w:pPr>
              <w:jc w:val="right"/>
              <w:spacing w:after="0"/>
              <w:rPr>
                <w:sz w:val="20"/>
                <w:szCs w:val="20"/>
                <w:color w:val="auto"/>
              </w:rPr>
            </w:pPr>
            <w:r>
              <w:rPr>
                <w:rFonts w:ascii="Arial" w:cs="Arial" w:eastAsia="Arial" w:hAnsi="Arial"/>
                <w:sz w:val="16"/>
                <w:szCs w:val="16"/>
                <w:color w:val="auto"/>
              </w:rPr>
              <w:t>16%</w:t>
            </w:r>
          </w:p>
        </w:tc>
      </w:tr>
    </w:tbl>
    <w:p>
      <w:pPr>
        <w:spacing w:after="0" w:line="219" w:lineRule="exact"/>
        <w:rPr>
          <w:sz w:val="20"/>
          <w:szCs w:val="20"/>
          <w:color w:val="auto"/>
        </w:rPr>
      </w:pPr>
    </w:p>
    <w:p>
      <w:pPr>
        <w:jc w:val="both"/>
        <w:ind w:firstLine="572"/>
        <w:spacing w:after="0" w:line="296" w:lineRule="auto"/>
        <w:rPr>
          <w:sz w:val="20"/>
          <w:szCs w:val="20"/>
          <w:color w:val="auto"/>
        </w:rPr>
      </w:pPr>
      <w:r>
        <w:rPr>
          <w:rFonts w:ascii="Arial" w:cs="Arial" w:eastAsia="Arial" w:hAnsi="Arial"/>
          <w:sz w:val="18"/>
          <w:szCs w:val="18"/>
          <w:color w:val="auto"/>
        </w:rPr>
        <w:t>Dividends distributed from income which is attributed to a “Preferred Enterprise” will be subject to withholding tax at source at the following rates: (i) Israeli resident corporations — 0%, (ii) Israeli resident individuals — 20% in 2020, and (iii) non-Israeli residents — 4% in 2020, subject to the provisions within the Investment Law and to a reduced tax rate under the provisions of an applicable double tax treaty.</w:t>
      </w:r>
    </w:p>
    <w:p>
      <w:pPr>
        <w:spacing w:after="0" w:line="188" w:lineRule="exact"/>
        <w:rPr>
          <w:sz w:val="20"/>
          <w:szCs w:val="20"/>
          <w:color w:val="auto"/>
        </w:rPr>
      </w:pPr>
    </w:p>
    <w:p>
      <w:pPr>
        <w:ind w:right="80" w:firstLine="572"/>
        <w:spacing w:after="0" w:line="270" w:lineRule="auto"/>
        <w:rPr>
          <w:sz w:val="20"/>
          <w:szCs w:val="20"/>
          <w:color w:val="auto"/>
        </w:rPr>
      </w:pPr>
      <w:r>
        <w:rPr>
          <w:rFonts w:ascii="Arial" w:cs="Arial" w:eastAsia="Arial" w:hAnsi="Arial"/>
          <w:sz w:val="19"/>
          <w:szCs w:val="19"/>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by an additional 4%). In addition, a company owning a Preferred Enterprise under the Grant Track may be entitled also to the tax benefits which are prescribed for a Preferred Company.</w:t>
      </w:r>
    </w:p>
    <w:p>
      <w:pPr>
        <w:spacing w:after="0" w:line="209" w:lineRule="exact"/>
        <w:rPr>
          <w:sz w:val="20"/>
          <w:szCs w:val="20"/>
          <w:color w:val="auto"/>
        </w:rPr>
      </w:pPr>
    </w:p>
    <w:p>
      <w:pPr>
        <w:ind w:right="760" w:firstLine="572"/>
        <w:spacing w:after="0" w:line="287" w:lineRule="auto"/>
        <w:rPr>
          <w:sz w:val="20"/>
          <w:szCs w:val="20"/>
          <w:color w:val="auto"/>
        </w:rPr>
      </w:pPr>
      <w:r>
        <w:rPr>
          <w:rFonts w:ascii="Arial" w:cs="Arial" w:eastAsia="Arial" w:hAnsi="Arial"/>
          <w:sz w:val="19"/>
          <w:szCs w:val="19"/>
          <w:color w:val="auto"/>
        </w:rPr>
        <w:t>The termination or substantial reduction of any of the benefits available under the Investment Law could materially increase our tax liabilities.</w:t>
      </w:r>
    </w:p>
    <w:p>
      <w:pPr>
        <w:spacing w:after="0" w:line="193" w:lineRule="exact"/>
        <w:rPr>
          <w:sz w:val="20"/>
          <w:szCs w:val="20"/>
          <w:color w:val="auto"/>
        </w:rPr>
      </w:pPr>
    </w:p>
    <w:p>
      <w:pPr>
        <w:ind w:left="560"/>
        <w:spacing w:after="0"/>
        <w:rPr>
          <w:sz w:val="20"/>
          <w:szCs w:val="20"/>
          <w:color w:val="auto"/>
        </w:rPr>
      </w:pPr>
      <w:r>
        <w:rPr>
          <w:rFonts w:ascii="Arial" w:cs="Arial" w:eastAsia="Arial" w:hAnsi="Arial"/>
          <w:sz w:val="19"/>
          <w:szCs w:val="19"/>
          <w:color w:val="auto"/>
        </w:rPr>
        <w:t>We are currently not entitled to tax benefits for a Preferred Enterprise.</w:t>
      </w:r>
    </w:p>
    <w:p>
      <w:pPr>
        <w:spacing w:after="0" w:line="259"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Taxation of Our Shareholders</w:t>
      </w:r>
    </w:p>
    <w:p>
      <w:pPr>
        <w:spacing w:after="0" w:line="259"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Capital Gains</w:t>
      </w:r>
    </w:p>
    <w:p>
      <w:pPr>
        <w:spacing w:after="0" w:line="259" w:lineRule="exact"/>
        <w:rPr>
          <w:sz w:val="20"/>
          <w:szCs w:val="20"/>
          <w:color w:val="auto"/>
        </w:rPr>
      </w:pPr>
    </w:p>
    <w:p>
      <w:pPr>
        <w:ind w:firstLine="572"/>
        <w:spacing w:after="0" w:line="286" w:lineRule="auto"/>
        <w:rPr>
          <w:sz w:val="20"/>
          <w:szCs w:val="20"/>
          <w:color w:val="auto"/>
        </w:rPr>
      </w:pPr>
      <w:r>
        <w:rPr>
          <w:rFonts w:ascii="Arial" w:cs="Arial" w:eastAsia="Arial" w:hAnsi="Arial"/>
          <w:sz w:val="18"/>
          <w:szCs w:val="18"/>
          <w:color w:val="auto"/>
        </w:rPr>
        <w:t>Capital gain tax is imposed on the disposition of capital assets by an Israeli resident, and on the disposition of such assets by a non-Israeli resident if those assets are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198" w:lineRule="exact"/>
        <w:rPr>
          <w:sz w:val="20"/>
          <w:szCs w:val="20"/>
          <w:color w:val="auto"/>
        </w:rPr>
      </w:pPr>
    </w:p>
    <w:p>
      <w:pPr>
        <w:jc w:val="both"/>
        <w:ind w:right="20" w:firstLine="572"/>
        <w:spacing w:after="0" w:line="321" w:lineRule="auto"/>
        <w:rPr>
          <w:sz w:val="20"/>
          <w:szCs w:val="20"/>
          <w:color w:val="auto"/>
        </w:rPr>
      </w:pPr>
      <w:r>
        <w:rPr>
          <w:rFonts w:ascii="Arial" w:cs="Arial" w:eastAsia="Arial" w:hAnsi="Arial"/>
          <w:sz w:val="17"/>
          <w:szCs w:val="17"/>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Real Gain derived by corporations will be generally subject to the corporate tax rate of 23% in 2018 and thereafter.</w:t>
      </w:r>
    </w:p>
    <w:p>
      <w:pPr>
        <w:spacing w:after="0" w:line="378" w:lineRule="exact"/>
        <w:rPr>
          <w:sz w:val="20"/>
          <w:szCs w:val="20"/>
          <w:color w:val="auto"/>
        </w:rPr>
      </w:pPr>
    </w:p>
    <w:p>
      <w:pPr>
        <w:jc w:val="center"/>
        <w:ind w:right="-39"/>
        <w:spacing w:after="0"/>
        <w:rPr>
          <w:sz w:val="20"/>
          <w:szCs w:val="20"/>
          <w:color w:val="auto"/>
        </w:rPr>
      </w:pPr>
      <w:r>
        <w:rPr>
          <w:rFonts w:ascii="Arial" w:cs="Arial" w:eastAsia="Arial" w:hAnsi="Arial"/>
          <w:sz w:val="19"/>
          <w:szCs w:val="19"/>
          <w:color w:val="auto"/>
        </w:rPr>
        <w:t>S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2" w:name="page23"/>
    <w:bookmarkEnd w:id="22"/>
    <w:p>
      <w:pPr>
        <w:ind w:right="660" w:firstLine="572"/>
        <w:spacing w:after="0" w:line="317" w:lineRule="auto"/>
        <w:rPr>
          <w:sz w:val="20"/>
          <w:szCs w:val="20"/>
          <w:color w:val="auto"/>
        </w:rPr>
      </w:pPr>
      <w:r>
        <w:rPr>
          <w:rFonts w:ascii="Arial" w:cs="Arial" w:eastAsia="Arial" w:hAnsi="Arial"/>
          <w:sz w:val="18"/>
          <w:szCs w:val="18"/>
          <w:color w:val="auto"/>
        </w:rPr>
        <w:t>Individual and corporate shareholder dealing in securities in Israel are taxed at the tax rates applicable to business income — 23% for corporations in 2018 and thereafter, and a marginal tax rate of up to 50% for individuals, including an excess tax.</w:t>
      </w:r>
    </w:p>
    <w:p>
      <w:pPr>
        <w:spacing w:after="0" w:line="169" w:lineRule="exact"/>
        <w:rPr>
          <w:sz w:val="20"/>
          <w:szCs w:val="20"/>
          <w:color w:val="auto"/>
        </w:rPr>
      </w:pPr>
    </w:p>
    <w:p>
      <w:pPr>
        <w:ind w:right="80" w:firstLine="572"/>
        <w:spacing w:after="0" w:line="267" w:lineRule="auto"/>
        <w:rPr>
          <w:sz w:val="20"/>
          <w:szCs w:val="20"/>
          <w:color w:val="auto"/>
        </w:rPr>
      </w:pPr>
      <w:r>
        <w:rPr>
          <w:rFonts w:ascii="Arial" w:cs="Arial" w:eastAsia="Arial" w:hAnsi="Arial"/>
          <w:sz w:val="19"/>
          <w:szCs w:val="19"/>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211" w:lineRule="exact"/>
        <w:rPr>
          <w:sz w:val="20"/>
          <w:szCs w:val="20"/>
          <w:color w:val="auto"/>
        </w:rPr>
      </w:pPr>
    </w:p>
    <w:p>
      <w:pPr>
        <w:ind w:right="20" w:firstLine="572"/>
        <w:spacing w:after="0" w:line="286" w:lineRule="auto"/>
        <w:rPr>
          <w:sz w:val="20"/>
          <w:szCs w:val="20"/>
          <w:color w:val="auto"/>
        </w:rPr>
      </w:pPr>
      <w:r>
        <w:rPr>
          <w:rFonts w:ascii="Arial" w:cs="Arial" w:eastAsia="Arial" w:hAnsi="Arial"/>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198" w:lineRule="exact"/>
        <w:rPr>
          <w:sz w:val="20"/>
          <w:szCs w:val="20"/>
          <w:color w:val="auto"/>
        </w:rPr>
      </w:pPr>
    </w:p>
    <w:p>
      <w:pPr>
        <w:ind w:right="120" w:firstLine="572"/>
        <w:spacing w:after="0" w:line="270" w:lineRule="auto"/>
        <w:rPr>
          <w:sz w:val="20"/>
          <w:szCs w:val="20"/>
          <w:color w:val="auto"/>
        </w:rPr>
      </w:pPr>
      <w:r>
        <w:rPr>
          <w:rFonts w:ascii="Arial" w:cs="Arial" w:eastAsia="Arial" w:hAnsi="Arial"/>
          <w:sz w:val="19"/>
          <w:szCs w:val="19"/>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(23% in 2018 and thereafter) if the seller is a corporation. Shareholders may be required to demonstrate that they are exempt from tax on their capital gains in order to avoid withholding at source at the time of sale.</w:t>
      </w:r>
    </w:p>
    <w:p>
      <w:pPr>
        <w:spacing w:after="0" w:line="209" w:lineRule="exact"/>
        <w:rPr>
          <w:sz w:val="20"/>
          <w:szCs w:val="20"/>
          <w:color w:val="auto"/>
        </w:rPr>
      </w:pPr>
    </w:p>
    <w:p>
      <w:pPr>
        <w:ind w:right="120" w:firstLine="572"/>
        <w:spacing w:after="0" w:line="311" w:lineRule="auto"/>
        <w:rPr>
          <w:sz w:val="20"/>
          <w:szCs w:val="20"/>
          <w:color w:val="auto"/>
        </w:rPr>
      </w:pPr>
      <w:r>
        <w:rPr>
          <w:rFonts w:ascii="Arial" w:cs="Arial" w:eastAsia="Arial" w:hAnsi="Arial"/>
          <w:sz w:val="17"/>
          <w:szCs w:val="17"/>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179"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Dividends</w:t>
      </w:r>
    </w:p>
    <w:p>
      <w:pPr>
        <w:spacing w:after="0" w:line="259" w:lineRule="exact"/>
        <w:rPr>
          <w:sz w:val="20"/>
          <w:szCs w:val="20"/>
          <w:color w:val="auto"/>
        </w:rPr>
      </w:pPr>
    </w:p>
    <w:p>
      <w:pPr>
        <w:ind w:right="40" w:firstLine="572"/>
        <w:spacing w:after="0" w:line="265" w:lineRule="auto"/>
        <w:rPr>
          <w:sz w:val="20"/>
          <w:szCs w:val="20"/>
          <w:color w:val="auto"/>
        </w:rPr>
      </w:pPr>
      <w:r>
        <w:rPr>
          <w:rFonts w:ascii="Arial" w:cs="Arial" w:eastAsia="Arial" w:hAnsi="Arial"/>
          <w:sz w:val="19"/>
          <w:szCs w:val="19"/>
          <w:color w:val="auto"/>
        </w:rPr>
        <w:t>We have never paid cash dividends. A distribution of a dividend by our company from income attributed to a Benefited Enterprise will generally be subject to withholding tax in Israel at a rate of 20% unless a reduced tax rate is provided under an applicable tax treaty. A distribution of a dividend by our company from income attributed to a Preferred Enterprise will generally be subject to withholding tax in Israel at the following tax rates: Israeli resident individuals — 20%; Israeli resident companies — 0% for a Preferred Enterprise; Non-Israeli residents — 20%,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214" w:lineRule="exact"/>
        <w:rPr>
          <w:sz w:val="20"/>
          <w:szCs w:val="20"/>
          <w:color w:val="auto"/>
        </w:rPr>
      </w:pPr>
    </w:p>
    <w:p>
      <w:pPr>
        <w:ind w:firstLine="572"/>
        <w:spacing w:after="0" w:line="280" w:lineRule="auto"/>
        <w:rPr>
          <w:sz w:val="20"/>
          <w:szCs w:val="20"/>
          <w:color w:val="auto"/>
        </w:rPr>
      </w:pPr>
      <w:r>
        <w:rPr>
          <w:rFonts w:ascii="Arial" w:cs="Arial" w:eastAsia="Arial" w:hAnsi="Arial"/>
          <w:sz w:val="18"/>
          <w:szCs w:val="18"/>
          <w:color w:val="auto"/>
        </w:rPr>
        <w:t>The Israeli Tax Ordinance provides that a non-Israeli resident (either individual or corporation) is generally subject to Israeli withholding tax on the receipt of dividends at the rate of 25% (30% if the dividends recipient is a Controlling Shareholder,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 (i) 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3" w:name="page24"/>
    <w:bookmarkEnd w:id="23"/>
    <w:p>
      <w:pPr>
        <w:ind w:firstLine="572"/>
        <w:spacing w:after="0" w:line="296" w:lineRule="auto"/>
        <w:rPr>
          <w:sz w:val="20"/>
          <w:szCs w:val="20"/>
          <w:color w:val="auto"/>
        </w:rPr>
      </w:pPr>
      <w:r>
        <w:rPr>
          <w:rFonts w:ascii="Arial" w:cs="Arial" w:eastAsia="Arial" w:hAnsi="Arial"/>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188" w:lineRule="exact"/>
        <w:rPr>
          <w:sz w:val="20"/>
          <w:szCs w:val="20"/>
          <w:color w:val="auto"/>
        </w:rPr>
      </w:pPr>
    </w:p>
    <w:p>
      <w:pPr>
        <w:jc w:val="both"/>
        <w:ind w:right="560" w:firstLine="572"/>
        <w:spacing w:after="0" w:line="321" w:lineRule="auto"/>
        <w:rPr>
          <w:sz w:val="20"/>
          <w:szCs w:val="20"/>
          <w:color w:val="auto"/>
        </w:rPr>
      </w:pPr>
      <w:r>
        <w:rPr>
          <w:rFonts w:ascii="Arial" w:cs="Arial" w:eastAsia="Arial" w:hAnsi="Arial"/>
          <w:sz w:val="17"/>
          <w:szCs w:val="17"/>
          <w:color w:val="auto"/>
        </w:rPr>
        <w:t>Dividends are generally subject to Israeli withholding tax at a rate of 25% so long as the shares are registered with a nominee company (whether or not the recipient is a Controlling Shareholder), unless relief is provided in a treaty between Israel and the shareholder’s country of residence and provided that a certificate from the Israel Tax Authority allowing for a reduced withholding tax rate is obtained in advance.</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Excess Tax</w:t>
      </w:r>
    </w:p>
    <w:p>
      <w:pPr>
        <w:spacing w:after="0" w:line="259" w:lineRule="exact"/>
        <w:rPr>
          <w:sz w:val="20"/>
          <w:szCs w:val="20"/>
          <w:color w:val="auto"/>
        </w:rPr>
      </w:pPr>
    </w:p>
    <w:p>
      <w:pPr>
        <w:ind w:right="40" w:firstLine="572"/>
        <w:spacing w:after="0" w:line="274" w:lineRule="auto"/>
        <w:rPr>
          <w:sz w:val="20"/>
          <w:szCs w:val="20"/>
          <w:color w:val="auto"/>
        </w:rPr>
      </w:pPr>
      <w:r>
        <w:rPr>
          <w:rFonts w:ascii="Arial" w:cs="Arial" w:eastAsia="Arial" w:hAnsi="Arial"/>
          <w:sz w:val="19"/>
          <w:szCs w:val="19"/>
          <w:color w:val="auto"/>
        </w:rPr>
        <w:t>Individuals who are subject to tax in Israel are also subject to an additional tax at a rate of 3% on annual income exceeding NIS 640,000 for 2017 and thereafter, linked to the annual change in the Israeli consumer price index (NIS 641,880 for 2018 and NIS 649,560 for 2019), including, but not limited to income derived from, dividends, interest and capital gains.</w:t>
      </w:r>
    </w:p>
    <w:p>
      <w:pPr>
        <w:spacing w:after="0" w:line="206"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Foreign Exchange Regulations</w:t>
      </w:r>
    </w:p>
    <w:p>
      <w:pPr>
        <w:spacing w:after="0" w:line="259" w:lineRule="exact"/>
        <w:rPr>
          <w:sz w:val="20"/>
          <w:szCs w:val="20"/>
          <w:color w:val="auto"/>
        </w:rPr>
      </w:pPr>
    </w:p>
    <w:p>
      <w:pPr>
        <w:ind w:right="340" w:firstLine="572"/>
        <w:spacing w:after="0" w:line="311" w:lineRule="auto"/>
        <w:rPr>
          <w:sz w:val="20"/>
          <w:szCs w:val="20"/>
          <w:color w:val="auto"/>
        </w:rPr>
      </w:pPr>
      <w:r>
        <w:rPr>
          <w:rFonts w:ascii="Arial" w:cs="Arial" w:eastAsia="Arial" w:hAnsi="Arial"/>
          <w:sz w:val="17"/>
          <w:szCs w:val="17"/>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179" w:lineRule="exact"/>
        <w:rPr>
          <w:sz w:val="20"/>
          <w:szCs w:val="20"/>
          <w:color w:val="auto"/>
        </w:rPr>
      </w:pPr>
    </w:p>
    <w:p>
      <w:pPr>
        <w:ind w:left="560"/>
        <w:spacing w:after="0"/>
        <w:rPr>
          <w:sz w:val="20"/>
          <w:szCs w:val="20"/>
          <w:color w:val="auto"/>
        </w:rPr>
      </w:pPr>
      <w:r>
        <w:rPr>
          <w:rFonts w:ascii="Arial" w:cs="Arial" w:eastAsia="Arial" w:hAnsi="Arial"/>
          <w:sz w:val="19"/>
          <w:szCs w:val="19"/>
          <w:i w:val="1"/>
          <w:iCs w:val="1"/>
          <w:color w:val="auto"/>
        </w:rPr>
        <w:t>Estate and Gift Tax</w:t>
      </w:r>
    </w:p>
    <w:p>
      <w:pPr>
        <w:spacing w:after="0" w:line="259" w:lineRule="exact"/>
        <w:rPr>
          <w:sz w:val="20"/>
          <w:szCs w:val="20"/>
          <w:color w:val="auto"/>
        </w:rPr>
      </w:pPr>
    </w:p>
    <w:p>
      <w:pPr>
        <w:ind w:left="560"/>
        <w:spacing w:after="0"/>
        <w:rPr>
          <w:sz w:val="20"/>
          <w:szCs w:val="20"/>
          <w:color w:val="auto"/>
        </w:rPr>
      </w:pPr>
      <w:r>
        <w:rPr>
          <w:rFonts w:ascii="Arial" w:cs="Arial" w:eastAsia="Arial" w:hAnsi="Arial"/>
          <w:sz w:val="19"/>
          <w:szCs w:val="19"/>
          <w:color w:val="auto"/>
        </w:rPr>
        <w:t>Israeli law presently does not impose estate or gift taxes.</w:t>
      </w:r>
    </w:p>
    <w:p>
      <w:pPr>
        <w:spacing w:after="0" w:line="25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U.S. Federal Income Tax Considerations</w:t>
      </w:r>
    </w:p>
    <w:p>
      <w:pPr>
        <w:spacing w:after="0" w:line="265" w:lineRule="exact"/>
        <w:rPr>
          <w:sz w:val="20"/>
          <w:szCs w:val="20"/>
          <w:color w:val="auto"/>
        </w:rPr>
      </w:pPr>
    </w:p>
    <w:p>
      <w:pPr>
        <w:ind w:right="180" w:firstLine="572"/>
        <w:spacing w:after="0" w:line="321" w:lineRule="auto"/>
        <w:rPr>
          <w:sz w:val="20"/>
          <w:szCs w:val="20"/>
          <w:color w:val="auto"/>
        </w:rPr>
      </w:pPr>
      <w:r>
        <w:rPr>
          <w:rFonts w:ascii="Arial" w:cs="Arial" w:eastAsia="Arial" w:hAnsi="Arial"/>
          <w:sz w:val="17"/>
          <w:szCs w:val="17"/>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and that have the U.S. dollar as their functional currency.</w:t>
      </w:r>
    </w:p>
    <w:p>
      <w:pPr>
        <w:spacing w:after="0" w:line="170" w:lineRule="exact"/>
        <w:rPr>
          <w:sz w:val="20"/>
          <w:szCs w:val="20"/>
          <w:color w:val="auto"/>
        </w:rPr>
      </w:pPr>
    </w:p>
    <w:p>
      <w:pPr>
        <w:ind w:right="40" w:firstLine="572"/>
        <w:spacing w:after="0" w:line="284" w:lineRule="auto"/>
        <w:rPr>
          <w:sz w:val="20"/>
          <w:szCs w:val="20"/>
          <w:color w:val="auto"/>
        </w:rPr>
      </w:pPr>
      <w:r>
        <w:rPr>
          <w:rFonts w:ascii="Arial" w:cs="Arial" w:eastAsia="Arial" w:hAnsi="Arial"/>
          <w:sz w:val="18"/>
          <w:szCs w:val="18"/>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 The following discussion neither deals with the tax consequences to any particular investor nor describes all of the tax consequences applicable to persons in special tax situations such as:</w:t>
      </w:r>
    </w:p>
    <w:p>
      <w:pPr>
        <w:spacing w:after="0" w:line="195" w:lineRule="exact"/>
        <w:rPr>
          <w:sz w:val="20"/>
          <w:szCs w:val="20"/>
          <w:color w:val="auto"/>
        </w:rPr>
      </w:pPr>
    </w:p>
    <w:p>
      <w:pPr>
        <w:ind w:left="560" w:hanging="278"/>
        <w:spacing w:after="0"/>
        <w:tabs>
          <w:tab w:leader="none" w:pos="560" w:val="left"/>
        </w:tabs>
        <w:numPr>
          <w:ilvl w:val="0"/>
          <w:numId w:val="9"/>
        </w:numPr>
        <w:rPr>
          <w:rFonts w:ascii="Arial" w:cs="Arial" w:eastAsia="Arial" w:hAnsi="Arial"/>
          <w:sz w:val="16"/>
          <w:szCs w:val="16"/>
          <w:color w:val="auto"/>
        </w:rPr>
      </w:pPr>
      <w:r>
        <w:rPr>
          <w:rFonts w:ascii="Arial" w:cs="Arial" w:eastAsia="Arial" w:hAnsi="Arial"/>
          <w:sz w:val="16"/>
          <w:szCs w:val="16"/>
          <w:color w:val="auto"/>
        </w:rPr>
        <w:t>banks;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9"/>
        </w:numPr>
        <w:rPr>
          <w:rFonts w:ascii="Arial" w:cs="Arial" w:eastAsia="Arial" w:hAnsi="Arial"/>
          <w:sz w:val="16"/>
          <w:szCs w:val="16"/>
          <w:color w:val="auto"/>
        </w:rPr>
      </w:pPr>
      <w:r>
        <w:rPr>
          <w:rFonts w:ascii="Arial" w:cs="Arial" w:eastAsia="Arial" w:hAnsi="Arial"/>
          <w:sz w:val="16"/>
          <w:szCs w:val="16"/>
          <w:color w:val="auto"/>
        </w:rPr>
        <w:t>certain financial institutions;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32" w:right="219" w:bottom="1440" w:gutter="0" w:footer="0" w:header="0"/>
        </w:sectPr>
      </w:pPr>
    </w:p>
    <w:bookmarkStart w:id="24" w:name="page25"/>
    <w:bookmarkEnd w:id="24"/>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insurance companies;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regulated investment companies;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real estate investment trusts;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broker-dealers;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traders that elect to mark to market;</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U.S. expatriates;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tax-exempt entities;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persons holding our ordinary shares as part of a straddle, hedging, constructive sale, conversion or integrated transaction;</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persons that actually or constructively own 10% or more of our share capital (by vote or value);</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persons that are resident or ordinarily resident in or have a permanent establishment in a jurisdiction outside the United States;</w:t>
      </w:r>
    </w:p>
    <w:p>
      <w:pPr>
        <w:spacing w:after="0" w:line="245"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persons who acquired our ordinary shares pursuant to the exercise of any employee share option or otherwise as compensation;</w:t>
      </w:r>
    </w:p>
    <w:p>
      <w:pPr>
        <w:spacing w:after="0" w:line="245" w:lineRule="exact"/>
        <w:rPr>
          <w:rFonts w:ascii="Arial" w:cs="Arial" w:eastAsia="Arial" w:hAnsi="Arial"/>
          <w:sz w:val="16"/>
          <w:szCs w:val="16"/>
          <w:color w:val="auto"/>
        </w:rPr>
      </w:pPr>
    </w:p>
    <w:p>
      <w:pPr>
        <w:ind w:left="560" w:right="540" w:hanging="278"/>
        <w:spacing w:after="0" w:line="274" w:lineRule="auto"/>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persons subject to special tax accounting rules as a result of any item of gross income with respect to our ordinary shares being taken into account in an applicable financial statement; or</w:t>
      </w:r>
    </w:p>
    <w:p>
      <w:pPr>
        <w:spacing w:after="0" w:line="200" w:lineRule="exact"/>
        <w:rPr>
          <w:rFonts w:ascii="Arial" w:cs="Arial" w:eastAsia="Arial" w:hAnsi="Arial"/>
          <w:sz w:val="16"/>
          <w:szCs w:val="16"/>
          <w:color w:val="auto"/>
        </w:rPr>
      </w:pPr>
    </w:p>
    <w:p>
      <w:pPr>
        <w:ind w:left="560" w:hanging="278"/>
        <w:spacing w:after="0"/>
        <w:tabs>
          <w:tab w:leader="none" w:pos="5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pass-through entities, or persons holding our ordinary shares through pass-through entities.</w:t>
      </w:r>
    </w:p>
    <w:p>
      <w:pPr>
        <w:spacing w:after="0" w:line="251" w:lineRule="exact"/>
        <w:rPr>
          <w:sz w:val="20"/>
          <w:szCs w:val="20"/>
          <w:color w:val="auto"/>
        </w:rPr>
      </w:pPr>
    </w:p>
    <w:p>
      <w:pPr>
        <w:ind w:right="120" w:firstLine="572"/>
        <w:spacing w:after="0" w:line="274" w:lineRule="auto"/>
        <w:rPr>
          <w:sz w:val="20"/>
          <w:szCs w:val="20"/>
          <w:color w:val="auto"/>
        </w:rPr>
      </w:pPr>
      <w:r>
        <w:rPr>
          <w:rFonts w:ascii="Arial" w:cs="Arial" w:eastAsia="Arial" w:hAnsi="Arial"/>
          <w:sz w:val="19"/>
          <w:szCs w:val="19"/>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06" w:lineRule="exact"/>
        <w:rPr>
          <w:sz w:val="20"/>
          <w:szCs w:val="20"/>
          <w:color w:val="auto"/>
        </w:rPr>
      </w:pPr>
    </w:p>
    <w:p>
      <w:pPr>
        <w:ind w:right="120" w:firstLine="572"/>
        <w:spacing w:after="0" w:line="287" w:lineRule="auto"/>
        <w:rPr>
          <w:sz w:val="20"/>
          <w:szCs w:val="20"/>
          <w:color w:val="auto"/>
        </w:rPr>
      </w:pPr>
      <w:r>
        <w:rPr>
          <w:rFonts w:ascii="Arial" w:cs="Arial" w:eastAsia="Arial" w:hAnsi="Arial"/>
          <w:sz w:val="19"/>
          <w:szCs w:val="19"/>
          <w:color w:val="auto"/>
        </w:rPr>
        <w:t>The discussion below of the U.S. federal income tax consequences to “U.S. Holders” will apply to you if you are the beneficial owner of our ordinary shares and you are, for U.S. federal income tax purposes,</w:t>
      </w:r>
    </w:p>
    <w:p>
      <w:pPr>
        <w:spacing w:after="0" w:line="188" w:lineRule="exact"/>
        <w:rPr>
          <w:sz w:val="20"/>
          <w:szCs w:val="20"/>
          <w:color w:val="auto"/>
        </w:rPr>
      </w:pPr>
    </w:p>
    <w:p>
      <w:pPr>
        <w:ind w:left="560" w:hanging="278"/>
        <w:spacing w:after="0"/>
        <w:tabs>
          <w:tab w:leader="none" w:pos="5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 individual who is a citizen or resident of the United States;</w:t>
      </w:r>
    </w:p>
    <w:p>
      <w:pPr>
        <w:spacing w:after="0" w:line="245" w:lineRule="exact"/>
        <w:rPr>
          <w:rFonts w:ascii="Arial" w:cs="Arial" w:eastAsia="Arial" w:hAnsi="Arial"/>
          <w:sz w:val="16"/>
          <w:szCs w:val="16"/>
          <w:color w:val="auto"/>
        </w:rPr>
      </w:pPr>
    </w:p>
    <w:p>
      <w:pPr>
        <w:ind w:left="560" w:right="400" w:hanging="278"/>
        <w:spacing w:after="0" w:line="274" w:lineRule="auto"/>
        <w:tabs>
          <w:tab w:leader="none" w:pos="5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00" w:lineRule="exact"/>
        <w:rPr>
          <w:rFonts w:ascii="Arial" w:cs="Arial" w:eastAsia="Arial" w:hAnsi="Arial"/>
          <w:sz w:val="16"/>
          <w:szCs w:val="16"/>
          <w:color w:val="auto"/>
        </w:rPr>
      </w:pPr>
    </w:p>
    <w:p>
      <w:pPr>
        <w:ind w:left="560" w:hanging="278"/>
        <w:spacing w:after="0"/>
        <w:tabs>
          <w:tab w:leader="none" w:pos="5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an estate, the income of which is subject to U.S. federal income taxation regardless of its source; or</w:t>
      </w:r>
    </w:p>
    <w:p>
      <w:pPr>
        <w:spacing w:after="0" w:line="245" w:lineRule="exact"/>
        <w:rPr>
          <w:rFonts w:ascii="Arial" w:cs="Arial" w:eastAsia="Arial" w:hAnsi="Arial"/>
          <w:sz w:val="16"/>
          <w:szCs w:val="16"/>
          <w:color w:val="auto"/>
        </w:rPr>
      </w:pPr>
    </w:p>
    <w:p>
      <w:pPr>
        <w:ind w:left="560" w:right="60" w:hanging="278"/>
        <w:spacing w:after="0" w:line="274" w:lineRule="auto"/>
        <w:tabs>
          <w:tab w:leader="none" w:pos="5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 trust that (i) is subject to the primary supervision of a court within the United States and the control of one or more U.S. persons for all substantial decisions or (ii) has a valid election in effect under applicable U.S. Treasury regulations to be treated as a U.S. person.</w:t>
      </w:r>
    </w:p>
    <w:p>
      <w:pPr>
        <w:spacing w:after="0" w:line="205" w:lineRule="exact"/>
        <w:rPr>
          <w:sz w:val="20"/>
          <w:szCs w:val="20"/>
          <w:color w:val="auto"/>
        </w:rPr>
      </w:pPr>
    </w:p>
    <w:p>
      <w:pPr>
        <w:ind w:firstLine="572"/>
        <w:spacing w:after="0" w:line="321" w:lineRule="auto"/>
        <w:rPr>
          <w:sz w:val="20"/>
          <w:szCs w:val="20"/>
          <w:color w:val="auto"/>
        </w:rPr>
      </w:pPr>
      <w:r>
        <w:rPr>
          <w:rFonts w:ascii="Arial" w:cs="Arial" w:eastAsia="Arial" w:hAnsi="Arial"/>
          <w:sz w:val="17"/>
          <w:szCs w:val="17"/>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5" w:name="page26"/>
    <w:bookmarkEnd w:id="25"/>
    <w:p>
      <w:pPr>
        <w:spacing w:after="0"/>
        <w:rPr>
          <w:sz w:val="20"/>
          <w:szCs w:val="20"/>
          <w:color w:val="auto"/>
        </w:rPr>
      </w:pPr>
      <w:r>
        <w:rPr>
          <w:rFonts w:ascii="Arial" w:cs="Arial" w:eastAsia="Arial" w:hAnsi="Arial"/>
          <w:sz w:val="19"/>
          <w:szCs w:val="19"/>
          <w:b w:val="1"/>
          <w:bCs w:val="1"/>
          <w:i w:val="1"/>
          <w:iCs w:val="1"/>
          <w:color w:val="auto"/>
        </w:rPr>
        <w:t>Passive Foreign Investment Company</w:t>
      </w:r>
    </w:p>
    <w:p>
      <w:pPr>
        <w:spacing w:after="0" w:line="259" w:lineRule="exact"/>
        <w:rPr>
          <w:sz w:val="20"/>
          <w:szCs w:val="20"/>
          <w:color w:val="auto"/>
        </w:rPr>
      </w:pPr>
    </w:p>
    <w:p>
      <w:pPr>
        <w:ind w:right="500" w:firstLine="572"/>
        <w:spacing w:after="0" w:line="287" w:lineRule="auto"/>
        <w:rPr>
          <w:sz w:val="20"/>
          <w:szCs w:val="20"/>
          <w:color w:val="auto"/>
        </w:rPr>
      </w:pPr>
      <w:r>
        <w:rPr>
          <w:rFonts w:ascii="Arial" w:cs="Arial" w:eastAsia="Arial" w:hAnsi="Arial"/>
          <w:sz w:val="19"/>
          <w:szCs w:val="19"/>
          <w:color w:val="auto"/>
        </w:rPr>
        <w:t>A non-U.S. entity treated as a corporation for U.S. federal income tax purposes will generally be a passive foreign investment company (“PFIC”) for U.S. federal income tax purposes for any taxable year if either:</w:t>
      </w:r>
    </w:p>
    <w:p>
      <w:pPr>
        <w:spacing w:after="0" w:line="188" w:lineRule="exact"/>
        <w:rPr>
          <w:sz w:val="20"/>
          <w:szCs w:val="20"/>
          <w:color w:val="auto"/>
        </w:rPr>
      </w:pPr>
    </w:p>
    <w:p>
      <w:pPr>
        <w:ind w:left="560" w:hanging="278"/>
        <w:spacing w:after="0"/>
        <w:tabs>
          <w:tab w:leader="none" w:pos="5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at least 75% of its gross income for such year is passive income (such as interest income); or</w:t>
      </w:r>
    </w:p>
    <w:p>
      <w:pPr>
        <w:spacing w:after="0" w:line="245" w:lineRule="exact"/>
        <w:rPr>
          <w:rFonts w:ascii="Arial" w:cs="Arial" w:eastAsia="Arial" w:hAnsi="Arial"/>
          <w:sz w:val="16"/>
          <w:szCs w:val="16"/>
          <w:color w:val="auto"/>
        </w:rPr>
      </w:pPr>
    </w:p>
    <w:p>
      <w:pPr>
        <w:ind w:left="560" w:right="200" w:hanging="278"/>
        <w:spacing w:after="0" w:line="274" w:lineRule="auto"/>
        <w:tabs>
          <w:tab w:leader="none" w:pos="5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at least 50% of the value of its assets (based on an average of the quarterly values of the assets) during such year is attributable to assets that produce passive income or are held for the production of passive income.</w:t>
      </w:r>
    </w:p>
    <w:p>
      <w:pPr>
        <w:spacing w:after="0" w:line="205" w:lineRule="exact"/>
        <w:rPr>
          <w:sz w:val="20"/>
          <w:szCs w:val="20"/>
          <w:color w:val="auto"/>
        </w:rPr>
      </w:pPr>
    </w:p>
    <w:p>
      <w:pPr>
        <w:ind w:right="120" w:firstLine="572"/>
        <w:spacing w:after="0" w:line="274" w:lineRule="auto"/>
        <w:rPr>
          <w:sz w:val="20"/>
          <w:szCs w:val="20"/>
          <w:color w:val="auto"/>
        </w:rPr>
      </w:pPr>
      <w:r>
        <w:rPr>
          <w:rFonts w:ascii="Arial" w:cs="Arial" w:eastAsia="Arial" w:hAnsi="Arial"/>
          <w:sz w:val="19"/>
          <w:szCs w:val="19"/>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206" w:lineRule="exact"/>
        <w:rPr>
          <w:sz w:val="20"/>
          <w:szCs w:val="20"/>
          <w:color w:val="auto"/>
        </w:rPr>
      </w:pPr>
    </w:p>
    <w:p>
      <w:pPr>
        <w:ind w:firstLine="572"/>
        <w:spacing w:after="0" w:line="281" w:lineRule="auto"/>
        <w:rPr>
          <w:sz w:val="20"/>
          <w:szCs w:val="20"/>
          <w:color w:val="auto"/>
        </w:rPr>
      </w:pPr>
      <w:r>
        <w:rPr>
          <w:rFonts w:ascii="Arial" w:cs="Arial" w:eastAsia="Arial" w:hAnsi="Arial"/>
          <w:sz w:val="18"/>
          <w:szCs w:val="18"/>
          <w:color w:val="auto"/>
        </w:rPr>
        <w:t>Starting in the first quarter of 2019, we began generating revenue under a collaboration agreement with Perrigo for the development of the generic version of Zovirax® (acyclovir) cream, 5%. We expect to generate substantial revenue under such agreement for our 2020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204" w:lineRule="exact"/>
        <w:rPr>
          <w:sz w:val="20"/>
          <w:szCs w:val="20"/>
          <w:color w:val="auto"/>
        </w:rPr>
      </w:pPr>
    </w:p>
    <w:p>
      <w:pPr>
        <w:ind w:firstLine="572"/>
        <w:spacing w:after="0" w:line="283" w:lineRule="auto"/>
        <w:rPr>
          <w:sz w:val="20"/>
          <w:szCs w:val="20"/>
          <w:color w:val="auto"/>
        </w:rPr>
      </w:pPr>
      <w:r>
        <w:rPr>
          <w:rFonts w:ascii="Arial" w:cs="Arial" w:eastAsia="Arial" w:hAnsi="Arial"/>
          <w:sz w:val="18"/>
          <w:szCs w:val="18"/>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other ambiguities in applying the PFIC test to us. No rulings from the U.S. Internal Revenue Service (the “IRS”), however, have been or will be sought with respect to our status as a PFIC. If the IRS were to assert that, contrary to our expectation, we are not a PFIC in the current taxable year or a future year, there would be adverse tax consequences to investors, including those described below. Potential investors are strongly advised to consult their own advisors regarding the consequences to them if we were to be considered a PFIC.</w:t>
      </w:r>
    </w:p>
    <w:p>
      <w:pPr>
        <w:spacing w:after="0" w:line="200" w:lineRule="exact"/>
        <w:rPr>
          <w:sz w:val="20"/>
          <w:szCs w:val="20"/>
          <w:color w:val="auto"/>
        </w:rPr>
      </w:pPr>
    </w:p>
    <w:p>
      <w:pPr>
        <w:ind w:right="220" w:firstLine="572"/>
        <w:spacing w:after="0" w:line="284" w:lineRule="auto"/>
        <w:rPr>
          <w:sz w:val="20"/>
          <w:szCs w:val="20"/>
          <w:color w:val="auto"/>
        </w:rPr>
      </w:pPr>
      <w:r>
        <w:rPr>
          <w:rFonts w:ascii="Arial" w:cs="Arial" w:eastAsia="Arial" w:hAnsi="Arial"/>
          <w:sz w:val="18"/>
          <w:szCs w:val="18"/>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200" w:lineRule="exact"/>
        <w:rPr>
          <w:sz w:val="20"/>
          <w:szCs w:val="20"/>
          <w:color w:val="auto"/>
        </w:rPr>
      </w:pPr>
    </w:p>
    <w:p>
      <w:pPr>
        <w:ind w:right="160" w:firstLine="572"/>
        <w:spacing w:after="0" w:line="268" w:lineRule="auto"/>
        <w:rPr>
          <w:sz w:val="20"/>
          <w:szCs w:val="20"/>
          <w:color w:val="auto"/>
        </w:rPr>
      </w:pPr>
      <w:r>
        <w:rPr>
          <w:rFonts w:ascii="Arial" w:cs="Arial" w:eastAsia="Arial" w:hAnsi="Arial"/>
          <w:sz w:val="19"/>
          <w:szCs w:val="19"/>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206" w:lineRule="exact"/>
        <w:rPr>
          <w:sz w:val="20"/>
          <w:szCs w:val="20"/>
          <w:color w:val="auto"/>
        </w:rPr>
      </w:pPr>
    </w:p>
    <w:p>
      <w:pPr>
        <w:ind w:left="560" w:hanging="278"/>
        <w:spacing w:after="0"/>
        <w:tabs>
          <w:tab w:leader="none" w:pos="5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excess distribution or gain will be allocated ratably over your holding period for our ordinary shares;</w:t>
      </w:r>
    </w:p>
    <w:p>
      <w:pPr>
        <w:spacing w:after="0" w:line="245" w:lineRule="exact"/>
        <w:rPr>
          <w:rFonts w:ascii="Arial" w:cs="Arial" w:eastAsia="Arial" w:hAnsi="Arial"/>
          <w:sz w:val="16"/>
          <w:szCs w:val="16"/>
          <w:color w:val="auto"/>
        </w:rPr>
      </w:pPr>
    </w:p>
    <w:p>
      <w:pPr>
        <w:ind w:left="560" w:right="260" w:hanging="278"/>
        <w:spacing w:after="0" w:line="274" w:lineRule="auto"/>
        <w:tabs>
          <w:tab w:leader="none" w:pos="5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amount allocated to the current taxable year, and any taxable years in your holding period prior to the first taxable year in which we were a PFIC, will be treated as ordinary income; and</w:t>
      </w:r>
    </w:p>
    <w:p>
      <w:pPr>
        <w:spacing w:after="0" w:line="200" w:lineRule="exact"/>
        <w:rPr>
          <w:rFonts w:ascii="Arial" w:cs="Arial" w:eastAsia="Arial" w:hAnsi="Arial"/>
          <w:sz w:val="16"/>
          <w:szCs w:val="16"/>
          <w:color w:val="auto"/>
        </w:rPr>
      </w:pPr>
    </w:p>
    <w:p>
      <w:pPr>
        <w:ind w:left="560" w:right="300" w:hanging="278"/>
        <w:spacing w:after="0" w:line="274" w:lineRule="auto"/>
        <w:tabs>
          <w:tab w:leader="none" w:pos="5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6" w:name="page27"/>
    <w:bookmarkEnd w:id="26"/>
    <w:p>
      <w:pPr>
        <w:ind w:right="20" w:firstLine="572"/>
        <w:spacing w:after="0" w:line="274" w:lineRule="auto"/>
        <w:rPr>
          <w:sz w:val="20"/>
          <w:szCs w:val="20"/>
          <w:color w:val="auto"/>
        </w:rPr>
      </w:pPr>
      <w:r>
        <w:rPr>
          <w:rFonts w:ascii="Arial" w:cs="Arial" w:eastAsia="Arial" w:hAnsi="Arial"/>
          <w:sz w:val="19"/>
          <w:szCs w:val="19"/>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206" w:lineRule="exact"/>
        <w:rPr>
          <w:sz w:val="20"/>
          <w:szCs w:val="20"/>
          <w:color w:val="auto"/>
        </w:rPr>
      </w:pPr>
    </w:p>
    <w:p>
      <w:pPr>
        <w:ind w:right="40" w:firstLine="572"/>
        <w:spacing w:after="0" w:line="284" w:lineRule="auto"/>
        <w:rPr>
          <w:sz w:val="20"/>
          <w:szCs w:val="20"/>
          <w:color w:val="auto"/>
        </w:rPr>
      </w:pPr>
      <w:r>
        <w:rPr>
          <w:rFonts w:ascii="Arial" w:cs="Arial" w:eastAsia="Arial" w:hAnsi="Arial"/>
          <w:sz w:val="18"/>
          <w:szCs w:val="18"/>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200" w:lineRule="exact"/>
        <w:rPr>
          <w:sz w:val="20"/>
          <w:szCs w:val="20"/>
          <w:color w:val="auto"/>
        </w:rPr>
      </w:pPr>
    </w:p>
    <w:p>
      <w:pPr>
        <w:ind w:right="20" w:firstLine="572"/>
        <w:spacing w:after="0" w:line="298" w:lineRule="auto"/>
        <w:rPr>
          <w:sz w:val="20"/>
          <w:szCs w:val="20"/>
          <w:color w:val="auto"/>
        </w:rPr>
      </w:pPr>
      <w:r>
        <w:rPr>
          <w:rFonts w:ascii="Arial" w:cs="Arial" w:eastAsia="Arial" w:hAnsi="Arial"/>
          <w:sz w:val="17"/>
          <w:szCs w:val="17"/>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188" w:lineRule="exact"/>
        <w:rPr>
          <w:sz w:val="20"/>
          <w:szCs w:val="20"/>
          <w:color w:val="auto"/>
        </w:rPr>
      </w:pPr>
    </w:p>
    <w:p>
      <w:pPr>
        <w:ind w:right="80" w:firstLine="572"/>
        <w:spacing w:after="0" w:line="283" w:lineRule="auto"/>
        <w:rPr>
          <w:sz w:val="20"/>
          <w:szCs w:val="20"/>
          <w:color w:val="auto"/>
        </w:rPr>
      </w:pPr>
      <w:r>
        <w:rPr>
          <w:rFonts w:ascii="Arial" w:cs="Arial" w:eastAsia="Arial" w:hAnsi="Arial"/>
          <w:sz w:val="18"/>
          <w:szCs w:val="18"/>
          <w:color w:val="auto"/>
        </w:rPr>
        <w:t>The mark-to-market election is available only for “marketable stock,” which is stock that is regularly traded on a qualified exchange or other market, as defined in applicable U.S. Treasury regulations. Our ordinary shares are listed on the Nasdaq Global Market.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The Nasdaq Global Market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200" w:lineRule="exact"/>
        <w:rPr>
          <w:sz w:val="20"/>
          <w:szCs w:val="20"/>
          <w:color w:val="auto"/>
        </w:rPr>
      </w:pPr>
    </w:p>
    <w:p>
      <w:pPr>
        <w:ind w:right="100" w:firstLine="572"/>
        <w:spacing w:after="0" w:line="290" w:lineRule="auto"/>
        <w:rPr>
          <w:sz w:val="20"/>
          <w:szCs w:val="20"/>
          <w:color w:val="auto"/>
        </w:rPr>
      </w:pPr>
      <w:r>
        <w:rPr>
          <w:rFonts w:ascii="Arial" w:cs="Arial" w:eastAsia="Arial" w:hAnsi="Arial"/>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192" w:lineRule="exact"/>
        <w:rPr>
          <w:sz w:val="20"/>
          <w:szCs w:val="20"/>
          <w:color w:val="auto"/>
        </w:rPr>
      </w:pPr>
    </w:p>
    <w:p>
      <w:pPr>
        <w:ind w:firstLine="572"/>
        <w:spacing w:after="0" w:line="274" w:lineRule="auto"/>
        <w:rPr>
          <w:sz w:val="20"/>
          <w:szCs w:val="20"/>
          <w:color w:val="auto"/>
        </w:rPr>
      </w:pPr>
      <w:r>
        <w:rPr>
          <w:rFonts w:ascii="Arial" w:cs="Arial" w:eastAsia="Arial" w:hAnsi="Arial"/>
          <w:sz w:val="19"/>
          <w:szCs w:val="19"/>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206" w:lineRule="exact"/>
        <w:rPr>
          <w:sz w:val="20"/>
          <w:szCs w:val="20"/>
          <w:color w:val="auto"/>
        </w:rPr>
      </w:pPr>
    </w:p>
    <w:p>
      <w:pPr>
        <w:ind w:right="20" w:firstLine="572"/>
        <w:spacing w:after="0" w:line="274" w:lineRule="auto"/>
        <w:rPr>
          <w:sz w:val="20"/>
          <w:szCs w:val="20"/>
          <w:color w:val="auto"/>
        </w:rPr>
      </w:pPr>
      <w:r>
        <w:rPr>
          <w:rFonts w:ascii="Arial" w:cs="Arial" w:eastAsia="Arial" w:hAnsi="Arial"/>
          <w:sz w:val="19"/>
          <w:szCs w:val="19"/>
          <w:color w:val="auto"/>
        </w:rPr>
        <w:t>YOU ARE STRONGLY URGED TO CONSULT YOUR TAX ADVISOR REGARDING THE IMPACT ON YOUR INVESTMENT IN OUR ORDINARY SHARES IF WE WERE TO BE CONSIDERED A PFIC AS WELL AS THE APPLICATION OF THE PFIC RULES AND THE POSSIBILITY OF MAKING A MARK-TO-MARKET ELECTION.</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7" w:name="page28"/>
    <w:bookmarkEnd w:id="27"/>
    <w:p>
      <w:pPr>
        <w:spacing w:after="0"/>
        <w:rPr>
          <w:sz w:val="20"/>
          <w:szCs w:val="20"/>
          <w:color w:val="auto"/>
        </w:rPr>
      </w:pPr>
      <w:r>
        <w:rPr>
          <w:rFonts w:ascii="Arial" w:cs="Arial" w:eastAsia="Arial" w:hAnsi="Arial"/>
          <w:sz w:val="19"/>
          <w:szCs w:val="19"/>
          <w:b w:val="1"/>
          <w:bCs w:val="1"/>
          <w:i w:val="1"/>
          <w:iCs w:val="1"/>
          <w:color w:val="auto"/>
        </w:rPr>
        <w:t>Taxation of Dividends and Other Distributions on our Ordinary Shares</w:t>
      </w:r>
    </w:p>
    <w:p>
      <w:pPr>
        <w:spacing w:after="0" w:line="259" w:lineRule="exact"/>
        <w:rPr>
          <w:sz w:val="20"/>
          <w:szCs w:val="20"/>
          <w:color w:val="auto"/>
        </w:rPr>
      </w:pPr>
    </w:p>
    <w:p>
      <w:pPr>
        <w:ind w:firstLine="572"/>
        <w:spacing w:after="0" w:line="299" w:lineRule="auto"/>
        <w:rPr>
          <w:sz w:val="20"/>
          <w:szCs w:val="20"/>
          <w:color w:val="auto"/>
        </w:rPr>
      </w:pPr>
      <w:r>
        <w:rPr>
          <w:rFonts w:ascii="Arial" w:cs="Arial" w:eastAsia="Arial" w:hAnsi="Arial"/>
          <w:sz w:val="17"/>
          <w:szCs w:val="17"/>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193" w:lineRule="exact"/>
        <w:rPr>
          <w:sz w:val="20"/>
          <w:szCs w:val="20"/>
          <w:color w:val="auto"/>
        </w:rPr>
      </w:pPr>
    </w:p>
    <w:p>
      <w:pPr>
        <w:ind w:firstLine="572"/>
        <w:spacing w:after="0" w:line="286" w:lineRule="auto"/>
        <w:rPr>
          <w:sz w:val="20"/>
          <w:szCs w:val="20"/>
          <w:color w:val="auto"/>
        </w:rPr>
      </w:pPr>
      <w:r>
        <w:rPr>
          <w:rFonts w:ascii="Arial" w:cs="Arial" w:eastAsia="Arial" w:hAnsi="Arial"/>
          <w:sz w:val="18"/>
          <w:szCs w:val="18"/>
          <w:color w:val="auto"/>
        </w:rPr>
        <w:t>With respect to certain non-corporate U.S. Holders, including individual U.S. Holders, dividends may be taxed at the lower capital gain rates applicable to “qualified dividend income,” provided (i) our ordinary shares are readily tradable on an established securities market in the United States (such as the Nasdaq Global Market), (ii) we are neither a PFIC nor treated as such with respect to you (as discussed above) for either the taxable year in which the dividend was paid or the preceding taxable year, (iii) certain holding period requirements are met and (iv) you are not under an obligation to make related payments with respect to positions in substantially similar or related property.</w:t>
      </w:r>
    </w:p>
    <w:p>
      <w:pPr>
        <w:spacing w:after="0" w:line="198" w:lineRule="exact"/>
        <w:rPr>
          <w:sz w:val="20"/>
          <w:szCs w:val="20"/>
          <w:color w:val="auto"/>
        </w:rPr>
      </w:pPr>
    </w:p>
    <w:p>
      <w:pPr>
        <w:jc w:val="both"/>
        <w:ind w:right="240" w:firstLine="572"/>
        <w:spacing w:after="0" w:line="296" w:lineRule="auto"/>
        <w:rPr>
          <w:sz w:val="20"/>
          <w:szCs w:val="20"/>
          <w:color w:val="auto"/>
        </w:rPr>
      </w:pPr>
      <w:r>
        <w:rPr>
          <w:rFonts w:ascii="Arial" w:cs="Arial" w:eastAsia="Arial" w:hAnsi="Arial"/>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188" w:lineRule="exact"/>
        <w:rPr>
          <w:sz w:val="20"/>
          <w:szCs w:val="20"/>
          <w:color w:val="auto"/>
        </w:rPr>
      </w:pPr>
    </w:p>
    <w:p>
      <w:pPr>
        <w:ind w:right="20" w:firstLine="572"/>
        <w:spacing w:after="0" w:line="267" w:lineRule="auto"/>
        <w:rPr>
          <w:sz w:val="20"/>
          <w:szCs w:val="20"/>
          <w:color w:val="auto"/>
        </w:rPr>
      </w:pPr>
      <w:r>
        <w:rPr>
          <w:rFonts w:ascii="Arial" w:cs="Arial" w:eastAsia="Arial" w:hAnsi="Arial"/>
          <w:sz w:val="19"/>
          <w:szCs w:val="19"/>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11" w:lineRule="exact"/>
        <w:rPr>
          <w:sz w:val="20"/>
          <w:szCs w:val="20"/>
          <w:color w:val="auto"/>
        </w:rPr>
      </w:pPr>
    </w:p>
    <w:p>
      <w:pPr>
        <w:ind w:right="20" w:firstLine="572"/>
        <w:spacing w:after="0" w:line="283" w:lineRule="auto"/>
        <w:rPr>
          <w:sz w:val="20"/>
          <w:szCs w:val="20"/>
          <w:color w:val="auto"/>
        </w:rPr>
      </w:pPr>
      <w:r>
        <w:rPr>
          <w:rFonts w:ascii="Arial" w:cs="Arial" w:eastAsia="Arial" w:hAnsi="Arial"/>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8" w:name="page29"/>
    <w:bookmarkEnd w:id="28"/>
    <w:p>
      <w:pPr>
        <w:spacing w:after="0"/>
        <w:rPr>
          <w:sz w:val="20"/>
          <w:szCs w:val="20"/>
          <w:color w:val="auto"/>
        </w:rPr>
      </w:pPr>
      <w:r>
        <w:rPr>
          <w:rFonts w:ascii="Arial" w:cs="Arial" w:eastAsia="Arial" w:hAnsi="Arial"/>
          <w:sz w:val="19"/>
          <w:szCs w:val="19"/>
          <w:b w:val="1"/>
          <w:bCs w:val="1"/>
          <w:i w:val="1"/>
          <w:iCs w:val="1"/>
          <w:color w:val="auto"/>
        </w:rPr>
        <w:t>Taxation of Disposition of Ordinary Shares</w:t>
      </w:r>
    </w:p>
    <w:p>
      <w:pPr>
        <w:spacing w:after="0" w:line="259" w:lineRule="exact"/>
        <w:rPr>
          <w:sz w:val="20"/>
          <w:szCs w:val="20"/>
          <w:color w:val="auto"/>
        </w:rPr>
      </w:pPr>
    </w:p>
    <w:p>
      <w:pPr>
        <w:ind w:right="40" w:firstLine="572"/>
        <w:spacing w:after="0" w:line="280" w:lineRule="auto"/>
        <w:rPr>
          <w:sz w:val="20"/>
          <w:szCs w:val="20"/>
          <w:color w:val="auto"/>
        </w:rPr>
      </w:pPr>
      <w:r>
        <w:rPr>
          <w:rFonts w:ascii="Arial" w:cs="Arial" w:eastAsia="Arial" w:hAnsi="Arial"/>
          <w:sz w:val="18"/>
          <w:szCs w:val="18"/>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206" w:lineRule="exact"/>
        <w:rPr>
          <w:sz w:val="20"/>
          <w:szCs w:val="20"/>
          <w:color w:val="auto"/>
        </w:rPr>
      </w:pPr>
    </w:p>
    <w:p>
      <w:pPr>
        <w:ind w:right="60" w:firstLine="572"/>
        <w:spacing w:after="0" w:line="284" w:lineRule="auto"/>
        <w:rPr>
          <w:sz w:val="20"/>
          <w:szCs w:val="20"/>
          <w:color w:val="auto"/>
        </w:rPr>
      </w:pPr>
      <w:r>
        <w:rPr>
          <w:rFonts w:ascii="Arial" w:cs="Arial" w:eastAsia="Arial" w:hAnsi="Arial"/>
          <w:sz w:val="18"/>
          <w:szCs w:val="18"/>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20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Information Reporting and Backup Withholding</w:t>
      </w:r>
    </w:p>
    <w:p>
      <w:pPr>
        <w:spacing w:after="0" w:line="259" w:lineRule="exact"/>
        <w:rPr>
          <w:sz w:val="20"/>
          <w:szCs w:val="20"/>
          <w:color w:val="auto"/>
        </w:rPr>
      </w:pPr>
    </w:p>
    <w:p>
      <w:pPr>
        <w:jc w:val="both"/>
        <w:ind w:right="80" w:firstLine="572"/>
        <w:spacing w:after="0" w:line="294" w:lineRule="auto"/>
        <w:rPr>
          <w:sz w:val="20"/>
          <w:szCs w:val="20"/>
          <w:color w:val="auto"/>
        </w:rPr>
      </w:pPr>
      <w:r>
        <w:rPr>
          <w:rFonts w:ascii="Arial" w:cs="Arial" w:eastAsia="Arial" w:hAnsi="Arial"/>
          <w:sz w:val="17"/>
          <w:szCs w:val="17"/>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w:t>
      </w:r>
    </w:p>
    <w:p>
      <w:pPr>
        <w:spacing w:after="0" w:line="1" w:lineRule="exact"/>
        <w:rPr>
          <w:sz w:val="20"/>
          <w:szCs w:val="20"/>
          <w:color w:val="auto"/>
        </w:rPr>
      </w:pPr>
    </w:p>
    <w:p>
      <w:pPr>
        <w:ind w:right="260"/>
        <w:spacing w:after="0" w:line="284" w:lineRule="auto"/>
        <w:rPr>
          <w:sz w:val="20"/>
          <w:szCs w:val="20"/>
          <w:color w:val="auto"/>
        </w:rPr>
      </w:pPr>
      <w:r>
        <w:rPr>
          <w:rFonts w:ascii="Arial" w:cs="Arial" w:eastAsia="Arial" w:hAnsi="Arial"/>
          <w:sz w:val="19"/>
          <w:szCs w:val="19"/>
          <w:color w:val="auto"/>
        </w:rPr>
        <w:t>Holders that are required to establish their exempt status generally must provide such certification on IRS Form W-9. You should consult your tax advisor regarding the application of the U.S. information reporting and backup withholding rules.</w:t>
      </w:r>
    </w:p>
    <w:p>
      <w:pPr>
        <w:spacing w:after="0" w:line="195" w:lineRule="exact"/>
        <w:rPr>
          <w:sz w:val="20"/>
          <w:szCs w:val="20"/>
          <w:color w:val="auto"/>
        </w:rPr>
      </w:pPr>
    </w:p>
    <w:p>
      <w:pPr>
        <w:jc w:val="both"/>
        <w:ind w:right="100" w:firstLine="572"/>
        <w:spacing w:after="0" w:line="274" w:lineRule="auto"/>
        <w:rPr>
          <w:sz w:val="20"/>
          <w:szCs w:val="20"/>
          <w:color w:val="auto"/>
        </w:rPr>
      </w:pPr>
      <w:r>
        <w:rPr>
          <w:rFonts w:ascii="Arial" w:cs="Arial" w:eastAsia="Arial" w:hAnsi="Arial"/>
          <w:sz w:val="19"/>
          <w:szCs w:val="19"/>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Information with respect to Foreign Financial Assets</w:t>
      </w:r>
    </w:p>
    <w:p>
      <w:pPr>
        <w:spacing w:after="0" w:line="259" w:lineRule="exact"/>
        <w:rPr>
          <w:sz w:val="20"/>
          <w:szCs w:val="20"/>
          <w:color w:val="auto"/>
        </w:rPr>
      </w:pPr>
    </w:p>
    <w:p>
      <w:pPr>
        <w:ind w:right="180" w:firstLine="572"/>
        <w:spacing w:after="0" w:line="270" w:lineRule="auto"/>
        <w:rPr>
          <w:sz w:val="20"/>
          <w:szCs w:val="20"/>
          <w:color w:val="auto"/>
        </w:rPr>
      </w:pPr>
      <w:r>
        <w:rPr>
          <w:rFonts w:ascii="Arial" w:cs="Arial" w:eastAsia="Arial" w:hAnsi="Arial"/>
          <w:sz w:val="19"/>
          <w:szCs w:val="19"/>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209" w:lineRule="exact"/>
        <w:rPr>
          <w:sz w:val="20"/>
          <w:szCs w:val="20"/>
          <w:color w:val="auto"/>
        </w:rPr>
      </w:pPr>
    </w:p>
    <w:p>
      <w:pPr>
        <w:ind w:firstLine="572"/>
        <w:spacing w:after="0" w:line="270" w:lineRule="auto"/>
        <w:rPr>
          <w:sz w:val="20"/>
          <w:szCs w:val="20"/>
          <w:color w:val="auto"/>
        </w:rPr>
      </w:pPr>
      <w:r>
        <w:rPr>
          <w:rFonts w:ascii="Arial" w:cs="Arial" w:eastAsia="Arial" w:hAnsi="Arial"/>
          <w:sz w:val="19"/>
          <w:szCs w:val="19"/>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9"/>
          <w:szCs w:val="19"/>
          <w:color w:val="auto"/>
        </w:rPr>
        <w:t>S - 24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9" w:name="page30"/>
    <w:bookmarkEnd w:id="29"/>
    <w:p>
      <w:pPr>
        <w:jc w:val="center"/>
        <w:spacing w:after="0"/>
        <w:rPr>
          <w:sz w:val="20"/>
          <w:szCs w:val="20"/>
          <w:color w:val="auto"/>
        </w:rPr>
      </w:pPr>
      <w:r>
        <w:rPr>
          <w:rFonts w:ascii="Arial" w:cs="Arial" w:eastAsia="Arial" w:hAnsi="Arial"/>
          <w:sz w:val="19"/>
          <w:szCs w:val="19"/>
          <w:b w:val="1"/>
          <w:bCs w:val="1"/>
          <w:color w:val="auto"/>
        </w:rPr>
        <w:t>PLAN OF DISTRIBUTION</w:t>
      </w:r>
    </w:p>
    <w:p>
      <w:pPr>
        <w:spacing w:after="0" w:line="235" w:lineRule="exact"/>
        <w:rPr>
          <w:sz w:val="20"/>
          <w:szCs w:val="20"/>
          <w:color w:val="auto"/>
        </w:rPr>
      </w:pPr>
    </w:p>
    <w:p>
      <w:pPr>
        <w:ind w:right="80" w:firstLine="572"/>
        <w:spacing w:after="0" w:line="254" w:lineRule="auto"/>
        <w:rPr>
          <w:sz w:val="20"/>
          <w:szCs w:val="20"/>
          <w:color w:val="auto"/>
        </w:rPr>
      </w:pPr>
      <w:r>
        <w:rPr>
          <w:rFonts w:ascii="Arial" w:cs="Arial" w:eastAsia="Arial" w:hAnsi="Arial"/>
          <w:sz w:val="18"/>
          <w:szCs w:val="18"/>
          <w:color w:val="auto"/>
        </w:rPr>
        <w:t>We have entered into an Open Market Sale Agreement</w:t>
      </w:r>
      <w:r>
        <w:rPr>
          <w:rFonts w:ascii="Arial" w:cs="Arial" w:eastAsia="Arial" w:hAnsi="Arial"/>
          <w:sz w:val="29"/>
          <w:szCs w:val="29"/>
          <w:color w:val="auto"/>
          <w:vertAlign w:val="superscript"/>
        </w:rPr>
        <w:t>SM</w:t>
      </w:r>
      <w:r>
        <w:rPr>
          <w:rFonts w:ascii="Arial" w:cs="Arial" w:eastAsia="Arial" w:hAnsi="Arial"/>
          <w:sz w:val="18"/>
          <w:szCs w:val="18"/>
          <w:color w:val="auto"/>
        </w:rPr>
        <w:t>, or the Sale Agreement, with Jefferies under which we may issue and sell our ordinary shares from time to time through Jefferies acting as agent. The Sale Agreement will be filed as an exhibit to a Report on Form 6-K filed under the Exchange Act and will be incorporated by reference into the registration statement of which this prospectus supplement forms a part. Sales of our ordinary shares, if any, under this prospectus supplement and the accompanying prospectus will be made by any method that is deemed to be an “at the market offering” as defined in Rule 415(a)(4) promulgated under the Securities Act, including sales made directly on or through the Nasdaq Global Market or any other existing trading market for our ordinary shares.</w:t>
      </w:r>
    </w:p>
    <w:p>
      <w:pPr>
        <w:spacing w:after="0" w:line="227" w:lineRule="exact"/>
        <w:rPr>
          <w:sz w:val="20"/>
          <w:szCs w:val="20"/>
          <w:color w:val="auto"/>
        </w:rPr>
      </w:pPr>
    </w:p>
    <w:p>
      <w:pPr>
        <w:ind w:right="100" w:firstLine="572"/>
        <w:spacing w:after="0" w:line="267" w:lineRule="auto"/>
        <w:rPr>
          <w:sz w:val="20"/>
          <w:szCs w:val="20"/>
          <w:color w:val="auto"/>
        </w:rPr>
      </w:pPr>
      <w:r>
        <w:rPr>
          <w:rFonts w:ascii="Arial" w:cs="Arial" w:eastAsia="Arial" w:hAnsi="Arial"/>
          <w:sz w:val="19"/>
          <w:szCs w:val="19"/>
          <w:color w:val="auto"/>
        </w:rPr>
        <w:t>Each time we wish to issue and sell our ordinary shares under the Sale Agreement, we will notify Jefferies of the number of shares to be issued, the dates on which such sales are anticipated to be made, any limitation on the number of shares to be sold in any one day and any minimum price below which sales may not be made. Once we have so instructed Jefferies, unless Jefferies declines to accept the terms of such notice, Jefferies has agreed to use its commercially reasonable efforts consistent with its normal trading and sales practices to sell such shares up to the amount specified on such terms. The obligations of Jefferies under the sales agreement to sell our ordinary shares are subject to a number of conditions that we must meet.</w:t>
      </w:r>
    </w:p>
    <w:p>
      <w:pPr>
        <w:spacing w:after="0" w:line="211" w:lineRule="exact"/>
        <w:rPr>
          <w:sz w:val="20"/>
          <w:szCs w:val="20"/>
          <w:color w:val="auto"/>
        </w:rPr>
      </w:pPr>
    </w:p>
    <w:p>
      <w:pPr>
        <w:ind w:right="300" w:firstLine="572"/>
        <w:spacing w:after="0" w:line="270" w:lineRule="auto"/>
        <w:rPr>
          <w:sz w:val="20"/>
          <w:szCs w:val="20"/>
          <w:color w:val="auto"/>
        </w:rPr>
      </w:pPr>
      <w:r>
        <w:rPr>
          <w:rFonts w:ascii="Arial" w:cs="Arial" w:eastAsia="Arial" w:hAnsi="Arial"/>
          <w:sz w:val="19"/>
          <w:szCs w:val="19"/>
          <w:color w:val="auto"/>
        </w:rPr>
        <w:t>The settlement of sales of shares between us and Jefferies is generally anticipated to occur on the second trading day following the date on which the sale was made. Sales of our ordinary shares as contemplated in this prospectus supplement will be settled through the facilities of The Depository Trust Company or by such other means as we and Jefferies may agree upon. There is no arrangement for funds to be received in an escrow, trust or similar arrangement.</w:t>
      </w:r>
    </w:p>
    <w:p>
      <w:pPr>
        <w:spacing w:after="0" w:line="209" w:lineRule="exact"/>
        <w:rPr>
          <w:sz w:val="20"/>
          <w:szCs w:val="20"/>
          <w:color w:val="auto"/>
        </w:rPr>
      </w:pPr>
    </w:p>
    <w:p>
      <w:pPr>
        <w:ind w:right="20" w:firstLine="572"/>
        <w:spacing w:after="0" w:line="265" w:lineRule="auto"/>
        <w:rPr>
          <w:sz w:val="20"/>
          <w:szCs w:val="20"/>
          <w:color w:val="auto"/>
        </w:rPr>
      </w:pPr>
      <w:r>
        <w:rPr>
          <w:rFonts w:ascii="Arial" w:cs="Arial" w:eastAsia="Arial" w:hAnsi="Arial"/>
          <w:sz w:val="19"/>
          <w:szCs w:val="19"/>
          <w:color w:val="auto"/>
        </w:rPr>
        <w:t>We will pay Jefferies a commission of 3.0% of the gross proceeds of any shares sold through it pursuant to this prospectus supplement and the Sale Agreement and reimburse Jefferies for up to $50,000 of its expenses, including fees and disbursements to its legal counsel. In accordance with Financial Industry Regulatory Authority, Inc. Rule 5110, these reimbursed fees and expenses are deemed sales compensation to Jefferies in connection with this offering. The estimated offering expenses payable by us, in addition to such commission and reimbursed expenses, are approximately $150,000, which includes legal, accounting and printing costs and various other fees associated with registering the ordinary shares. The remaining sales proceeds, after deducting any other transaction fees, will equal our net proceeds from the sale of such shares. Because there is no minimum offering amount required as a condition to close this offering, the actual total public offering amount, commissions and proceeds to us, if any, are not determinable at this time.</w:t>
      </w:r>
    </w:p>
    <w:p>
      <w:pPr>
        <w:spacing w:after="0" w:line="217" w:lineRule="exact"/>
        <w:rPr>
          <w:sz w:val="20"/>
          <w:szCs w:val="20"/>
          <w:color w:val="auto"/>
        </w:rPr>
      </w:pPr>
    </w:p>
    <w:p>
      <w:pPr>
        <w:jc w:val="both"/>
        <w:ind w:right="260" w:firstLine="572"/>
        <w:spacing w:after="0" w:line="274" w:lineRule="auto"/>
        <w:rPr>
          <w:sz w:val="20"/>
          <w:szCs w:val="20"/>
          <w:color w:val="auto"/>
        </w:rPr>
      </w:pPr>
      <w:r>
        <w:rPr>
          <w:rFonts w:ascii="Arial" w:cs="Arial" w:eastAsia="Arial" w:hAnsi="Arial"/>
          <w:sz w:val="19"/>
          <w:szCs w:val="19"/>
          <w:color w:val="auto"/>
        </w:rPr>
        <w:t>Jefferies will provide written confirmation to us before the open of trading on the Nasdaq Global Market on the day following each day on which ordinary shares are sold by Jefferies for us under the Sale Agreement. Each confirmation will include the number of shares sold on that day, the aggregate gross proceeds of such sales and the net proceeds to us.</w:t>
      </w:r>
    </w:p>
    <w:p>
      <w:pPr>
        <w:spacing w:after="0" w:line="206" w:lineRule="exact"/>
        <w:rPr>
          <w:sz w:val="20"/>
          <w:szCs w:val="20"/>
          <w:color w:val="auto"/>
        </w:rPr>
      </w:pPr>
    </w:p>
    <w:p>
      <w:pPr>
        <w:ind w:right="20" w:firstLine="572"/>
        <w:spacing w:after="0" w:line="270" w:lineRule="auto"/>
        <w:rPr>
          <w:sz w:val="20"/>
          <w:szCs w:val="20"/>
          <w:color w:val="auto"/>
        </w:rPr>
      </w:pPr>
      <w:r>
        <w:rPr>
          <w:rFonts w:ascii="Arial" w:cs="Arial" w:eastAsia="Arial" w:hAnsi="Arial"/>
          <w:sz w:val="19"/>
          <w:szCs w:val="19"/>
          <w:color w:val="auto"/>
        </w:rPr>
        <w:t>In connection with the sale of our ordinary shares on our behalf, Jefferies will be deemed to be an “underwriter” within the meaning of the Securities Act and the compensation of Jefferies will be deemed to be underwriting commissions or discounts. We have agreed in the Sale Agreement to indemnify Jefferies against certain liabilities, including liabilities under the Securities Act. We have also agreed to contribute to payments Jefferies may be required to make in respect of such liabilities.</w:t>
      </w:r>
    </w:p>
    <w:p>
      <w:pPr>
        <w:spacing w:after="0" w:line="209" w:lineRule="exact"/>
        <w:rPr>
          <w:sz w:val="20"/>
          <w:szCs w:val="20"/>
          <w:color w:val="auto"/>
        </w:rPr>
      </w:pPr>
    </w:p>
    <w:p>
      <w:pPr>
        <w:ind w:right="40" w:firstLine="572"/>
        <w:spacing w:after="0" w:line="274" w:lineRule="auto"/>
        <w:rPr>
          <w:sz w:val="20"/>
          <w:szCs w:val="20"/>
          <w:color w:val="auto"/>
        </w:rPr>
      </w:pPr>
      <w:r>
        <w:rPr>
          <w:rFonts w:ascii="Arial" w:cs="Arial" w:eastAsia="Arial" w:hAnsi="Arial"/>
          <w:sz w:val="19"/>
          <w:szCs w:val="19"/>
          <w:color w:val="auto"/>
        </w:rPr>
        <w:t>The offering of ordinary shares pursuant to the Sale Agreement will terminate upon the earliest of (i) the sale of all of the ordinary shares subject to the Sale Agreement, (ii) the termination of the Sale Agreement according to its terms by either Jefferies or us and (iii) the third anniversary of the date of the Sale Agreement.</w:t>
      </w:r>
    </w:p>
    <w:p>
      <w:pPr>
        <w:spacing w:after="0" w:line="206" w:lineRule="exact"/>
        <w:rPr>
          <w:sz w:val="20"/>
          <w:szCs w:val="20"/>
          <w:color w:val="auto"/>
        </w:rPr>
      </w:pPr>
    </w:p>
    <w:p>
      <w:pPr>
        <w:ind w:right="100" w:firstLine="572"/>
        <w:spacing w:after="0" w:line="270" w:lineRule="auto"/>
        <w:rPr>
          <w:sz w:val="20"/>
          <w:szCs w:val="20"/>
          <w:color w:val="auto"/>
        </w:rPr>
      </w:pPr>
      <w:r>
        <w:rPr>
          <w:rFonts w:ascii="Arial" w:cs="Arial" w:eastAsia="Arial" w:hAnsi="Arial"/>
          <w:sz w:val="19"/>
          <w:szCs w:val="19"/>
          <w:color w:val="auto"/>
        </w:rPr>
        <w:t>Jefferies and its affiliates have from time to time provided, and may in the future provide, various investment banking, commercial banking, financial advisory and other services to us and our affiliates and may in the future receive customary fees. In the course of its business, Jefferies may actively trade our securities for its own account or for the accounts of customers, and, accordingly, Jefferies may at any time hold long or short positions in such securities.</w:t>
      </w:r>
    </w:p>
    <w:p>
      <w:pPr>
        <w:spacing w:after="0" w:line="209" w:lineRule="exact"/>
        <w:rPr>
          <w:sz w:val="20"/>
          <w:szCs w:val="20"/>
          <w:color w:val="auto"/>
        </w:rPr>
      </w:pPr>
    </w:p>
    <w:p>
      <w:pPr>
        <w:ind w:right="620" w:firstLine="572"/>
        <w:spacing w:after="0" w:line="317" w:lineRule="auto"/>
        <w:rPr>
          <w:sz w:val="20"/>
          <w:szCs w:val="20"/>
          <w:color w:val="auto"/>
        </w:rPr>
      </w:pPr>
      <w:r>
        <w:rPr>
          <w:rFonts w:ascii="Arial" w:cs="Arial" w:eastAsia="Arial" w:hAnsi="Arial"/>
          <w:sz w:val="18"/>
          <w:szCs w:val="18"/>
          <w:color w:val="auto"/>
        </w:rPr>
        <w:t>This prospectus supplement and the accompanying prospectus in electronic format may be made available on a website maintained by Jefferies and Jefferies may distribute this prospectus supplement and the accompanying prospectus electronically.</w:t>
      </w:r>
    </w:p>
    <w:p>
      <w:pPr>
        <w:spacing w:after="0" w:line="169" w:lineRule="exact"/>
        <w:rPr>
          <w:sz w:val="20"/>
          <w:szCs w:val="20"/>
          <w:color w:val="auto"/>
        </w:rPr>
      </w:pPr>
    </w:p>
    <w:p>
      <w:pPr>
        <w:ind w:firstLine="572"/>
        <w:spacing w:after="0" w:line="287" w:lineRule="auto"/>
        <w:rPr>
          <w:sz w:val="20"/>
          <w:szCs w:val="20"/>
          <w:color w:val="auto"/>
        </w:rPr>
      </w:pPr>
      <w:r>
        <w:rPr>
          <w:rFonts w:ascii="Arial" w:cs="Arial" w:eastAsia="Arial" w:hAnsi="Arial"/>
          <w:sz w:val="19"/>
          <w:szCs w:val="19"/>
          <w:color w:val="auto"/>
        </w:rPr>
        <w:t>This document does not constitute a prospectus under the Israeli Securities Law, 5728-1968, or the Securities Law, and has not been filed with or approved by the Israel Securities Authority.</w:t>
      </w:r>
    </w:p>
    <w:p>
      <w:pPr>
        <w:sectPr>
          <w:pgSz w:w="11900" w:h="16838" w:orient="portrait"/>
          <w:cols w:equalWidth="0" w:num="1">
            <w:col w:w="11440"/>
          </w:cols>
          <w:pgMar w:left="240" w:top="341" w:right="219" w:bottom="1440" w:gutter="0" w:footer="0" w:header="0"/>
        </w:sectPr>
      </w:pPr>
    </w:p>
    <w:p>
      <w:pPr>
        <w:spacing w:after="0" w:line="33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S - 25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54610</wp:posOffset>
            </wp:positionV>
            <wp:extent cx="7262495" cy="152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341" w:right="219" w:bottom="1440" w:gutter="0" w:footer="0" w:header="0"/>
          <w:type w:val="continuous"/>
        </w:sectPr>
      </w:pPr>
    </w:p>
    <w:bookmarkStart w:id="30" w:name="page31"/>
    <w:bookmarkEnd w:id="30"/>
    <w:p>
      <w:pPr>
        <w:jc w:val="center"/>
        <w:spacing w:after="0"/>
        <w:rPr>
          <w:sz w:val="20"/>
          <w:szCs w:val="20"/>
          <w:color w:val="auto"/>
        </w:rPr>
      </w:pPr>
      <w:r>
        <w:rPr>
          <w:rFonts w:ascii="Arial" w:cs="Arial" w:eastAsia="Arial" w:hAnsi="Arial"/>
          <w:sz w:val="19"/>
          <w:szCs w:val="19"/>
          <w:b w:val="1"/>
          <w:bCs w:val="1"/>
          <w:color w:val="auto"/>
        </w:rPr>
        <w:t>LEGAL MATTERS</w:t>
      </w:r>
    </w:p>
    <w:p>
      <w:pPr>
        <w:spacing w:after="0" w:line="265" w:lineRule="exact"/>
        <w:rPr>
          <w:sz w:val="20"/>
          <w:szCs w:val="20"/>
          <w:color w:val="auto"/>
        </w:rPr>
      </w:pPr>
    </w:p>
    <w:p>
      <w:pPr>
        <w:ind w:right="160" w:firstLine="572"/>
        <w:spacing w:after="0" w:line="268" w:lineRule="auto"/>
        <w:rPr>
          <w:sz w:val="20"/>
          <w:szCs w:val="20"/>
          <w:color w:val="auto"/>
        </w:rPr>
      </w:pPr>
      <w:r>
        <w:rPr>
          <w:rFonts w:ascii="Arial" w:cs="Arial" w:eastAsia="Arial" w:hAnsi="Arial"/>
          <w:sz w:val="19"/>
          <w:szCs w:val="19"/>
          <w:color w:val="auto"/>
        </w:rPr>
        <w:t>Certain legal matters with respect to Israeli law and with respect to the validity of the ordinary shares under Israeli law will be passed upon for us by Gross, Kleinhendler, Hodak, Halevy, Greenberg, Shenhav &amp; Co. Certain legal matters with respect to U.S. law will be passed upon for us by Latham &amp; Watkins LLP, New York, New York. Covington &amp; Burling LLP, New York, New York, is acting as counsel for the underwriters in connection with this offering with respect to U.S. law, and Gornitzky &amp; Co., Tel Aviv, Israel, is acting as counsel for the underwriters in connection with this offering with respect to Israeli law.</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EXPERTS</w:t>
      </w:r>
    </w:p>
    <w:p>
      <w:pPr>
        <w:spacing w:after="0" w:line="265" w:lineRule="exact"/>
        <w:rPr>
          <w:sz w:val="20"/>
          <w:szCs w:val="20"/>
          <w:color w:val="auto"/>
        </w:rPr>
      </w:pPr>
    </w:p>
    <w:p>
      <w:pPr>
        <w:ind w:right="260" w:firstLine="572"/>
        <w:spacing w:after="0" w:line="270" w:lineRule="auto"/>
        <w:rPr>
          <w:sz w:val="20"/>
          <w:szCs w:val="20"/>
          <w:color w:val="auto"/>
        </w:rPr>
      </w:pPr>
      <w:r>
        <w:rPr>
          <w:rFonts w:ascii="Arial" w:cs="Arial" w:eastAsia="Arial" w:hAnsi="Arial"/>
          <w:sz w:val="19"/>
          <w:szCs w:val="19"/>
          <w:color w:val="auto"/>
        </w:rPr>
        <w:t>The financial statements incorporated in this prospectus by reference to our Annual Report on Form 20-F for the year ended December 31, 2018 have been so incorporated in reliance on the report of Kesselman &amp; Kesselman, Certified Public Accountants (Isr.), a member firm of PricewaterhouseCoopers International Limited, an independent registered public accounting firm, given on the authority of said firm as experts in auditing and accounting.</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WHERE YOU CAN FIND MORE INFORMATION</w:t>
      </w:r>
    </w:p>
    <w:p>
      <w:pPr>
        <w:spacing w:after="0" w:line="265" w:lineRule="exact"/>
        <w:rPr>
          <w:sz w:val="20"/>
          <w:szCs w:val="20"/>
          <w:color w:val="auto"/>
        </w:rPr>
      </w:pPr>
    </w:p>
    <w:p>
      <w:pPr>
        <w:ind w:right="60" w:firstLine="572"/>
        <w:spacing w:after="0" w:line="268" w:lineRule="auto"/>
        <w:rPr>
          <w:sz w:val="20"/>
          <w:szCs w:val="20"/>
          <w:color w:val="auto"/>
        </w:rPr>
      </w:pPr>
      <w:r>
        <w:rPr>
          <w:rFonts w:ascii="Arial" w:cs="Arial" w:eastAsia="Arial" w:hAnsi="Arial"/>
          <w:sz w:val="19"/>
          <w:szCs w:val="19"/>
          <w:color w:val="auto"/>
        </w:rPr>
        <w:t>We have filed with the SEC a registration statement on Form F-3 under the Securities Act with respect to the securities offered by this prospectus supplement. However, as is permitted by the rules and regulations of the SEC, this prospectus supplement and the accompanying prospectus, which are part of our registration statement on Form F-3, omit certain non-material information, exhibits, schedules and undertakings set forth in the registration statement. For further information about us, and the securities offered by this prospectus, please refer to the registration statement.</w:t>
      </w:r>
    </w:p>
    <w:p>
      <w:pPr>
        <w:spacing w:after="0" w:line="211" w:lineRule="exact"/>
        <w:rPr>
          <w:sz w:val="20"/>
          <w:szCs w:val="20"/>
          <w:color w:val="auto"/>
        </w:rPr>
      </w:pPr>
    </w:p>
    <w:p>
      <w:pPr>
        <w:ind w:firstLine="572"/>
        <w:spacing w:after="0" w:line="290" w:lineRule="auto"/>
        <w:rPr>
          <w:sz w:val="20"/>
          <w:szCs w:val="20"/>
          <w:color w:val="auto"/>
        </w:rPr>
      </w:pPr>
      <w:r>
        <w:rPr>
          <w:rFonts w:ascii="Arial" w:cs="Arial" w:eastAsia="Arial" w:hAnsi="Arial"/>
          <w:sz w:val="18"/>
          <w:szCs w:val="18"/>
          <w:color w:val="auto"/>
        </w:rPr>
        <w:t>We are subject to the reporting requirements of the Exchange Act that are applicable to a foreign private issuer. In accordance with the Exchange Act, we file reports, including annual reports on Form 20-F containing financial statements audited by an independent accounting firm. We also furnish to the SEC, under cover of Reports of Foreign Private Issuer on Form 6-K, material information required to be made public by us or filed by us with and made public by any stock exchange or distributed by us to our shareholders.</w:t>
      </w:r>
    </w:p>
    <w:p>
      <w:pPr>
        <w:spacing w:after="0" w:line="192" w:lineRule="exact"/>
        <w:rPr>
          <w:sz w:val="20"/>
          <w:szCs w:val="20"/>
          <w:color w:val="auto"/>
        </w:rPr>
      </w:pPr>
    </w:p>
    <w:p>
      <w:pPr>
        <w:ind w:right="140" w:firstLine="572"/>
        <w:spacing w:after="0" w:line="287" w:lineRule="auto"/>
        <w:rPr>
          <w:sz w:val="20"/>
          <w:szCs w:val="20"/>
          <w:color w:val="auto"/>
        </w:rPr>
      </w:pPr>
      <w:r>
        <w:rPr>
          <w:rFonts w:ascii="Arial" w:cs="Arial" w:eastAsia="Arial" w:hAnsi="Arial"/>
          <w:sz w:val="19"/>
          <w:szCs w:val="19"/>
          <w:color w:val="auto"/>
        </w:rPr>
        <w:t>The SEC maintains an Internet site that contains reports, information statements and other information regarding issuers, such as us, that file electronically with the SEC (</w:t>
      </w:r>
      <w:r>
        <w:rPr>
          <w:rFonts w:ascii="Arial" w:cs="Arial" w:eastAsia="Arial" w:hAnsi="Arial"/>
          <w:sz w:val="19"/>
          <w:szCs w:val="19"/>
          <w:i w:val="1"/>
          <w:iCs w:val="1"/>
          <w:color w:val="auto"/>
        </w:rPr>
        <w:t>http://www.sec.gov</w:t>
      </w:r>
      <w:r>
        <w:rPr>
          <w:rFonts w:ascii="Arial" w:cs="Arial" w:eastAsia="Arial" w:hAnsi="Arial"/>
          <w:sz w:val="19"/>
          <w:szCs w:val="19"/>
          <w:color w:val="auto"/>
        </w:rPr>
        <w:t>).</w:t>
      </w:r>
    </w:p>
    <w:p>
      <w:pPr>
        <w:spacing w:after="0" w:line="193" w:lineRule="exact"/>
        <w:rPr>
          <w:sz w:val="20"/>
          <w:szCs w:val="20"/>
          <w:color w:val="auto"/>
        </w:rPr>
      </w:pPr>
    </w:p>
    <w:p>
      <w:pPr>
        <w:ind w:right="20" w:firstLine="572"/>
        <w:spacing w:after="0" w:line="311" w:lineRule="auto"/>
        <w:rPr>
          <w:sz w:val="20"/>
          <w:szCs w:val="20"/>
          <w:color w:val="auto"/>
        </w:rPr>
      </w:pPr>
      <w:r>
        <w:rPr>
          <w:rFonts w:ascii="Arial" w:cs="Arial" w:eastAsia="Arial" w:hAnsi="Arial"/>
          <w:sz w:val="17"/>
          <w:szCs w:val="17"/>
          <w:color w:val="auto"/>
        </w:rPr>
        <w:t>As a foreign private issuer, we are exempt from the rules under the Exchange Act prescribing the furnishing and content of proxy statements to shareholders and our officers, directors and principal shareholders are exempt from the “short-swing profits” reporting and liability provisions contained in Section 16 of the Exchange Act and related Exchange Act rules. In addition, we are not required under the Exchange Act to file periodic reports and financial statements as frequently or as promptly as U.S. companies whose securities are registered under the Exchange Act.</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INCORPORATION OF CERTAIN DOCUMENTS BY REFERENCE</w:t>
      </w:r>
    </w:p>
    <w:p>
      <w:pPr>
        <w:spacing w:after="0" w:line="265" w:lineRule="exact"/>
        <w:rPr>
          <w:sz w:val="20"/>
          <w:szCs w:val="20"/>
          <w:color w:val="auto"/>
        </w:rPr>
      </w:pPr>
    </w:p>
    <w:p>
      <w:pPr>
        <w:ind w:firstLine="572"/>
        <w:spacing w:after="0" w:line="267" w:lineRule="auto"/>
        <w:rPr>
          <w:sz w:val="20"/>
          <w:szCs w:val="20"/>
          <w:color w:val="auto"/>
        </w:rPr>
      </w:pPr>
      <w:r>
        <w:rPr>
          <w:rFonts w:ascii="Arial" w:cs="Arial" w:eastAsia="Arial" w:hAnsi="Arial"/>
          <w:sz w:val="19"/>
          <w:szCs w:val="19"/>
          <w:color w:val="auto"/>
        </w:rPr>
        <w:t>We file annual and special reports and other information with the SEC (File Number 001-38367). These filings contain important information which does not appear in this prospectus. The SEC allows us to “incorporate by reference” information into this prospectus, which means that we can disclose important information to you by referring you to other documents which we have filed or will file with the SEC. We are incorporating by reference in this prospectus the documents listed below and all amendments or supplements we may file to such documents, as well as any future filings we may make with the SEC on Form 20-F under the Exchange Act before the time that all of the securities offered by this prospectus have been sold or de-registered:</w:t>
      </w:r>
    </w:p>
    <w:p>
      <w:pPr>
        <w:spacing w:after="0" w:line="206" w:lineRule="exact"/>
        <w:rPr>
          <w:sz w:val="20"/>
          <w:szCs w:val="20"/>
          <w:color w:val="auto"/>
        </w:rPr>
      </w:pPr>
    </w:p>
    <w:p>
      <w:pPr>
        <w:ind w:left="560" w:hanging="278"/>
        <w:spacing w:after="0"/>
        <w:tabs>
          <w:tab w:leader="none" w:pos="5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our Annual Report on Form 20-F for the fiscal year ended on December 31, 2018, filed with the SEC on March 21, 2019;</w:t>
      </w:r>
    </w:p>
    <w:p>
      <w:pPr>
        <w:spacing w:after="0" w:line="221" w:lineRule="exact"/>
        <w:rPr>
          <w:rFonts w:ascii="Arial" w:cs="Arial" w:eastAsia="Arial" w:hAnsi="Arial"/>
          <w:sz w:val="16"/>
          <w:szCs w:val="16"/>
          <w:color w:val="auto"/>
        </w:rPr>
      </w:pPr>
    </w:p>
    <w:p>
      <w:pPr>
        <w:ind w:left="560" w:right="200" w:hanging="278"/>
        <w:spacing w:after="0" w:line="261" w:lineRule="auto"/>
        <w:tabs>
          <w:tab w:leader="none" w:pos="5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our Reports on Form 6-K furnished on April 16, 2019, May 16, 2019, May 22, 2019, May 23, 2019, June 27, 2019, July 8, 2019 (Exhibit 99.1 only), July 25, 2019 (Exhibit 99.1 only), August 8, 2019 (two reports), August 13, 2019, November 15, 2019, December 30, 2019, January 6, 2020 and January 8, 2020 (Exhibit 99.2 only); and</w:t>
      </w:r>
    </w:p>
    <w:p>
      <w:pPr>
        <w:spacing w:after="0" w:line="210" w:lineRule="exact"/>
        <w:rPr>
          <w:rFonts w:ascii="Arial" w:cs="Arial" w:eastAsia="Arial" w:hAnsi="Arial"/>
          <w:sz w:val="16"/>
          <w:szCs w:val="16"/>
          <w:color w:val="auto"/>
        </w:rPr>
      </w:pPr>
    </w:p>
    <w:p>
      <w:pPr>
        <w:ind w:left="560" w:hanging="278"/>
        <w:spacing w:after="0" w:line="308" w:lineRule="auto"/>
        <w:tabs>
          <w:tab w:leader="none" w:pos="560" w:val="left"/>
        </w:tabs>
        <w:numPr>
          <w:ilvl w:val="0"/>
          <w:numId w:val="14"/>
        </w:numPr>
        <w:rPr>
          <w:rFonts w:ascii="Arial" w:cs="Arial" w:eastAsia="Arial" w:hAnsi="Arial"/>
          <w:sz w:val="15"/>
          <w:szCs w:val="15"/>
          <w:color w:val="auto"/>
        </w:rPr>
      </w:pPr>
      <w:r>
        <w:rPr>
          <w:rFonts w:ascii="Arial" w:cs="Arial" w:eastAsia="Arial" w:hAnsi="Arial"/>
          <w:sz w:val="15"/>
          <w:szCs w:val="15"/>
          <w:color w:val="auto"/>
        </w:rPr>
        <w:t>the description of our ordinary shares contained under the heading “Item 1. Description of Registrant’s Securities to be Registered” in our registration statement on Form 8-A, as filed with the SEC on January 26, 2018, including any subsequent amendment or any report filed for the purpose of updating such description.</w:t>
      </w: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26" w:right="239" w:bottom="1440" w:gutter="0" w:footer="0" w:header="0"/>
        </w:sectPr>
      </w:pPr>
    </w:p>
    <w:bookmarkStart w:id="31" w:name="page32"/>
    <w:bookmarkEnd w:id="31"/>
    <w:p>
      <w:pPr>
        <w:ind w:right="80" w:firstLine="572"/>
        <w:spacing w:after="0" w:line="311" w:lineRule="auto"/>
        <w:rPr>
          <w:sz w:val="20"/>
          <w:szCs w:val="20"/>
          <w:color w:val="auto"/>
        </w:rPr>
      </w:pPr>
      <w:r>
        <w:rPr>
          <w:rFonts w:ascii="Arial" w:cs="Arial" w:eastAsia="Arial" w:hAnsi="Arial"/>
          <w:sz w:val="17"/>
          <w:szCs w:val="17"/>
          <w:color w:val="auto"/>
        </w:rPr>
        <w:t>In addition, all subsequent annual reports on Form 20-F filed after the effective date of this registration statement and prior to the termination of this offering and any reports on Form 6-K subsequently submitted to the SEC or portions thereof that we specifically identify in such forms as being incorporated by reference into the registration statement of which this prospectus forms a part, shall be considered to be incorporated into this prospectus by reference and shall be considered a part of this prospectus from the date of filing or submission of such documents.</w:t>
      </w:r>
    </w:p>
    <w:p>
      <w:pPr>
        <w:spacing w:after="0" w:line="179" w:lineRule="exact"/>
        <w:rPr>
          <w:sz w:val="20"/>
          <w:szCs w:val="20"/>
          <w:color w:val="auto"/>
        </w:rPr>
      </w:pPr>
    </w:p>
    <w:p>
      <w:pPr>
        <w:ind w:right="160" w:firstLine="572"/>
        <w:spacing w:after="0" w:line="296" w:lineRule="auto"/>
        <w:rPr>
          <w:sz w:val="20"/>
          <w:szCs w:val="20"/>
          <w:color w:val="auto"/>
        </w:rPr>
      </w:pPr>
      <w:r>
        <w:rPr>
          <w:rFonts w:ascii="Arial" w:cs="Arial" w:eastAsia="Arial" w:hAnsi="Arial"/>
          <w:sz w:val="18"/>
          <w:szCs w:val="18"/>
          <w:color w:val="auto"/>
        </w:rPr>
        <w:t>Certain statements in and portions of this prospectus supplement update and replace information in the above listed documents incorporated by reference. Likewise, statements in or portions of a future document incorporated by reference in this prospectus supplement may update and replace statements in and portions of this prospectus supplement or the above listed documents.</w:t>
      </w:r>
    </w:p>
    <w:p>
      <w:pPr>
        <w:spacing w:after="0" w:line="188" w:lineRule="exact"/>
        <w:rPr>
          <w:sz w:val="20"/>
          <w:szCs w:val="20"/>
          <w:color w:val="auto"/>
        </w:rPr>
      </w:pPr>
    </w:p>
    <w:p>
      <w:pPr>
        <w:ind w:firstLine="572"/>
        <w:spacing w:after="0" w:line="307" w:lineRule="auto"/>
        <w:rPr>
          <w:sz w:val="20"/>
          <w:szCs w:val="20"/>
          <w:color w:val="auto"/>
        </w:rPr>
      </w:pPr>
      <w:r>
        <w:rPr>
          <w:rFonts w:ascii="Arial" w:cs="Arial" w:eastAsia="Arial" w:hAnsi="Arial"/>
          <w:sz w:val="17"/>
          <w:szCs w:val="17"/>
          <w:color w:val="auto"/>
        </w:rPr>
        <w:t xml:space="preserve">We will provide you without charge, upon your written or oral request, a copy of any of the documents incorporated by reference in this prospectus, other than exhibits to such documents which are not specifically incorporated by reference into such documents. Please direct your written or telephone requests to Sol-Gel Technologies Ltd., 7 Golda Meir Street, Weizmann Science Park, Ness Ziona, 7403650, Israel, Attn: Gilad Mamlok, telephone number +972 (8) 931-3433. You may also obtain information about us by visiting our website at </w:t>
      </w:r>
      <w:r>
        <w:rPr>
          <w:rFonts w:ascii="Arial" w:cs="Arial" w:eastAsia="Arial" w:hAnsi="Arial"/>
          <w:sz w:val="17"/>
          <w:szCs w:val="17"/>
          <w:i w:val="1"/>
          <w:iCs w:val="1"/>
          <w:color w:val="auto"/>
        </w:rPr>
        <w:t>www.sol-gel.com</w:t>
      </w:r>
      <w:r>
        <w:rPr>
          <w:rFonts w:ascii="Arial" w:cs="Arial" w:eastAsia="Arial" w:hAnsi="Arial"/>
          <w:sz w:val="17"/>
          <w:szCs w:val="17"/>
          <w:color w:val="auto"/>
        </w:rPr>
        <w:t>. Information contained in our website is not part of this prospectus. We have included our website address in this prospectus solely as an inactive textual reference.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ENFORCEABILITY OF CIVIL LIABILITIES</w:t>
      </w:r>
    </w:p>
    <w:p>
      <w:pPr>
        <w:spacing w:after="0" w:line="265" w:lineRule="exact"/>
        <w:rPr>
          <w:sz w:val="20"/>
          <w:szCs w:val="20"/>
          <w:color w:val="auto"/>
        </w:rPr>
      </w:pPr>
    </w:p>
    <w:p>
      <w:pPr>
        <w:jc w:val="both"/>
        <w:ind w:right="480" w:firstLine="572"/>
        <w:spacing w:after="0" w:line="311" w:lineRule="auto"/>
        <w:rPr>
          <w:sz w:val="20"/>
          <w:szCs w:val="20"/>
          <w:color w:val="auto"/>
        </w:rPr>
      </w:pPr>
      <w:r>
        <w:rPr>
          <w:rFonts w:ascii="Arial" w:cs="Arial" w:eastAsia="Arial" w:hAnsi="Arial"/>
          <w:sz w:val="17"/>
          <w:szCs w:val="17"/>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179" w:lineRule="exact"/>
        <w:rPr>
          <w:sz w:val="20"/>
          <w:szCs w:val="20"/>
          <w:color w:val="auto"/>
        </w:rPr>
      </w:pPr>
    </w:p>
    <w:p>
      <w:pPr>
        <w:ind w:right="40" w:firstLine="572"/>
        <w:spacing w:after="0" w:line="296" w:lineRule="auto"/>
        <w:rPr>
          <w:sz w:val="20"/>
          <w:szCs w:val="20"/>
          <w:color w:val="auto"/>
        </w:rPr>
      </w:pPr>
      <w:r>
        <w:rPr>
          <w:rFonts w:ascii="Arial" w:cs="Arial" w:eastAsia="Arial" w:hAnsi="Arial"/>
          <w:sz w:val="18"/>
          <w:szCs w:val="18"/>
          <w:color w:val="auto"/>
        </w:rPr>
        <w:t>We have irrevocably appointed Sol-Gel Technologies Inc. as our agent to receive service of process in any action against us in any U.S. federal or state court arising out of this offering or any purchase or sale of securities in connection with this offering. The address of our agent is Sol-Gel Technologies Inc., c/o The Corporation Trust Center, 1209 Orange Street, Wilmington, Delaware 19801.</w:t>
      </w:r>
    </w:p>
    <w:p>
      <w:pPr>
        <w:spacing w:after="0" w:line="188" w:lineRule="exact"/>
        <w:rPr>
          <w:sz w:val="20"/>
          <w:szCs w:val="20"/>
          <w:color w:val="auto"/>
        </w:rPr>
      </w:pPr>
    </w:p>
    <w:p>
      <w:pPr>
        <w:ind w:right="160" w:firstLine="572"/>
        <w:spacing w:after="0" w:line="267" w:lineRule="auto"/>
        <w:rPr>
          <w:sz w:val="20"/>
          <w:szCs w:val="20"/>
          <w:color w:val="auto"/>
        </w:rPr>
      </w:pPr>
      <w:r>
        <w:rPr>
          <w:rFonts w:ascii="Arial" w:cs="Arial" w:eastAsia="Arial" w:hAnsi="Arial"/>
          <w:sz w:val="19"/>
          <w:szCs w:val="19"/>
          <w:color w:val="auto"/>
        </w:rPr>
        <w:t>We have been informed by our legal counsel in Israel, Gross, Kleinhendler, Hodak, Halevy, Greenberg, Shenhav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211"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200" w:lineRule="exact"/>
        <w:rPr>
          <w:sz w:val="20"/>
          <w:szCs w:val="20"/>
          <w:color w:val="auto"/>
        </w:rPr>
      </w:pPr>
    </w:p>
    <w:p>
      <w:pPr>
        <w:ind w:left="560" w:hanging="421"/>
        <w:spacing w:after="0"/>
        <w:tabs>
          <w:tab w:leader="none" w:pos="5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judgment was rendered by a court which was, according to the laws of the state of the court, competent to render the judgment;</w:t>
      </w:r>
    </w:p>
    <w:p>
      <w:pPr>
        <w:spacing w:after="0" w:line="245" w:lineRule="exact"/>
        <w:rPr>
          <w:rFonts w:ascii="Arial" w:cs="Arial" w:eastAsia="Arial" w:hAnsi="Arial"/>
          <w:sz w:val="16"/>
          <w:szCs w:val="16"/>
          <w:color w:val="auto"/>
        </w:rPr>
      </w:pPr>
    </w:p>
    <w:p>
      <w:pPr>
        <w:ind w:left="560" w:hanging="421"/>
        <w:spacing w:after="0" w:line="274" w:lineRule="auto"/>
        <w:tabs>
          <w:tab w:leader="none" w:pos="5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obligation imposed by the judgment is enforceable according to the rules relating to the enforceability of judgments in Israel and the substance of the judgment is not contrary to public policy; and</w:t>
      </w:r>
    </w:p>
    <w:p>
      <w:pPr>
        <w:spacing w:after="0" w:line="200" w:lineRule="exact"/>
        <w:rPr>
          <w:rFonts w:ascii="Arial" w:cs="Arial" w:eastAsia="Arial" w:hAnsi="Arial"/>
          <w:sz w:val="16"/>
          <w:szCs w:val="16"/>
          <w:color w:val="auto"/>
        </w:rPr>
      </w:pPr>
    </w:p>
    <w:p>
      <w:pPr>
        <w:ind w:left="560" w:hanging="421"/>
        <w:spacing w:after="0"/>
        <w:tabs>
          <w:tab w:leader="none" w:pos="5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judgment is executory in the state in which it was given.</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32" w:name="page33"/>
    <w:bookmarkEnd w:id="32"/>
    <w:p>
      <w:pPr>
        <w:spacing w:after="0"/>
        <w:rPr>
          <w:sz w:val="20"/>
          <w:szCs w:val="20"/>
          <w:color w:val="auto"/>
        </w:rPr>
      </w:pPr>
      <w:r>
        <w:rPr>
          <w:rFonts w:ascii="Arial" w:cs="Arial" w:eastAsia="Arial" w:hAnsi="Arial"/>
          <w:sz w:val="19"/>
          <w:szCs w:val="19"/>
          <w:color w:val="auto"/>
        </w:rPr>
        <w:t>Even if these conditions are met, an Israeli court will not declare a foreign civil judgment enforceable if:</w:t>
      </w:r>
    </w:p>
    <w:p>
      <w:pPr>
        <w:spacing w:after="0" w:line="253" w:lineRule="exact"/>
        <w:rPr>
          <w:sz w:val="20"/>
          <w:szCs w:val="20"/>
          <w:color w:val="auto"/>
        </w:rPr>
      </w:pPr>
    </w:p>
    <w:p>
      <w:pPr>
        <w:ind w:left="560" w:hanging="123"/>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judgment was given in a state whose laws do not provide for the enforcement of judgments of Israeli courts (subject to exceptional cases);</w:t>
      </w:r>
    </w:p>
    <w:p>
      <w:pPr>
        <w:spacing w:after="0" w:line="245" w:lineRule="exact"/>
        <w:rPr>
          <w:rFonts w:ascii="Arial" w:cs="Arial" w:eastAsia="Arial" w:hAnsi="Arial"/>
          <w:sz w:val="16"/>
          <w:szCs w:val="16"/>
          <w:color w:val="auto"/>
        </w:rPr>
      </w:pPr>
    </w:p>
    <w:p>
      <w:pPr>
        <w:ind w:left="560" w:hanging="123"/>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enforcement of the judgment is likely to prejudice the sovereignty or security of the State of Israel;</w:t>
      </w:r>
    </w:p>
    <w:p>
      <w:pPr>
        <w:spacing w:after="0" w:line="245" w:lineRule="exact"/>
        <w:rPr>
          <w:rFonts w:ascii="Arial" w:cs="Arial" w:eastAsia="Arial" w:hAnsi="Arial"/>
          <w:sz w:val="16"/>
          <w:szCs w:val="16"/>
          <w:color w:val="auto"/>
        </w:rPr>
      </w:pPr>
    </w:p>
    <w:p>
      <w:pPr>
        <w:ind w:left="560" w:hanging="123"/>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judgment was obtained by fraud;</w:t>
      </w:r>
    </w:p>
    <w:p>
      <w:pPr>
        <w:spacing w:after="0" w:line="245" w:lineRule="exact"/>
        <w:rPr>
          <w:rFonts w:ascii="Arial" w:cs="Arial" w:eastAsia="Arial" w:hAnsi="Arial"/>
          <w:sz w:val="16"/>
          <w:szCs w:val="16"/>
          <w:color w:val="auto"/>
        </w:rPr>
      </w:pPr>
    </w:p>
    <w:p>
      <w:pPr>
        <w:ind w:left="560" w:hanging="123"/>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opportunity given to the defendant to bring its arguments and evidence before the court was not reasonable in the opinion of the Israeli court;</w:t>
      </w:r>
    </w:p>
    <w:p>
      <w:pPr>
        <w:spacing w:after="0" w:line="245" w:lineRule="exact"/>
        <w:rPr>
          <w:rFonts w:ascii="Arial" w:cs="Arial" w:eastAsia="Arial" w:hAnsi="Arial"/>
          <w:sz w:val="16"/>
          <w:szCs w:val="16"/>
          <w:color w:val="auto"/>
        </w:rPr>
      </w:pPr>
    </w:p>
    <w:p>
      <w:pPr>
        <w:ind w:left="560" w:hanging="123"/>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judgment was rendered by a court not competent to render it according to the laws of private international law as they apply in Israel;</w:t>
      </w:r>
    </w:p>
    <w:p>
      <w:pPr>
        <w:spacing w:after="0" w:line="245" w:lineRule="exact"/>
        <w:rPr>
          <w:rFonts w:ascii="Arial" w:cs="Arial" w:eastAsia="Arial" w:hAnsi="Arial"/>
          <w:sz w:val="16"/>
          <w:szCs w:val="16"/>
          <w:color w:val="auto"/>
        </w:rPr>
      </w:pPr>
    </w:p>
    <w:p>
      <w:pPr>
        <w:ind w:left="560" w:hanging="123"/>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judgment is contradictory to another judgment that was given in the same matter between the same parties and that is still valid; or</w:t>
      </w:r>
    </w:p>
    <w:p>
      <w:pPr>
        <w:spacing w:after="0" w:line="245" w:lineRule="exact"/>
        <w:rPr>
          <w:rFonts w:ascii="Arial" w:cs="Arial" w:eastAsia="Arial" w:hAnsi="Arial"/>
          <w:sz w:val="16"/>
          <w:szCs w:val="16"/>
          <w:color w:val="auto"/>
        </w:rPr>
      </w:pPr>
    </w:p>
    <w:p>
      <w:pPr>
        <w:ind w:left="560" w:hanging="123"/>
        <w:spacing w:after="0"/>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at the time the action was brought in the foreign court, a lawsuit in the same matter and between the same parties was pending before a court or tribunal in Israel.</w:t>
      </w:r>
    </w:p>
    <w:p>
      <w:pPr>
        <w:spacing w:after="0" w:line="262" w:lineRule="exact"/>
        <w:rPr>
          <w:sz w:val="20"/>
          <w:szCs w:val="20"/>
          <w:color w:val="auto"/>
        </w:rPr>
      </w:pPr>
    </w:p>
    <w:p>
      <w:pPr>
        <w:ind w:firstLine="572"/>
        <w:spacing w:after="0" w:line="267" w:lineRule="auto"/>
        <w:rPr>
          <w:sz w:val="20"/>
          <w:szCs w:val="20"/>
          <w:color w:val="auto"/>
        </w:rPr>
      </w:pPr>
      <w:r>
        <w:rPr>
          <w:rFonts w:ascii="Arial" w:cs="Arial" w:eastAsia="Arial" w:hAnsi="Arial"/>
          <w:sz w:val="19"/>
          <w:szCs w:val="19"/>
          <w:color w:val="auto"/>
        </w:rPr>
        <w:t>If a foreign judgment is enforced by an Israeli court, it generally will be payable in Israeli currency, which can then be converted into non-Israeli currency and transferred out of Israel. Under existing Israeli law, a foreign judgment payable in foreign currency may be paid in Israeli currency at the rate of exchange in force on the date of the payment. Current Israeli exchange control regulations also permit a judgment debtor to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354" w:lineRule="exact"/>
        <w:rPr>
          <w:sz w:val="20"/>
          <w:szCs w:val="20"/>
          <w:color w:val="auto"/>
        </w:rPr>
      </w:pPr>
    </w:p>
    <w:p>
      <w:pPr>
        <w:jc w:val="center"/>
        <w:ind w:right="-79"/>
        <w:spacing w:after="0"/>
        <w:rPr>
          <w:sz w:val="20"/>
          <w:szCs w:val="20"/>
          <w:color w:val="auto"/>
        </w:rPr>
      </w:pPr>
      <w:r>
        <w:rPr>
          <w:rFonts w:ascii="Arial" w:cs="Arial" w:eastAsia="Arial" w:hAnsi="Arial"/>
          <w:sz w:val="19"/>
          <w:szCs w:val="19"/>
          <w:color w:val="auto"/>
        </w:rPr>
        <w:t>S - 28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360"/>
          </w:cols>
          <w:pgMar w:left="240" w:top="132" w:right="299" w:bottom="1440" w:gutter="0" w:footer="0" w:header="0"/>
        </w:sectPr>
      </w:pPr>
    </w:p>
    <w:bookmarkStart w:id="33" w:name="page34"/>
    <w:bookmarkEnd w:id="33"/>
    <w:p>
      <w:pPr>
        <w:spacing w:after="0"/>
        <w:rPr>
          <w:sz w:val="20"/>
          <w:szCs w:val="20"/>
          <w:color w:val="auto"/>
        </w:rPr>
      </w:pPr>
      <w:r>
        <w:rPr>
          <w:rFonts w:ascii="Arial" w:cs="Arial" w:eastAsia="Arial" w:hAnsi="Arial"/>
          <w:sz w:val="19"/>
          <w:szCs w:val="19"/>
          <w:b w:val="1"/>
          <w:bCs w:val="1"/>
          <w:color w:val="auto"/>
        </w:rPr>
        <w:t>PROSPECTUS</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$120,000,000</w:t>
      </w: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Ordinary Shares,</w:t>
      </w:r>
    </w:p>
    <w:p>
      <w:pPr>
        <w:spacing w:after="0" w:line="2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Warrants to Purchase Ordinary Shares,</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Subscription Rights and/or Units</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Offered by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2927985</wp:posOffset>
            </wp:positionH>
            <wp:positionV relativeFrom="paragraph">
              <wp:posOffset>318135</wp:posOffset>
            </wp:positionV>
            <wp:extent cx="1408430" cy="673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408430" cy="673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SOL-GEL TECHNOLOGIES LTD.</w:t>
      </w:r>
    </w:p>
    <w:p>
      <w:pPr>
        <w:spacing w:after="0" w:line="265"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We may offer and sell to the public from time to time in one or more series or issuances up to $120,000,000 in the aggregate of ordinary shares, warrants, subscription rights and/or units consisting of two or more of these classes or series of securities.</w:t>
      </w:r>
    </w:p>
    <w:p>
      <w:pPr>
        <w:spacing w:after="0" w:line="193" w:lineRule="exact"/>
        <w:rPr>
          <w:sz w:val="20"/>
          <w:szCs w:val="20"/>
          <w:color w:val="auto"/>
        </w:rPr>
      </w:pPr>
    </w:p>
    <w:p>
      <w:pPr>
        <w:ind w:left="560"/>
        <w:spacing w:after="0"/>
        <w:rPr>
          <w:sz w:val="20"/>
          <w:szCs w:val="20"/>
          <w:color w:val="auto"/>
        </w:rPr>
      </w:pPr>
      <w:r>
        <w:rPr>
          <w:rFonts w:ascii="Arial" w:cs="Arial" w:eastAsia="Arial" w:hAnsi="Arial"/>
          <w:sz w:val="19"/>
          <w:szCs w:val="19"/>
          <w:color w:val="auto"/>
        </w:rPr>
        <w:t>We refer to the ordinary shares, warrants, subscription rights and units collectively as “securities” in this prospectus.</w:t>
      </w:r>
    </w:p>
    <w:p>
      <w:pPr>
        <w:spacing w:after="0" w:line="259" w:lineRule="exact"/>
        <w:rPr>
          <w:sz w:val="20"/>
          <w:szCs w:val="20"/>
          <w:color w:val="auto"/>
        </w:rPr>
      </w:pPr>
    </w:p>
    <w:p>
      <w:pPr>
        <w:jc w:val="both"/>
        <w:ind w:firstLine="572"/>
        <w:spacing w:after="0" w:line="270" w:lineRule="auto"/>
        <w:rPr>
          <w:sz w:val="20"/>
          <w:szCs w:val="20"/>
          <w:color w:val="auto"/>
        </w:rPr>
      </w:pPr>
      <w:r>
        <w:rPr>
          <w:rFonts w:ascii="Arial" w:cs="Arial" w:eastAsia="Arial" w:hAnsi="Arial"/>
          <w:sz w:val="19"/>
          <w:szCs w:val="19"/>
          <w:color w:val="auto"/>
        </w:rPr>
        <w:t>Each time we sell securities pursuant to this prospectus, we will provide a supplement to this prospectus that contains specific information about the offeror, the offering and the specific terms of the securities offered. This prospectus may not be used to consummate a sale of securities by us unless accompanied by the applicable prospectus supplement. You should read this prospectus and the applicable prospectus supplement carefully before you invest in our securities.</w:t>
      </w:r>
    </w:p>
    <w:p>
      <w:pPr>
        <w:spacing w:after="0" w:line="209" w:lineRule="exact"/>
        <w:rPr>
          <w:sz w:val="20"/>
          <w:szCs w:val="20"/>
          <w:color w:val="auto"/>
        </w:rPr>
      </w:pPr>
    </w:p>
    <w:p>
      <w:pPr>
        <w:jc w:val="both"/>
        <w:ind w:firstLine="572"/>
        <w:spacing w:after="0" w:line="270" w:lineRule="auto"/>
        <w:rPr>
          <w:sz w:val="20"/>
          <w:szCs w:val="20"/>
          <w:color w:val="auto"/>
        </w:rPr>
      </w:pPr>
      <w:r>
        <w:rPr>
          <w:rFonts w:ascii="Arial" w:cs="Arial" w:eastAsia="Arial" w:hAnsi="Arial"/>
          <w:sz w:val="19"/>
          <w:szCs w:val="19"/>
          <w:color w:val="auto"/>
        </w:rPr>
        <w:t>We may, from time to time, offer to sell the securities, through public or private transactions, directly or through underwriters, agents or dealers, on or off the Nasdaq Global Market, as applicable, at prevailing market prices or at privately negotiated prices. If any underwriters, agents or dealers are involved in the sale of any of these securities, the applicable prospectus supplement will set forth the names of the underwriter, agent or dealer and any applicable fees, commissions or discounts.</w:t>
      </w:r>
    </w:p>
    <w:p>
      <w:pPr>
        <w:spacing w:after="0" w:line="209"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Our ordinary shares are traded on the Nasdaq Global Market under the symbol “SLGL.” The last reported sale price for ordinary shares on April 9, 2019 as quoted on the Nasdaq Global Market was $7.22 per share.</w:t>
      </w:r>
    </w:p>
    <w:p>
      <w:pPr>
        <w:spacing w:after="0" w:line="193" w:lineRule="exact"/>
        <w:rPr>
          <w:sz w:val="20"/>
          <w:szCs w:val="20"/>
          <w:color w:val="auto"/>
        </w:rPr>
      </w:pPr>
    </w:p>
    <w:p>
      <w:pPr>
        <w:jc w:val="both"/>
        <w:ind w:firstLine="572"/>
        <w:spacing w:after="0" w:line="290" w:lineRule="auto"/>
        <w:rPr>
          <w:sz w:val="20"/>
          <w:szCs w:val="20"/>
          <w:color w:val="auto"/>
        </w:rPr>
      </w:pPr>
      <w:r>
        <w:rPr>
          <w:rFonts w:ascii="Arial" w:cs="Arial" w:eastAsia="Arial" w:hAnsi="Arial"/>
          <w:sz w:val="18"/>
          <w:szCs w:val="18"/>
          <w:color w:val="auto"/>
        </w:rPr>
        <w:t>On April 3, 2019, the aggregate market value worldwide of our outstanding voting and non-voting common equity held by non-affiliates was approximately $37.49 million, based on 18,949,968 ordinary shares outstanding and a per ordinary share price of $7.31 based on the closing sale price of our ordinary shares on the Nasdaq Global Market on April 3, 2019. We have not offered any securities pursuant to General Instruction I.B.5 on Form F-3 during the prior 12 calendar month period that ends on and includes the date of this prospectus.</w:t>
      </w:r>
    </w:p>
    <w:p>
      <w:pPr>
        <w:spacing w:after="0" w:line="186" w:lineRule="exact"/>
        <w:rPr>
          <w:sz w:val="20"/>
          <w:szCs w:val="20"/>
          <w:color w:val="auto"/>
        </w:rPr>
      </w:pPr>
    </w:p>
    <w:p>
      <w:pPr>
        <w:jc w:val="both"/>
        <w:ind w:right="20" w:firstLine="572"/>
        <w:spacing w:after="0" w:line="272" w:lineRule="auto"/>
        <w:rPr>
          <w:sz w:val="20"/>
          <w:szCs w:val="20"/>
          <w:color w:val="auto"/>
        </w:rPr>
      </w:pPr>
      <w:r>
        <w:rPr>
          <w:rFonts w:ascii="Arial" w:cs="Arial" w:eastAsia="Arial" w:hAnsi="Arial"/>
          <w:sz w:val="19"/>
          <w:szCs w:val="19"/>
          <w:b w:val="1"/>
          <w:bCs w:val="1"/>
          <w:color w:val="auto"/>
        </w:rPr>
        <w:t>Investing in these securities involves a high degree of risk. Please carefully consider the risks discussed in this prospectus under “Risk Factors” beginning on page 2 and the “Risk Factors” in “Item 3: Key Information—Risk Factors” of our most recent Annual Report on Form 20-F incorporated by reference in this prospectus and in any applicable prospectus supplement for a discussion of the factors you should consider carefully before deciding to purchase these securities.</w:t>
      </w:r>
    </w:p>
    <w:p>
      <w:pPr>
        <w:spacing w:after="0" w:line="202" w:lineRule="exact"/>
        <w:rPr>
          <w:sz w:val="20"/>
          <w:szCs w:val="20"/>
          <w:color w:val="auto"/>
        </w:rPr>
      </w:pPr>
    </w:p>
    <w:p>
      <w:pPr>
        <w:jc w:val="both"/>
        <w:ind w:firstLine="564"/>
        <w:spacing w:after="0" w:line="278" w:lineRule="auto"/>
        <w:rPr>
          <w:sz w:val="20"/>
          <w:szCs w:val="20"/>
          <w:color w:val="auto"/>
        </w:rPr>
      </w:pPr>
      <w:r>
        <w:rPr>
          <w:rFonts w:ascii="Arial" w:cs="Arial" w:eastAsia="Arial" w:hAnsi="Arial"/>
          <w:sz w:val="19"/>
          <w:szCs w:val="19"/>
          <w:b w:val="1"/>
          <w:bCs w:val="1"/>
          <w:color w:val="auto"/>
        </w:rPr>
        <w:t>Neither the Securities and Exchange Commission nor any state securities commission has approved or disapproved of the securities being offered by this prospectus, or determined if this prospectus is truthful or complete. Any representation to the contrary is a criminal offense.</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42"/>
        </w:trPr>
        <w:tc>
          <w:tcPr>
            <w:tcW w:w="6600" w:type="dxa"/>
            <w:vAlign w:val="bottom"/>
          </w:tcPr>
          <w:p>
            <w:pPr>
              <w:ind w:left="3840"/>
              <w:spacing w:after="0"/>
              <w:rPr>
                <w:sz w:val="20"/>
                <w:szCs w:val="20"/>
                <w:color w:val="auto"/>
              </w:rPr>
            </w:pPr>
            <w:r>
              <w:rPr>
                <w:rFonts w:ascii="Arial" w:cs="Arial" w:eastAsia="Arial" w:hAnsi="Arial"/>
                <w:sz w:val="19"/>
                <w:szCs w:val="19"/>
                <w:color w:val="auto"/>
              </w:rPr>
              <w:t>The date of this prospectus is</w:t>
            </w:r>
          </w:p>
        </w:tc>
        <w:tc>
          <w:tcPr>
            <w:tcW w:w="4840" w:type="dxa"/>
            <w:vAlign w:val="bottom"/>
          </w:tcPr>
          <w:p>
            <w:pPr>
              <w:jc w:val="right"/>
              <w:ind w:right="3745"/>
              <w:spacing w:after="0"/>
              <w:rPr>
                <w:sz w:val="20"/>
                <w:szCs w:val="20"/>
                <w:color w:val="auto"/>
              </w:rPr>
            </w:pPr>
            <w:r>
              <w:rPr>
                <w:rFonts w:ascii="Arial" w:cs="Arial" w:eastAsia="Arial" w:hAnsi="Arial"/>
                <w:sz w:val="19"/>
                <w:szCs w:val="19"/>
                <w:color w:val="auto"/>
              </w:rPr>
              <w:t>, 2019</w:t>
            </w:r>
          </w:p>
        </w:tc>
      </w:tr>
      <w:tr>
        <w:trPr>
          <w:trHeight w:val="163"/>
        </w:trPr>
        <w:tc>
          <w:tcPr>
            <w:tcW w:w="6600" w:type="dxa"/>
            <w:vAlign w:val="bottom"/>
            <w:tcBorders>
              <w:bottom w:val="single" w:sz="8" w:color="auto"/>
            </w:tcBorders>
          </w:tcPr>
          <w:p>
            <w:pPr>
              <w:spacing w:after="0"/>
              <w:rPr>
                <w:sz w:val="14"/>
                <w:szCs w:val="14"/>
                <w:color w:val="auto"/>
              </w:rPr>
            </w:pPr>
          </w:p>
        </w:tc>
        <w:tc>
          <w:tcPr>
            <w:tcW w:w="4840" w:type="dxa"/>
            <w:vAlign w:val="bottom"/>
            <w:tcBorders>
              <w:bottom w:val="single" w:sz="8" w:color="auto"/>
            </w:tcBorders>
          </w:tcPr>
          <w:p>
            <w:pPr>
              <w:spacing w:after="0"/>
              <w:rPr>
                <w:sz w:val="14"/>
                <w:szCs w:val="14"/>
                <w:color w:val="auto"/>
              </w:rPr>
            </w:pPr>
          </w:p>
        </w:tc>
      </w:tr>
    </w:tbl>
    <w:p>
      <w:pPr>
        <w:sectPr>
          <w:pgSz w:w="11900" w:h="16838" w:orient="portrait"/>
          <w:cols w:equalWidth="0" w:num="1">
            <w:col w:w="11440"/>
          </w:cols>
          <w:pgMar w:left="240" w:top="126" w:right="219" w:bottom="1440" w:gutter="0" w:footer="0" w:header="0"/>
        </w:sectPr>
      </w:pPr>
    </w:p>
    <w:bookmarkStart w:id="34" w:name="page35"/>
    <w:bookmarkEnd w:id="3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60" w:type="dxa"/>
            <w:vAlign w:val="bottom"/>
            <w:gridSpan w:val="2"/>
          </w:tcPr>
          <w:p>
            <w:pPr>
              <w:jc w:val="right"/>
              <w:ind w:right="4605"/>
              <w:spacing w:after="0"/>
              <w:rPr>
                <w:sz w:val="20"/>
                <w:szCs w:val="20"/>
                <w:color w:val="auto"/>
              </w:rPr>
            </w:pPr>
            <w:r>
              <w:rPr>
                <w:rFonts w:ascii="Arial" w:cs="Arial" w:eastAsia="Arial" w:hAnsi="Arial"/>
                <w:sz w:val="19"/>
                <w:szCs w:val="19"/>
                <w:b w:val="1"/>
                <w:bCs w:val="1"/>
                <w:color w:val="auto"/>
              </w:rPr>
              <w:t>TABLE OF CONTENTS</w:t>
            </w:r>
          </w:p>
        </w:tc>
      </w:tr>
      <w:tr>
        <w:trPr>
          <w:trHeight w:val="433"/>
        </w:trPr>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60" w:type="dxa"/>
            <w:vAlign w:val="bottom"/>
          </w:tcPr>
          <w:p>
            <w:pPr>
              <w:spacing w:after="0"/>
              <w:rPr>
                <w:sz w:val="24"/>
                <w:szCs w:val="24"/>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9"/>
                <w:szCs w:val="19"/>
                <w:b w:val="1"/>
                <w:bCs w:val="1"/>
                <w:color w:val="auto"/>
                <w:w w:val="83"/>
              </w:rPr>
              <w:t>Page</w:t>
            </w:r>
          </w:p>
        </w:tc>
      </w:tr>
      <w:tr>
        <w:trPr>
          <w:trHeight w:val="421"/>
        </w:trPr>
        <w:tc>
          <w:tcPr>
            <w:tcW w:w="4580" w:type="dxa"/>
            <w:vAlign w:val="bottom"/>
            <w:gridSpan w:val="20"/>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ABOUT THIS PROSPECTUS</w:t>
              </w:r>
            </w:hyperlink>
          </w:p>
        </w:tc>
        <w:tc>
          <w:tcPr>
            <w:tcW w:w="6860" w:type="dxa"/>
            <w:vAlign w:val="bottom"/>
            <w:gridSpan w:val="2"/>
          </w:tcPr>
          <w:p>
            <w:pPr>
              <w:jc w:val="right"/>
              <w:spacing w:after="0"/>
              <w:rPr>
                <w:sz w:val="20"/>
                <w:szCs w:val="20"/>
                <w:color w:val="auto"/>
              </w:rPr>
            </w:pPr>
            <w:r>
              <w:rPr>
                <w:rFonts w:ascii="Arial" w:cs="Arial" w:eastAsia="Arial" w:hAnsi="Arial"/>
                <w:sz w:val="16"/>
                <w:szCs w:val="16"/>
                <w:color w:val="auto"/>
              </w:rPr>
              <w:t>1</w:t>
            </w:r>
          </w:p>
        </w:tc>
      </w:tr>
      <w:tr>
        <w:trPr>
          <w:trHeight w:val="171"/>
        </w:trPr>
        <w:tc>
          <w:tcPr>
            <w:tcW w:w="1720" w:type="dxa"/>
            <w:vAlign w:val="bottom"/>
            <w:tcBorders>
              <w:top w:val="single" w:sz="8" w:color="0000EE"/>
              <w:bottom w:val="single" w:sz="8" w:color="0000EE"/>
            </w:tcBorders>
            <w:gridSpan w:val="6"/>
          </w:tcPr>
          <w:p>
            <w:pPr>
              <w:spacing w:after="0" w:line="171" w:lineRule="exact"/>
              <w:rPr>
                <w:rFonts w:ascii="Arial" w:cs="Arial" w:eastAsia="Arial" w:hAnsi="Arial"/>
                <w:sz w:val="16"/>
                <w:szCs w:val="16"/>
                <w:color w:val="0000EE"/>
                <w:w w:val="96"/>
              </w:rPr>
            </w:pPr>
            <w:hyperlink w:anchor="page37">
              <w:r>
                <w:rPr>
                  <w:rFonts w:ascii="Arial" w:cs="Arial" w:eastAsia="Arial" w:hAnsi="Arial"/>
                  <w:sz w:val="16"/>
                  <w:szCs w:val="16"/>
                  <w:color w:val="0000EE"/>
                  <w:w w:val="96"/>
                </w:rPr>
                <w:t>ABOUT THE COMPANY</w:t>
              </w:r>
            </w:hyperlink>
          </w:p>
        </w:tc>
        <w:tc>
          <w:tcPr>
            <w:tcW w:w="240" w:type="dxa"/>
            <w:vAlign w:val="bottom"/>
            <w:tcBorders>
              <w:top w:val="single" w:sz="8" w:color="0000EE"/>
            </w:tcBorders>
            <w:gridSpan w:val="3"/>
          </w:tcPr>
          <w:p>
            <w:pPr>
              <w:spacing w:after="0"/>
              <w:rPr>
                <w:sz w:val="14"/>
                <w:szCs w:val="14"/>
                <w:color w:val="auto"/>
              </w:rPr>
            </w:pPr>
          </w:p>
        </w:tc>
        <w:tc>
          <w:tcPr>
            <w:tcW w:w="2620" w:type="dxa"/>
            <w:vAlign w:val="bottom"/>
            <w:gridSpan w:val="11"/>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2</w:t>
            </w:r>
          </w:p>
        </w:tc>
      </w:tr>
      <w:tr>
        <w:trPr>
          <w:trHeight w:val="171"/>
        </w:trPr>
        <w:tc>
          <w:tcPr>
            <w:tcW w:w="1100" w:type="dxa"/>
            <w:vAlign w:val="bottom"/>
            <w:tcBorders>
              <w:bottom w:val="single" w:sz="8" w:color="0000EE"/>
            </w:tcBorders>
            <w:gridSpan w:val="2"/>
          </w:tcPr>
          <w:p>
            <w:pPr>
              <w:spacing w:after="0" w:line="171" w:lineRule="exact"/>
              <w:rPr>
                <w:rFonts w:ascii="Arial" w:cs="Arial" w:eastAsia="Arial" w:hAnsi="Arial"/>
                <w:sz w:val="16"/>
                <w:szCs w:val="16"/>
                <w:color w:val="0000EE"/>
                <w:w w:val="91"/>
              </w:rPr>
            </w:pPr>
            <w:hyperlink w:anchor="page37">
              <w:r>
                <w:rPr>
                  <w:rFonts w:ascii="Arial" w:cs="Arial" w:eastAsia="Arial" w:hAnsi="Arial"/>
                  <w:sz w:val="16"/>
                  <w:szCs w:val="16"/>
                  <w:color w:val="0000EE"/>
                  <w:w w:val="91"/>
                </w:rPr>
                <w:t>RISK FACTORS</w:t>
              </w:r>
            </w:hyperlink>
          </w:p>
        </w:tc>
        <w:tc>
          <w:tcPr>
            <w:tcW w:w="3480" w:type="dxa"/>
            <w:vAlign w:val="bottom"/>
            <w:gridSpan w:val="18"/>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2</w:t>
            </w:r>
          </w:p>
        </w:tc>
      </w:tr>
      <w:tr>
        <w:trPr>
          <w:trHeight w:val="171"/>
        </w:trPr>
        <w:tc>
          <w:tcPr>
            <w:tcW w:w="4580" w:type="dxa"/>
            <w:vAlign w:val="bottom"/>
            <w:gridSpan w:val="20"/>
          </w:tcPr>
          <w:p>
            <w:pPr>
              <w:spacing w:after="0" w:line="171" w:lineRule="exact"/>
              <w:rPr>
                <w:rFonts w:ascii="Arial" w:cs="Arial" w:eastAsia="Arial" w:hAnsi="Arial"/>
                <w:sz w:val="16"/>
                <w:szCs w:val="16"/>
                <w:color w:val="0000EE"/>
              </w:rPr>
            </w:pPr>
            <w:hyperlink w:anchor="page38">
              <w:r>
                <w:rPr>
                  <w:rFonts w:ascii="Arial" w:cs="Arial" w:eastAsia="Arial" w:hAnsi="Arial"/>
                  <w:sz w:val="16"/>
                  <w:szCs w:val="16"/>
                  <w:color w:val="0000EE"/>
                </w:rPr>
                <w:t>OFFER STATISTICS AND EXPECTED TIMETABLE</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3</w:t>
            </w:r>
          </w:p>
        </w:tc>
      </w:tr>
      <w:tr>
        <w:trPr>
          <w:trHeight w:val="171"/>
        </w:trPr>
        <w:tc>
          <w:tcPr>
            <w:tcW w:w="3540" w:type="dxa"/>
            <w:vAlign w:val="bottom"/>
            <w:tcBorders>
              <w:top w:val="single" w:sz="8" w:color="0000EE"/>
            </w:tcBorders>
            <w:gridSpan w:val="17"/>
          </w:tcPr>
          <w:p>
            <w:pPr>
              <w:spacing w:after="0" w:line="171" w:lineRule="exact"/>
              <w:rPr>
                <w:rFonts w:ascii="Arial" w:cs="Arial" w:eastAsia="Arial" w:hAnsi="Arial"/>
                <w:sz w:val="16"/>
                <w:szCs w:val="16"/>
                <w:color w:val="0000EE"/>
              </w:rPr>
            </w:pPr>
            <w:hyperlink w:anchor="page38">
              <w:r>
                <w:rPr>
                  <w:rFonts w:ascii="Arial" w:cs="Arial" w:eastAsia="Arial" w:hAnsi="Arial"/>
                  <w:sz w:val="16"/>
                  <w:szCs w:val="16"/>
                  <w:color w:val="0000EE"/>
                </w:rPr>
                <w:t>FORWARD-LOOKING STATEMENTS</w:t>
              </w:r>
            </w:hyperlink>
          </w:p>
        </w:tc>
        <w:tc>
          <w:tcPr>
            <w:tcW w:w="1040" w:type="dxa"/>
            <w:vAlign w:val="bottom"/>
            <w:gridSpan w:val="3"/>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3</w:t>
            </w:r>
          </w:p>
        </w:tc>
      </w:tr>
      <w:tr>
        <w:trPr>
          <w:trHeight w:val="171"/>
        </w:trPr>
        <w:tc>
          <w:tcPr>
            <w:tcW w:w="1300" w:type="dxa"/>
            <w:vAlign w:val="bottom"/>
            <w:tcBorders>
              <w:top w:val="single" w:sz="8" w:color="0000EE"/>
              <w:bottom w:val="single" w:sz="8" w:color="0000EE"/>
            </w:tcBorders>
            <w:gridSpan w:val="4"/>
          </w:tcPr>
          <w:p>
            <w:pPr>
              <w:spacing w:after="0" w:line="171" w:lineRule="exact"/>
              <w:rPr>
                <w:rFonts w:ascii="Arial" w:cs="Arial" w:eastAsia="Arial" w:hAnsi="Arial"/>
                <w:sz w:val="16"/>
                <w:szCs w:val="16"/>
                <w:color w:val="0000EE"/>
                <w:w w:val="98"/>
              </w:rPr>
            </w:pPr>
            <w:hyperlink w:anchor="page39">
              <w:r>
                <w:rPr>
                  <w:rFonts w:ascii="Arial" w:cs="Arial" w:eastAsia="Arial" w:hAnsi="Arial"/>
                  <w:sz w:val="16"/>
                  <w:szCs w:val="16"/>
                  <w:color w:val="0000EE"/>
                  <w:w w:val="98"/>
                </w:rPr>
                <w:t>CAPITALIZATION</w:t>
              </w:r>
            </w:hyperlink>
          </w:p>
        </w:tc>
        <w:tc>
          <w:tcPr>
            <w:tcW w:w="1280" w:type="dxa"/>
            <w:vAlign w:val="bottom"/>
            <w:tcBorders>
              <w:top w:val="single" w:sz="8" w:color="0000EE"/>
            </w:tcBorders>
            <w:gridSpan w:val="8"/>
          </w:tcPr>
          <w:p>
            <w:pPr>
              <w:spacing w:after="0"/>
              <w:rPr>
                <w:sz w:val="14"/>
                <w:szCs w:val="14"/>
                <w:color w:val="auto"/>
              </w:rPr>
            </w:pPr>
          </w:p>
        </w:tc>
        <w:tc>
          <w:tcPr>
            <w:tcW w:w="2000" w:type="dxa"/>
            <w:vAlign w:val="bottom"/>
            <w:gridSpan w:val="8"/>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4580" w:type="dxa"/>
            <w:vAlign w:val="bottom"/>
            <w:gridSpan w:val="20"/>
          </w:tcPr>
          <w:p>
            <w:pPr>
              <w:spacing w:after="0" w:line="171" w:lineRule="exact"/>
              <w:rPr>
                <w:rFonts w:ascii="Arial" w:cs="Arial" w:eastAsia="Arial" w:hAnsi="Arial"/>
                <w:sz w:val="16"/>
                <w:szCs w:val="16"/>
                <w:color w:val="0000EE"/>
              </w:rPr>
            </w:pPr>
            <w:hyperlink w:anchor="page39">
              <w:r>
                <w:rPr>
                  <w:rFonts w:ascii="Arial" w:cs="Arial" w:eastAsia="Arial" w:hAnsi="Arial"/>
                  <w:sz w:val="16"/>
                  <w:szCs w:val="16"/>
                  <w:color w:val="0000EE"/>
                </w:rPr>
                <w:t>OFFER AND LISTING DETAILS</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1400" w:type="dxa"/>
            <w:vAlign w:val="bottom"/>
            <w:tcBorders>
              <w:top w:val="single" w:sz="8" w:color="0000EE"/>
              <w:bottom w:val="single" w:sz="8" w:color="0000EE"/>
            </w:tcBorders>
            <w:gridSpan w:val="5"/>
          </w:tcPr>
          <w:p>
            <w:pPr>
              <w:spacing w:after="0" w:line="171" w:lineRule="exact"/>
              <w:rPr>
                <w:rFonts w:ascii="Arial" w:cs="Arial" w:eastAsia="Arial" w:hAnsi="Arial"/>
                <w:sz w:val="16"/>
                <w:szCs w:val="16"/>
                <w:color w:val="0000EE"/>
                <w:w w:val="89"/>
              </w:rPr>
            </w:pPr>
            <w:hyperlink w:anchor="page39">
              <w:r>
                <w:rPr>
                  <w:rFonts w:ascii="Arial" w:cs="Arial" w:eastAsia="Arial" w:hAnsi="Arial"/>
                  <w:sz w:val="16"/>
                  <w:szCs w:val="16"/>
                  <w:color w:val="0000EE"/>
                  <w:w w:val="89"/>
                </w:rPr>
                <w:t>USE OF PROCEEDS</w:t>
              </w:r>
            </w:hyperlink>
          </w:p>
        </w:tc>
        <w:tc>
          <w:tcPr>
            <w:tcW w:w="820" w:type="dxa"/>
            <w:vAlign w:val="bottom"/>
            <w:tcBorders>
              <w:top w:val="single" w:sz="8" w:color="0000EE"/>
            </w:tcBorders>
            <w:gridSpan w:val="6"/>
          </w:tcPr>
          <w:p>
            <w:pPr>
              <w:spacing w:after="0"/>
              <w:rPr>
                <w:sz w:val="14"/>
                <w:szCs w:val="14"/>
                <w:color w:val="auto"/>
              </w:rPr>
            </w:pPr>
          </w:p>
        </w:tc>
        <w:tc>
          <w:tcPr>
            <w:tcW w:w="2360" w:type="dxa"/>
            <w:vAlign w:val="bottom"/>
            <w:gridSpan w:val="9"/>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2800" w:type="dxa"/>
            <w:vAlign w:val="bottom"/>
            <w:tcBorders>
              <w:bottom w:val="single" w:sz="8" w:color="0000EE"/>
            </w:tcBorders>
            <w:gridSpan w:val="13"/>
          </w:tcPr>
          <w:p>
            <w:pPr>
              <w:spacing w:after="0" w:line="171" w:lineRule="exact"/>
              <w:rPr>
                <w:rFonts w:ascii="Arial" w:cs="Arial" w:eastAsia="Arial" w:hAnsi="Arial"/>
                <w:sz w:val="16"/>
                <w:szCs w:val="16"/>
                <w:color w:val="0000EE"/>
                <w:w w:val="94"/>
              </w:rPr>
            </w:pPr>
            <w:hyperlink w:anchor="page39">
              <w:r>
                <w:rPr>
                  <w:rFonts w:ascii="Arial" w:cs="Arial" w:eastAsia="Arial" w:hAnsi="Arial"/>
                  <w:sz w:val="16"/>
                  <w:szCs w:val="16"/>
                  <w:color w:val="0000EE"/>
                  <w:w w:val="94"/>
                </w:rPr>
                <w:t>DESCRIPTION OF ORDINARY SHARES</w:t>
              </w:r>
            </w:hyperlink>
          </w:p>
        </w:tc>
        <w:tc>
          <w:tcPr>
            <w:tcW w:w="1780" w:type="dxa"/>
            <w:vAlign w:val="bottom"/>
            <w:gridSpan w:val="7"/>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4</w:t>
            </w:r>
          </w:p>
        </w:tc>
      </w:tr>
      <w:tr>
        <w:trPr>
          <w:trHeight w:val="171"/>
        </w:trPr>
        <w:tc>
          <w:tcPr>
            <w:tcW w:w="4580" w:type="dxa"/>
            <w:vAlign w:val="bottom"/>
            <w:gridSpan w:val="20"/>
          </w:tcPr>
          <w:p>
            <w:pPr>
              <w:spacing w:after="0" w:line="171" w:lineRule="exact"/>
              <w:rPr>
                <w:rFonts w:ascii="Arial" w:cs="Arial" w:eastAsia="Arial" w:hAnsi="Arial"/>
                <w:sz w:val="16"/>
                <w:szCs w:val="16"/>
                <w:color w:val="0000EE"/>
              </w:rPr>
            </w:pPr>
            <w:hyperlink w:anchor="page39">
              <w:r>
                <w:rPr>
                  <w:rFonts w:ascii="Arial" w:cs="Arial" w:eastAsia="Arial" w:hAnsi="Arial"/>
                  <w:sz w:val="16"/>
                  <w:szCs w:val="16"/>
                  <w:color w:val="0000EE"/>
                </w:rPr>
                <w:t>DESCRIPTION OF WARRANTS</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4</w:t>
            </w:r>
          </w:p>
        </w:tc>
      </w:tr>
      <w:tr>
        <w:trPr>
          <w:trHeight w:val="20"/>
        </w:trPr>
        <w:tc>
          <w:tcPr>
            <w:tcW w:w="6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500" w:type="dxa"/>
            <w:vAlign w:val="bottom"/>
            <w:gridSpan w:val="4"/>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84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60" w:type="dxa"/>
            <w:vAlign w:val="bottom"/>
            <w:gridSpan w:val="2"/>
          </w:tcPr>
          <w:p>
            <w:pPr>
              <w:spacing w:after="0" w:line="20" w:lineRule="exact"/>
              <w:rPr>
                <w:sz w:val="1"/>
                <w:szCs w:val="1"/>
                <w:color w:val="auto"/>
              </w:rPr>
            </w:pPr>
          </w:p>
        </w:tc>
      </w:tr>
      <w:tr>
        <w:trPr>
          <w:trHeight w:val="171"/>
        </w:trPr>
        <w:tc>
          <w:tcPr>
            <w:tcW w:w="3060" w:type="dxa"/>
            <w:vAlign w:val="bottom"/>
            <w:tcBorders>
              <w:bottom w:val="single" w:sz="8" w:color="0000EE"/>
            </w:tcBorders>
            <w:gridSpan w:val="15"/>
          </w:tcPr>
          <w:p>
            <w:pPr>
              <w:spacing w:after="0" w:line="171" w:lineRule="exact"/>
              <w:rPr>
                <w:rFonts w:ascii="Arial" w:cs="Arial" w:eastAsia="Arial" w:hAnsi="Arial"/>
                <w:sz w:val="16"/>
                <w:szCs w:val="16"/>
                <w:color w:val="0000EE"/>
                <w:w w:val="93"/>
              </w:rPr>
            </w:pPr>
            <w:hyperlink w:anchor="page40">
              <w:r>
                <w:rPr>
                  <w:rFonts w:ascii="Arial" w:cs="Arial" w:eastAsia="Arial" w:hAnsi="Arial"/>
                  <w:sz w:val="16"/>
                  <w:szCs w:val="16"/>
                  <w:color w:val="0000EE"/>
                  <w:w w:val="93"/>
                </w:rPr>
                <w:t>DESCRIPTION OF SUBSCRIPTION RIGHTS</w:t>
              </w:r>
            </w:hyperlink>
          </w:p>
        </w:tc>
        <w:tc>
          <w:tcPr>
            <w:tcW w:w="1520" w:type="dxa"/>
            <w:vAlign w:val="bottom"/>
            <w:gridSpan w:val="5"/>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5</w:t>
            </w:r>
          </w:p>
        </w:tc>
      </w:tr>
      <w:tr>
        <w:trPr>
          <w:trHeight w:val="171"/>
        </w:trPr>
        <w:tc>
          <w:tcPr>
            <w:tcW w:w="1780" w:type="dxa"/>
            <w:vAlign w:val="bottom"/>
            <w:tcBorders>
              <w:bottom w:val="single" w:sz="8" w:color="0000EE"/>
            </w:tcBorders>
            <w:gridSpan w:val="7"/>
          </w:tcPr>
          <w:p>
            <w:pPr>
              <w:spacing w:after="0" w:line="171" w:lineRule="exact"/>
              <w:rPr>
                <w:rFonts w:ascii="Arial" w:cs="Arial" w:eastAsia="Arial" w:hAnsi="Arial"/>
                <w:sz w:val="16"/>
                <w:szCs w:val="16"/>
                <w:color w:val="0000EE"/>
                <w:w w:val="93"/>
              </w:rPr>
            </w:pPr>
            <w:hyperlink w:anchor="page41">
              <w:r>
                <w:rPr>
                  <w:rFonts w:ascii="Arial" w:cs="Arial" w:eastAsia="Arial" w:hAnsi="Arial"/>
                  <w:sz w:val="16"/>
                  <w:szCs w:val="16"/>
                  <w:color w:val="0000EE"/>
                  <w:w w:val="93"/>
                </w:rPr>
                <w:t>DESCRIPTION OF UNITS</w:t>
              </w:r>
            </w:hyperlink>
          </w:p>
        </w:tc>
        <w:tc>
          <w:tcPr>
            <w:tcW w:w="2800" w:type="dxa"/>
            <w:vAlign w:val="bottom"/>
            <w:gridSpan w:val="13"/>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6</w:t>
            </w:r>
          </w:p>
        </w:tc>
      </w:tr>
      <w:tr>
        <w:trPr>
          <w:trHeight w:val="171"/>
        </w:trPr>
        <w:tc>
          <w:tcPr>
            <w:tcW w:w="4580" w:type="dxa"/>
            <w:vAlign w:val="bottom"/>
            <w:gridSpan w:val="20"/>
          </w:tcPr>
          <w:p>
            <w:pPr>
              <w:spacing w:after="0" w:line="171" w:lineRule="exact"/>
              <w:rPr>
                <w:rFonts w:ascii="Arial" w:cs="Arial" w:eastAsia="Arial" w:hAnsi="Arial"/>
                <w:sz w:val="16"/>
                <w:szCs w:val="16"/>
                <w:color w:val="0000EE"/>
              </w:rPr>
            </w:pPr>
            <w:hyperlink w:anchor="page41">
              <w:r>
                <w:rPr>
                  <w:rFonts w:ascii="Arial" w:cs="Arial" w:eastAsia="Arial" w:hAnsi="Arial"/>
                  <w:sz w:val="16"/>
                  <w:szCs w:val="16"/>
                  <w:color w:val="0000EE"/>
                </w:rPr>
                <w:t>PLAN OF DISTRIBUTION</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6</w:t>
            </w:r>
          </w:p>
        </w:tc>
      </w:tr>
      <w:tr>
        <w:trPr>
          <w:trHeight w:val="171"/>
        </w:trPr>
        <w:tc>
          <w:tcPr>
            <w:tcW w:w="1800" w:type="dxa"/>
            <w:vAlign w:val="bottom"/>
            <w:tcBorders>
              <w:top w:val="single" w:sz="8" w:color="0000EE"/>
            </w:tcBorders>
            <w:gridSpan w:val="8"/>
          </w:tcPr>
          <w:p>
            <w:pPr>
              <w:spacing w:after="0" w:line="171" w:lineRule="exact"/>
              <w:rPr>
                <w:rFonts w:ascii="Arial" w:cs="Arial" w:eastAsia="Arial" w:hAnsi="Arial"/>
                <w:sz w:val="16"/>
                <w:szCs w:val="16"/>
                <w:color w:val="0000EE"/>
              </w:rPr>
            </w:pPr>
            <w:hyperlink w:anchor="page45">
              <w:r>
                <w:rPr>
                  <w:rFonts w:ascii="Arial" w:cs="Arial" w:eastAsia="Arial" w:hAnsi="Arial"/>
                  <w:sz w:val="16"/>
                  <w:szCs w:val="16"/>
                  <w:color w:val="0000EE"/>
                </w:rPr>
                <w:t>LEGAL MATTERS</w:t>
              </w:r>
            </w:hyperlink>
          </w:p>
        </w:tc>
        <w:tc>
          <w:tcPr>
            <w:tcW w:w="2780" w:type="dxa"/>
            <w:vAlign w:val="bottom"/>
            <w:gridSpan w:val="12"/>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10</w:t>
            </w:r>
          </w:p>
        </w:tc>
      </w:tr>
      <w:tr>
        <w:trPr>
          <w:trHeight w:val="171"/>
        </w:trPr>
        <w:tc>
          <w:tcPr>
            <w:tcW w:w="680" w:type="dxa"/>
            <w:vAlign w:val="bottom"/>
            <w:tcBorders>
              <w:top w:val="single" w:sz="8" w:color="0000EE"/>
              <w:bottom w:val="single" w:sz="8" w:color="0000EE"/>
            </w:tcBorders>
          </w:tcPr>
          <w:p>
            <w:pPr>
              <w:spacing w:after="0" w:line="171" w:lineRule="exact"/>
              <w:rPr>
                <w:rFonts w:ascii="Arial" w:cs="Arial" w:eastAsia="Arial" w:hAnsi="Arial"/>
                <w:sz w:val="16"/>
                <w:szCs w:val="16"/>
                <w:color w:val="0000EE"/>
                <w:w w:val="88"/>
              </w:rPr>
            </w:pPr>
            <w:hyperlink w:anchor="page45">
              <w:r>
                <w:rPr>
                  <w:rFonts w:ascii="Arial" w:cs="Arial" w:eastAsia="Arial" w:hAnsi="Arial"/>
                  <w:sz w:val="16"/>
                  <w:szCs w:val="16"/>
                  <w:color w:val="0000EE"/>
                  <w:w w:val="88"/>
                </w:rPr>
                <w:t>EXPERTS</w:t>
              </w:r>
            </w:hyperlink>
          </w:p>
        </w:tc>
        <w:tc>
          <w:tcPr>
            <w:tcW w:w="600" w:type="dxa"/>
            <w:vAlign w:val="bottom"/>
            <w:tcBorders>
              <w:top w:val="single" w:sz="8" w:color="0000EE"/>
            </w:tcBorders>
            <w:gridSpan w:val="2"/>
          </w:tcPr>
          <w:p>
            <w:pPr>
              <w:spacing w:after="0"/>
              <w:rPr>
                <w:sz w:val="14"/>
                <w:szCs w:val="14"/>
                <w:color w:val="auto"/>
              </w:rPr>
            </w:pPr>
          </w:p>
        </w:tc>
        <w:tc>
          <w:tcPr>
            <w:tcW w:w="3300" w:type="dxa"/>
            <w:vAlign w:val="bottom"/>
            <w:gridSpan w:val="17"/>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10</w:t>
            </w:r>
          </w:p>
        </w:tc>
      </w:tr>
      <w:tr>
        <w:trPr>
          <w:trHeight w:val="171"/>
        </w:trPr>
        <w:tc>
          <w:tcPr>
            <w:tcW w:w="4580" w:type="dxa"/>
            <w:vAlign w:val="bottom"/>
            <w:gridSpan w:val="20"/>
          </w:tcPr>
          <w:p>
            <w:pPr>
              <w:spacing w:after="0" w:line="171" w:lineRule="exact"/>
              <w:rPr>
                <w:rFonts w:ascii="Arial" w:cs="Arial" w:eastAsia="Arial" w:hAnsi="Arial"/>
                <w:sz w:val="16"/>
                <w:szCs w:val="16"/>
                <w:color w:val="0000EE"/>
              </w:rPr>
            </w:pPr>
            <w:hyperlink w:anchor="page45">
              <w:r>
                <w:rPr>
                  <w:rFonts w:ascii="Arial" w:cs="Arial" w:eastAsia="Arial" w:hAnsi="Arial"/>
                  <w:sz w:val="16"/>
                  <w:szCs w:val="16"/>
                  <w:color w:val="0000EE"/>
                </w:rPr>
                <w:t>WHERE YOU CAN FIND MORE INFORMATION</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10</w:t>
            </w:r>
          </w:p>
        </w:tc>
      </w:tr>
      <w:tr>
        <w:trPr>
          <w:trHeight w:val="20"/>
        </w:trPr>
        <w:tc>
          <w:tcPr>
            <w:tcW w:w="3020" w:type="dxa"/>
            <w:vAlign w:val="bottom"/>
            <w:gridSpan w:val="14"/>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60" w:type="dxa"/>
            <w:vAlign w:val="bottom"/>
            <w:gridSpan w:val="2"/>
          </w:tcPr>
          <w:p>
            <w:pPr>
              <w:spacing w:after="0" w:line="20" w:lineRule="exact"/>
              <w:rPr>
                <w:sz w:val="1"/>
                <w:szCs w:val="1"/>
                <w:color w:val="auto"/>
              </w:rPr>
            </w:pPr>
          </w:p>
        </w:tc>
      </w:tr>
      <w:tr>
        <w:trPr>
          <w:trHeight w:val="171"/>
        </w:trPr>
        <w:tc>
          <w:tcPr>
            <w:tcW w:w="4580" w:type="dxa"/>
            <w:vAlign w:val="bottom"/>
            <w:gridSpan w:val="20"/>
          </w:tcPr>
          <w:p>
            <w:pPr>
              <w:spacing w:after="0" w:line="171" w:lineRule="exact"/>
              <w:rPr>
                <w:rFonts w:ascii="Arial" w:cs="Arial" w:eastAsia="Arial" w:hAnsi="Arial"/>
                <w:sz w:val="16"/>
                <w:szCs w:val="16"/>
                <w:color w:val="0000EE"/>
                <w:w w:val="96"/>
              </w:rPr>
            </w:pPr>
            <w:hyperlink w:anchor="page45">
              <w:r>
                <w:rPr>
                  <w:rFonts w:ascii="Arial" w:cs="Arial" w:eastAsia="Arial" w:hAnsi="Arial"/>
                  <w:sz w:val="16"/>
                  <w:szCs w:val="16"/>
                  <w:color w:val="0000EE"/>
                  <w:w w:val="96"/>
                </w:rPr>
                <w:t>INCORPORATION OF CERTAIN DOCUMENTS BY REFERENCE</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10</w:t>
            </w:r>
          </w:p>
        </w:tc>
      </w:tr>
      <w:tr>
        <w:trPr>
          <w:trHeight w:val="171"/>
        </w:trPr>
        <w:tc>
          <w:tcPr>
            <w:tcW w:w="3020" w:type="dxa"/>
            <w:vAlign w:val="bottom"/>
            <w:tcBorders>
              <w:top w:val="single" w:sz="8" w:color="0000EE"/>
              <w:bottom w:val="single" w:sz="8" w:color="0000EE"/>
            </w:tcBorders>
            <w:gridSpan w:val="14"/>
          </w:tcPr>
          <w:p>
            <w:pPr>
              <w:spacing w:after="0" w:line="171" w:lineRule="exact"/>
              <w:rPr>
                <w:rFonts w:ascii="Arial" w:cs="Arial" w:eastAsia="Arial" w:hAnsi="Arial"/>
                <w:sz w:val="16"/>
                <w:szCs w:val="16"/>
                <w:color w:val="0000EE"/>
                <w:w w:val="99"/>
              </w:rPr>
            </w:pPr>
            <w:hyperlink w:anchor="page46">
              <w:r>
                <w:rPr>
                  <w:rFonts w:ascii="Arial" w:cs="Arial" w:eastAsia="Arial" w:hAnsi="Arial"/>
                  <w:sz w:val="16"/>
                  <w:szCs w:val="16"/>
                  <w:color w:val="0000EE"/>
                  <w:w w:val="99"/>
                </w:rPr>
                <w:t>ENFORCEABILITY OF CIVIL LIABILITIES</w:t>
              </w:r>
            </w:hyperlink>
          </w:p>
        </w:tc>
        <w:tc>
          <w:tcPr>
            <w:tcW w:w="1440" w:type="dxa"/>
            <w:vAlign w:val="bottom"/>
            <w:tcBorders>
              <w:top w:val="single" w:sz="8" w:color="0000EE"/>
            </w:tcBorders>
            <w:gridSpan w:val="5"/>
          </w:tcPr>
          <w:p>
            <w:pPr>
              <w:spacing w:after="0"/>
              <w:rPr>
                <w:sz w:val="14"/>
                <w:szCs w:val="14"/>
                <w:color w:val="auto"/>
              </w:rPr>
            </w:pPr>
          </w:p>
        </w:tc>
        <w:tc>
          <w:tcPr>
            <w:tcW w:w="120" w:type="dxa"/>
            <w:vAlign w:val="bottom"/>
          </w:tcPr>
          <w:p>
            <w:pPr>
              <w:spacing w:after="0"/>
              <w:rPr>
                <w:sz w:val="14"/>
                <w:szCs w:val="14"/>
                <w:color w:val="auto"/>
              </w:rPr>
            </w:pPr>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11</w:t>
            </w:r>
          </w:p>
        </w:tc>
      </w:tr>
      <w:tr>
        <w:trPr>
          <w:trHeight w:val="171"/>
        </w:trPr>
        <w:tc>
          <w:tcPr>
            <w:tcW w:w="4580" w:type="dxa"/>
            <w:vAlign w:val="bottom"/>
            <w:gridSpan w:val="20"/>
          </w:tcPr>
          <w:p>
            <w:pPr>
              <w:spacing w:after="0" w:line="171" w:lineRule="exact"/>
              <w:rPr>
                <w:rFonts w:ascii="Arial" w:cs="Arial" w:eastAsia="Arial" w:hAnsi="Arial"/>
                <w:sz w:val="16"/>
                <w:szCs w:val="16"/>
                <w:color w:val="0000EE"/>
              </w:rPr>
            </w:pPr>
            <w:hyperlink w:anchor="page47">
              <w:r>
                <w:rPr>
                  <w:rFonts w:ascii="Arial" w:cs="Arial" w:eastAsia="Arial" w:hAnsi="Arial"/>
                  <w:sz w:val="16"/>
                  <w:szCs w:val="16"/>
                  <w:color w:val="0000EE"/>
                </w:rPr>
                <w:t>EXPENSES ASSOCIATED WITH THE REGISTRATION</w:t>
              </w:r>
            </w:hyperlink>
          </w:p>
        </w:tc>
        <w:tc>
          <w:tcPr>
            <w:tcW w:w="6860" w:type="dxa"/>
            <w:vAlign w:val="bottom"/>
            <w:gridSpan w:val="2"/>
          </w:tcPr>
          <w:p>
            <w:pPr>
              <w:jc w:val="right"/>
              <w:spacing w:after="0" w:line="171" w:lineRule="exact"/>
              <w:rPr>
                <w:sz w:val="20"/>
                <w:szCs w:val="20"/>
                <w:color w:val="auto"/>
              </w:rPr>
            </w:pPr>
            <w:r>
              <w:rPr>
                <w:rFonts w:ascii="Arial" w:cs="Arial" w:eastAsia="Arial" w:hAnsi="Arial"/>
                <w:sz w:val="16"/>
                <w:szCs w:val="16"/>
                <w:color w:val="auto"/>
              </w:rPr>
              <w:t>12</w:t>
            </w:r>
          </w:p>
        </w:tc>
      </w:tr>
      <w:tr>
        <w:trPr>
          <w:trHeight w:val="413"/>
        </w:trPr>
        <w:tc>
          <w:tcPr>
            <w:tcW w:w="680" w:type="dxa"/>
            <w:vAlign w:val="bottom"/>
            <w:tcBorders>
              <w:top w:val="single" w:sz="8" w:color="0000EE"/>
              <w:bottom w:val="single" w:sz="8" w:color="auto"/>
            </w:tcBorders>
          </w:tcPr>
          <w:p>
            <w:pPr>
              <w:spacing w:after="0"/>
              <w:rPr>
                <w:sz w:val="24"/>
                <w:szCs w:val="24"/>
                <w:color w:val="auto"/>
              </w:rPr>
            </w:pPr>
          </w:p>
        </w:tc>
        <w:tc>
          <w:tcPr>
            <w:tcW w:w="420" w:type="dxa"/>
            <w:vAlign w:val="bottom"/>
            <w:tcBorders>
              <w:top w:val="single" w:sz="8" w:color="0000EE"/>
              <w:bottom w:val="single" w:sz="8" w:color="auto"/>
            </w:tcBorders>
          </w:tcPr>
          <w:p>
            <w:pPr>
              <w:spacing w:after="0"/>
              <w:rPr>
                <w:sz w:val="24"/>
                <w:szCs w:val="24"/>
                <w:color w:val="auto"/>
              </w:rPr>
            </w:pPr>
          </w:p>
        </w:tc>
        <w:tc>
          <w:tcPr>
            <w:tcW w:w="18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100" w:type="dxa"/>
            <w:vAlign w:val="bottom"/>
            <w:tcBorders>
              <w:top w:val="single" w:sz="8" w:color="0000EE"/>
              <w:bottom w:val="single" w:sz="8" w:color="auto"/>
            </w:tcBorders>
          </w:tcPr>
          <w:p>
            <w:pPr>
              <w:spacing w:after="0"/>
              <w:rPr>
                <w:sz w:val="24"/>
                <w:szCs w:val="24"/>
                <w:color w:val="auto"/>
              </w:rPr>
            </w:pPr>
          </w:p>
        </w:tc>
        <w:tc>
          <w:tcPr>
            <w:tcW w:w="32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16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36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300" w:type="dxa"/>
            <w:vAlign w:val="bottom"/>
            <w:tcBorders>
              <w:top w:val="single" w:sz="8" w:color="0000EE"/>
              <w:bottom w:val="single" w:sz="8" w:color="auto"/>
            </w:tcBorders>
          </w:tcPr>
          <w:p>
            <w:pPr>
              <w:spacing w:after="0"/>
              <w:rPr>
                <w:sz w:val="24"/>
                <w:szCs w:val="24"/>
                <w:color w:val="auto"/>
              </w:rPr>
            </w:pPr>
          </w:p>
        </w:tc>
        <w:tc>
          <w:tcPr>
            <w:tcW w:w="18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4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r>
    </w:tbl>
    <w:p>
      <w:pPr>
        <w:sectPr>
          <w:pgSz w:w="11900" w:h="16838" w:orient="portrait"/>
          <w:cols w:equalWidth="0" w:num="1">
            <w:col w:w="11440"/>
          </w:cols>
          <w:pgMar w:left="240" w:top="126" w:right="219" w:bottom="1440" w:gutter="0" w:footer="0" w:header="0"/>
        </w:sectPr>
      </w:pPr>
    </w:p>
    <w:bookmarkStart w:id="35" w:name="page36"/>
    <w:bookmarkEnd w:id="35"/>
    <w:p>
      <w:pPr>
        <w:jc w:val="center"/>
        <w:spacing w:after="0"/>
        <w:rPr>
          <w:sz w:val="20"/>
          <w:szCs w:val="20"/>
          <w:color w:val="auto"/>
        </w:rPr>
      </w:pPr>
      <w:r>
        <w:rPr>
          <w:rFonts w:ascii="Arial" w:cs="Arial" w:eastAsia="Arial" w:hAnsi="Arial"/>
          <w:sz w:val="19"/>
          <w:szCs w:val="19"/>
          <w:b w:val="1"/>
          <w:bCs w:val="1"/>
          <w:color w:val="auto"/>
        </w:rPr>
        <w:t>ABOUT THIS PROSPECTUS</w:t>
      </w:r>
    </w:p>
    <w:p>
      <w:pPr>
        <w:spacing w:after="0" w:line="265"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This prospectus is part of a registration statement that we filed with the Securities and Exchange Commission, or SEC, utilizing a “shelf” registration process. Under this process, we may offer and sell our securities under this prospectus.</w:t>
      </w:r>
    </w:p>
    <w:p>
      <w:pPr>
        <w:spacing w:after="0" w:line="193" w:lineRule="exact"/>
        <w:rPr>
          <w:sz w:val="20"/>
          <w:szCs w:val="20"/>
          <w:color w:val="auto"/>
        </w:rPr>
      </w:pPr>
    </w:p>
    <w:p>
      <w:pPr>
        <w:jc w:val="both"/>
        <w:ind w:firstLine="572"/>
        <w:spacing w:after="0" w:line="274" w:lineRule="auto"/>
        <w:rPr>
          <w:sz w:val="20"/>
          <w:szCs w:val="20"/>
          <w:color w:val="auto"/>
        </w:rPr>
      </w:pPr>
      <w:r>
        <w:rPr>
          <w:rFonts w:ascii="Arial" w:cs="Arial" w:eastAsia="Arial" w:hAnsi="Arial"/>
          <w:sz w:val="19"/>
          <w:szCs w:val="19"/>
          <w:color w:val="auto"/>
        </w:rPr>
        <w:t>Under this shelf process, we may sell the securities described in this prospectus in one or more offerings up to a total dollar amount of $120,000,000. The offer and sale of securities under this prospectus may be made from time to time, in one or more offerings, in any manner described under the section in this prospectus entitled “Plan of Distribution.”</w:t>
      </w:r>
    </w:p>
    <w:p>
      <w:pPr>
        <w:spacing w:after="0" w:line="206" w:lineRule="exact"/>
        <w:rPr>
          <w:sz w:val="20"/>
          <w:szCs w:val="20"/>
          <w:color w:val="auto"/>
        </w:rPr>
      </w:pPr>
    </w:p>
    <w:p>
      <w:pPr>
        <w:jc w:val="both"/>
        <w:ind w:firstLine="572"/>
        <w:spacing w:after="0" w:line="307" w:lineRule="auto"/>
        <w:rPr>
          <w:sz w:val="20"/>
          <w:szCs w:val="20"/>
          <w:color w:val="auto"/>
        </w:rPr>
      </w:pPr>
      <w:r>
        <w:rPr>
          <w:rFonts w:ascii="Arial" w:cs="Arial" w:eastAsia="Arial" w:hAnsi="Arial"/>
          <w:sz w:val="17"/>
          <w:szCs w:val="17"/>
          <w:color w:val="auto"/>
        </w:rPr>
        <w:t>This prospectus provides you with a general description of the securities we may offer. Each time we sell securities we will provide a prospectus supplement that will contain specific information about the terms of that offering. The prospectus supplement may also add, update or change information contained in this prospectus, and may also contain information about any material federal income tax considerations relating to the securities covered by the prospectus supplement. You should read both this prospectus and any prospectus supplement together with additional information under the headings “Where You Can Find More Information” and “Incorporation of Certain Documents by Reference.”</w:t>
      </w:r>
    </w:p>
    <w:p>
      <w:pPr>
        <w:spacing w:after="0" w:line="181" w:lineRule="exact"/>
        <w:rPr>
          <w:sz w:val="20"/>
          <w:szCs w:val="20"/>
          <w:color w:val="auto"/>
        </w:rPr>
      </w:pPr>
    </w:p>
    <w:p>
      <w:pPr>
        <w:jc w:val="both"/>
        <w:ind w:firstLine="572"/>
        <w:spacing w:after="0" w:line="268" w:lineRule="auto"/>
        <w:rPr>
          <w:sz w:val="20"/>
          <w:szCs w:val="20"/>
          <w:color w:val="auto"/>
        </w:rPr>
      </w:pPr>
      <w:r>
        <w:rPr>
          <w:rFonts w:ascii="Arial" w:cs="Arial" w:eastAsia="Arial" w:hAnsi="Arial"/>
          <w:sz w:val="19"/>
          <w:szCs w:val="19"/>
          <w:color w:val="auto"/>
        </w:rPr>
        <w:t>This summary may not contain all of the information that may be important to you. You should read this entire prospectus, including the financial statements and related notes and other financial data incorporated by reference in this prospectus, before making an investment decision. This summary contains forward-looking statements that involve risks and uncertainties. Our actual results may differ significantly from the results discussed in the forward-looking statements. Factors that might cause or contribute to such differences include those discussed in “Risk Factors” and “Forward-Looking Statements.”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sectPr>
      </w:pPr>
    </w:p>
    <w:bookmarkStart w:id="36" w:name="page37"/>
    <w:bookmarkEnd w:id="36"/>
    <w:p>
      <w:pPr>
        <w:jc w:val="center"/>
        <w:spacing w:after="0"/>
        <w:rPr>
          <w:sz w:val="20"/>
          <w:szCs w:val="20"/>
          <w:color w:val="auto"/>
        </w:rPr>
      </w:pPr>
      <w:r>
        <w:rPr>
          <w:rFonts w:ascii="Arial" w:cs="Arial" w:eastAsia="Arial" w:hAnsi="Arial"/>
          <w:sz w:val="19"/>
          <w:szCs w:val="19"/>
          <w:b w:val="1"/>
          <w:bCs w:val="1"/>
          <w:color w:val="auto"/>
        </w:rPr>
        <w:t>ABOUT THE COMPANY</w:t>
      </w: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Overview</w:t>
      </w:r>
    </w:p>
    <w:p>
      <w:pPr>
        <w:spacing w:after="0" w:line="265" w:lineRule="exact"/>
        <w:rPr>
          <w:sz w:val="20"/>
          <w:szCs w:val="20"/>
          <w:color w:val="auto"/>
        </w:rPr>
      </w:pPr>
    </w:p>
    <w:p>
      <w:pPr>
        <w:jc w:val="both"/>
        <w:ind w:firstLine="572"/>
        <w:spacing w:after="0" w:line="283" w:lineRule="auto"/>
        <w:rPr>
          <w:sz w:val="20"/>
          <w:szCs w:val="20"/>
          <w:color w:val="auto"/>
        </w:rPr>
      </w:pPr>
      <w:r>
        <w:rPr>
          <w:rFonts w:ascii="Arial" w:cs="Arial" w:eastAsia="Arial" w:hAnsi="Arial"/>
          <w:sz w:val="18"/>
          <w:szCs w:val="18"/>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completed a 726 subject, double-blind, placebo-controlled, six-arm, multi-center Phase II clinical trial designed to assess the safety and efficacy of TWIN in subjects with acne vulgaris. In this trial, TWIN demonstrated statistically significant improvements in all pre-defined co-primary and secondary efficacy endpoints, as compared to vehicle.</w:t>
      </w:r>
    </w:p>
    <w:p>
      <w:pPr>
        <w:spacing w:after="0" w:line="200" w:lineRule="exact"/>
        <w:rPr>
          <w:sz w:val="20"/>
          <w:szCs w:val="20"/>
          <w:color w:val="auto"/>
        </w:rPr>
      </w:pPr>
    </w:p>
    <w:p>
      <w:pPr>
        <w:jc w:val="both"/>
        <w:ind w:firstLine="572"/>
        <w:spacing w:after="0" w:line="283" w:lineRule="auto"/>
        <w:rPr>
          <w:sz w:val="20"/>
          <w:szCs w:val="20"/>
          <w:color w:val="auto"/>
        </w:rPr>
      </w:pPr>
      <w:r>
        <w:rPr>
          <w:rFonts w:ascii="Arial" w:cs="Arial" w:eastAsia="Arial" w:hAnsi="Arial"/>
          <w:sz w:val="18"/>
          <w:szCs w:val="18"/>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planned to enroll approximately 420 subjects aged 9 and above at a 2:1 ratio of TWIN in comparison to its vehicle.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 Our other branded product candidate is Epsolay®, a potential treatment for subtype II rosacea.</w:t>
      </w:r>
    </w:p>
    <w:p>
      <w:pPr>
        <w:spacing w:after="0" w:line="200" w:lineRule="exact"/>
        <w:rPr>
          <w:sz w:val="20"/>
          <w:szCs w:val="20"/>
          <w:color w:val="auto"/>
        </w:rPr>
      </w:pPr>
    </w:p>
    <w:p>
      <w:pPr>
        <w:jc w:val="both"/>
        <w:ind w:firstLine="572"/>
        <w:spacing w:after="0" w:line="280" w:lineRule="auto"/>
        <w:rPr>
          <w:sz w:val="20"/>
          <w:szCs w:val="20"/>
          <w:color w:val="auto"/>
        </w:rPr>
      </w:pPr>
      <w:r>
        <w:rPr>
          <w:rFonts w:ascii="Arial" w:cs="Arial" w:eastAsia="Arial" w:hAnsi="Arial"/>
          <w:sz w:val="18"/>
          <w:szCs w:val="18"/>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Corporate Information</w:t>
      </w:r>
    </w:p>
    <w:p>
      <w:pPr>
        <w:spacing w:after="0" w:line="265" w:lineRule="exact"/>
        <w:rPr>
          <w:sz w:val="20"/>
          <w:szCs w:val="20"/>
          <w:color w:val="auto"/>
        </w:rPr>
      </w:pPr>
    </w:p>
    <w:p>
      <w:pPr>
        <w:jc w:val="both"/>
        <w:ind w:firstLine="572"/>
        <w:spacing w:after="0" w:line="274" w:lineRule="auto"/>
        <w:rPr>
          <w:sz w:val="20"/>
          <w:szCs w:val="20"/>
          <w:color w:val="auto"/>
        </w:rPr>
      </w:pPr>
      <w:r>
        <w:rPr>
          <w:rFonts w:ascii="Arial" w:cs="Arial" w:eastAsia="Arial" w:hAnsi="Arial"/>
          <w:sz w:val="19"/>
          <w:szCs w:val="19"/>
          <w:color w:val="auto"/>
        </w:rPr>
        <w:t>Our legal and commercial name is Sol-Gel Technologies Ltd. We were incorporated on October 28, 1997 and were registered as a private company limited by shares under the laws of the State of Israel. Our ordinary shares are traded on the Nasdaq Global Market under the symbol "SLGL".</w:t>
      </w:r>
    </w:p>
    <w:p>
      <w:pPr>
        <w:spacing w:after="0" w:line="206" w:lineRule="exact"/>
        <w:rPr>
          <w:sz w:val="20"/>
          <w:szCs w:val="20"/>
          <w:color w:val="auto"/>
        </w:rPr>
      </w:pPr>
    </w:p>
    <w:p>
      <w:pPr>
        <w:jc w:val="both"/>
        <w:ind w:firstLine="572"/>
        <w:spacing w:after="0" w:line="270" w:lineRule="auto"/>
        <w:rPr>
          <w:sz w:val="20"/>
          <w:szCs w:val="20"/>
          <w:color w:val="auto"/>
        </w:rPr>
      </w:pPr>
      <w:r>
        <w:rPr>
          <w:rFonts w:ascii="Arial" w:cs="Arial" w:eastAsia="Arial" w:hAnsi="Arial"/>
          <w:sz w:val="19"/>
          <w:szCs w:val="19"/>
          <w:color w:val="auto"/>
        </w:rPr>
        <w:t>Our principal executive offices are located at 7 Golda Meir St., Weizmann Science Park, Ness Ziona, 7403650 Israel, and our telephone number is 972-8-931-3433. Our website address is http://www.sol-gel.com. The information on our website does not constitute a part of this prospectus. Our agent for service of process in the United States is Sol-Gel Technologies Inc., c/o The Corporation Trust Company, located at Corporation Trust Center, 1209 Orange Street, Wilmington, Delaware 19801.</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RISK FACTORS</w:t>
      </w:r>
    </w:p>
    <w:p>
      <w:pPr>
        <w:spacing w:after="0" w:line="265" w:lineRule="exact"/>
        <w:rPr>
          <w:sz w:val="20"/>
          <w:szCs w:val="20"/>
          <w:color w:val="auto"/>
        </w:rPr>
      </w:pPr>
    </w:p>
    <w:p>
      <w:pPr>
        <w:jc w:val="both"/>
        <w:ind w:right="20" w:firstLine="572"/>
        <w:spacing w:after="0" w:line="299" w:lineRule="auto"/>
        <w:rPr>
          <w:sz w:val="20"/>
          <w:szCs w:val="20"/>
          <w:color w:val="auto"/>
        </w:rPr>
      </w:pPr>
      <w:r>
        <w:rPr>
          <w:rFonts w:ascii="Arial" w:cs="Arial" w:eastAsia="Arial" w:hAnsi="Arial"/>
          <w:sz w:val="17"/>
          <w:szCs w:val="17"/>
          <w:color w:val="auto"/>
        </w:rPr>
        <w:t>An investment in our securities involves a high degree of risk. Our business, financial condition or results of operations could be adversely affected by any of these risks. You should carefully consider the risk factors discussed under the caption "Item 3: Key Information</w:t>
      </w:r>
      <w:r>
        <w:rPr>
          <w:rFonts w:ascii="Arial" w:cs="Arial" w:eastAsia="Arial" w:hAnsi="Arial"/>
          <w:sz w:val="17"/>
          <w:szCs w:val="17"/>
          <w:b w:val="1"/>
          <w:bCs w:val="1"/>
          <w:color w:val="auto"/>
        </w:rPr>
        <w:t>—</w:t>
      </w:r>
      <w:r>
        <w:rPr>
          <w:rFonts w:ascii="Arial" w:cs="Arial" w:eastAsia="Arial" w:hAnsi="Arial"/>
          <w:sz w:val="17"/>
          <w:szCs w:val="17"/>
          <w:color w:val="auto"/>
        </w:rPr>
        <w:t>Risk Factors" in our Annual Report on Form 20-F for the year ended December 31, 2018, and in any other filing we make with the SEC subsequent to the date of this prospectus, each of which are incorporated herein by reference, and in any supplement to this prospectus, before making your investment decision. The risks and uncertainties we have described are not the only ones we face. Additional risks and uncertainties not presently known to us or that we currently deem immaterial may also affect our operations. Past financial performance may not be a reliable indicator of future performance, and historical trends should not be used to anticipate results or trends in future periods. If any of these risks actually occurs, our business, business prospects, financial condition or results of operations could be seriously harmed. This could cause the trading price of our ordinary shares to decline, resulting in a loss of all or part of your investment. Please also read carefully the section below entitled “Forward-Looking Statements.”</w:t>
      </w:r>
    </w:p>
    <w:p>
      <w:pPr>
        <w:sectPr>
          <w:pgSz w:w="11900" w:h="16838" w:orient="portrait"/>
          <w:cols w:equalWidth="0" w:num="1">
            <w:col w:w="11440"/>
          </w:cols>
          <w:pgMar w:left="240" w:top="126" w:right="219" w:bottom="1440" w:gutter="0" w:footer="0" w:header="0"/>
        </w:sectPr>
      </w:pPr>
    </w:p>
    <w:p>
      <w:pPr>
        <w:spacing w:after="0" w:line="337"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54610</wp:posOffset>
            </wp:positionV>
            <wp:extent cx="7262495" cy="152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type w:val="continuous"/>
        </w:sectPr>
      </w:pPr>
    </w:p>
    <w:bookmarkStart w:id="37" w:name="page38"/>
    <w:bookmarkEnd w:id="37"/>
    <w:p>
      <w:pPr>
        <w:jc w:val="center"/>
        <w:ind w:right="-4"/>
        <w:spacing w:after="0"/>
        <w:rPr>
          <w:sz w:val="20"/>
          <w:szCs w:val="20"/>
          <w:color w:val="auto"/>
        </w:rPr>
      </w:pPr>
      <w:r>
        <w:rPr>
          <w:rFonts w:ascii="Arial" w:cs="Arial" w:eastAsia="Arial" w:hAnsi="Arial"/>
          <w:sz w:val="19"/>
          <w:szCs w:val="19"/>
          <w:b w:val="1"/>
          <w:bCs w:val="1"/>
          <w:color w:val="auto"/>
        </w:rPr>
        <w:t>OFFER STATISTICS AND EXPECTED TIMETABLE</w:t>
      </w:r>
    </w:p>
    <w:p>
      <w:pPr>
        <w:spacing w:after="0" w:line="265" w:lineRule="exact"/>
        <w:rPr>
          <w:sz w:val="20"/>
          <w:szCs w:val="20"/>
          <w:color w:val="auto"/>
        </w:rPr>
      </w:pPr>
    </w:p>
    <w:p>
      <w:pPr>
        <w:jc w:val="both"/>
        <w:ind w:left="5" w:firstLine="572"/>
        <w:spacing w:after="0" w:line="290" w:lineRule="auto"/>
        <w:rPr>
          <w:sz w:val="20"/>
          <w:szCs w:val="20"/>
          <w:color w:val="auto"/>
        </w:rPr>
      </w:pPr>
      <w:r>
        <w:rPr>
          <w:rFonts w:ascii="Arial" w:cs="Arial" w:eastAsia="Arial" w:hAnsi="Arial"/>
          <w:sz w:val="18"/>
          <w:szCs w:val="18"/>
          <w:color w:val="auto"/>
        </w:rPr>
        <w:t>We may sell from time to time pursuant to this prospectus (as may be detailed in a prospectus supplement) an indeterminate number of ordinary shares, warrants to purchase ordinary shares, subscription rights and/or units comprised of any of the foregoing securities as shall have a maximum aggregate offering price of $120 million. The actual price per share or per security of the securities that we will offer pursuant hereto will depend on a number of factors that may be relevant as of the time of offer. See “Plan of Distribution.”</w:t>
      </w:r>
    </w:p>
    <w:p>
      <w:pPr>
        <w:spacing w:after="0" w:line="186" w:lineRule="exact"/>
        <w:rPr>
          <w:sz w:val="20"/>
          <w:szCs w:val="20"/>
          <w:color w:val="auto"/>
        </w:rPr>
      </w:pPr>
    </w:p>
    <w:p>
      <w:pPr>
        <w:jc w:val="center"/>
        <w:ind w:right="-4"/>
        <w:spacing w:after="0"/>
        <w:rPr>
          <w:sz w:val="20"/>
          <w:szCs w:val="20"/>
          <w:color w:val="auto"/>
        </w:rPr>
      </w:pPr>
      <w:r>
        <w:rPr>
          <w:rFonts w:ascii="Arial" w:cs="Arial" w:eastAsia="Arial" w:hAnsi="Arial"/>
          <w:sz w:val="19"/>
          <w:szCs w:val="19"/>
          <w:b w:val="1"/>
          <w:bCs w:val="1"/>
          <w:color w:val="auto"/>
        </w:rPr>
        <w:t>FORWARD-LOOKING STATEMENTS</w:t>
      </w:r>
    </w:p>
    <w:p>
      <w:pPr>
        <w:spacing w:after="0" w:line="265" w:lineRule="exact"/>
        <w:rPr>
          <w:sz w:val="20"/>
          <w:szCs w:val="20"/>
          <w:color w:val="auto"/>
        </w:rPr>
      </w:pPr>
    </w:p>
    <w:p>
      <w:pPr>
        <w:jc w:val="both"/>
        <w:ind w:left="5" w:firstLine="572"/>
        <w:spacing w:after="0" w:line="302" w:lineRule="auto"/>
        <w:rPr>
          <w:sz w:val="20"/>
          <w:szCs w:val="20"/>
          <w:color w:val="auto"/>
        </w:rPr>
      </w:pPr>
      <w:r>
        <w:rPr>
          <w:rFonts w:ascii="Arial" w:cs="Arial" w:eastAsia="Arial" w:hAnsi="Arial"/>
          <w:sz w:val="17"/>
          <w:szCs w:val="17"/>
          <w:color w:val="auto"/>
        </w:rPr>
        <w:t>We make forward-looking statements in this prospectus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186" w:lineRule="exact"/>
        <w:rPr>
          <w:sz w:val="20"/>
          <w:szCs w:val="20"/>
          <w:color w:val="auto"/>
        </w:rPr>
      </w:pPr>
    </w:p>
    <w:p>
      <w:pPr>
        <w:jc w:val="both"/>
        <w:ind w:left="5" w:firstLine="572"/>
        <w:spacing w:after="0" w:line="311" w:lineRule="auto"/>
        <w:rPr>
          <w:sz w:val="20"/>
          <w:szCs w:val="20"/>
          <w:color w:val="auto"/>
        </w:rPr>
      </w:pPr>
      <w:r>
        <w:rPr>
          <w:rFonts w:ascii="Arial" w:cs="Arial" w:eastAsia="Arial" w:hAnsi="Arial"/>
          <w:sz w:val="17"/>
          <w:szCs w:val="17"/>
          <w:color w:val="auto"/>
        </w:rPr>
        <w:t>You should review carefully the risks and uncertainties described under the heading “Risk Factors” in this prospectus for a discussion of these and other risks that relate to our business and investing in our ordinary shares. The forward-looking statements contained in this prospectus are expressly qualified in their entirety by this cautionary statement. Except as required by law, we undertake no obligation to update publicly any forward-looking statements after the date of this prospectus to conform these statements to actual results or to changes in our expectations.</w:t>
      </w:r>
    </w:p>
    <w:p>
      <w:pPr>
        <w:spacing w:after="0" w:line="174" w:lineRule="exact"/>
        <w:rPr>
          <w:sz w:val="20"/>
          <w:szCs w:val="20"/>
          <w:color w:val="auto"/>
        </w:rPr>
      </w:pPr>
    </w:p>
    <w:p>
      <w:pPr>
        <w:ind w:left="245" w:right="240" w:hanging="245"/>
        <w:spacing w:after="0" w:line="182" w:lineRule="auto"/>
        <w:tabs>
          <w:tab w:leader="none" w:pos="245" w:val="left"/>
        </w:tabs>
        <w:numPr>
          <w:ilvl w:val="0"/>
          <w:numId w:val="17"/>
        </w:numPr>
        <w:rPr>
          <w:rFonts w:ascii="Arial" w:cs="Arial" w:eastAsia="Arial" w:hAnsi="Arial"/>
          <w:sz w:val="30"/>
          <w:szCs w:val="30"/>
          <w:color w:val="auto"/>
          <w:vertAlign w:val="subscript"/>
        </w:rPr>
      </w:pPr>
      <w:r>
        <w:rPr>
          <w:rFonts w:ascii="Arial" w:cs="Arial" w:eastAsia="Arial" w:hAnsi="Arial"/>
          <w:sz w:val="15"/>
          <w:szCs w:val="15"/>
          <w:color w:val="auto"/>
        </w:rPr>
        <w:t>the adequacy of our financial and other resources, particularly in light of our history of recurring losses and the uncertainty regarding the adequacy of our liquidity to pursue our complete business objectives;</w:t>
      </w:r>
    </w:p>
    <w:p>
      <w:pPr>
        <w:spacing w:after="0" w:line="227" w:lineRule="exact"/>
        <w:rPr>
          <w:rFonts w:ascii="Arial" w:cs="Arial" w:eastAsia="Arial" w:hAnsi="Arial"/>
          <w:sz w:val="30"/>
          <w:szCs w:val="30"/>
          <w:color w:val="auto"/>
          <w:vertAlign w:val="subscript"/>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ability to complete the development of our product candidates;</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ability to find suitable co-development partners;</w:t>
      </w:r>
    </w:p>
    <w:p>
      <w:pPr>
        <w:spacing w:after="0" w:line="245" w:lineRule="exact"/>
        <w:rPr>
          <w:rFonts w:ascii="Arial" w:cs="Arial" w:eastAsia="Arial" w:hAnsi="Arial"/>
          <w:sz w:val="16"/>
          <w:szCs w:val="16"/>
          <w:color w:val="auto"/>
        </w:rPr>
      </w:pPr>
    </w:p>
    <w:p>
      <w:pPr>
        <w:ind w:left="245" w:right="120" w:hanging="245"/>
        <w:spacing w:after="0" w:line="182" w:lineRule="auto"/>
        <w:tabs>
          <w:tab w:leader="none" w:pos="245" w:val="left"/>
        </w:tabs>
        <w:numPr>
          <w:ilvl w:val="0"/>
          <w:numId w:val="17"/>
        </w:numPr>
        <w:rPr>
          <w:rFonts w:ascii="Arial" w:cs="Arial" w:eastAsia="Arial" w:hAnsi="Arial"/>
          <w:sz w:val="30"/>
          <w:szCs w:val="30"/>
          <w:color w:val="auto"/>
          <w:vertAlign w:val="subscript"/>
        </w:rPr>
      </w:pPr>
      <w:r>
        <w:rPr>
          <w:rFonts w:ascii="Arial" w:cs="Arial" w:eastAsia="Arial" w:hAnsi="Arial"/>
          <w:sz w:val="15"/>
          <w:szCs w:val="15"/>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27" w:lineRule="exact"/>
        <w:rPr>
          <w:rFonts w:ascii="Arial" w:cs="Arial" w:eastAsia="Arial" w:hAnsi="Arial"/>
          <w:sz w:val="30"/>
          <w:szCs w:val="30"/>
          <w:color w:val="auto"/>
          <w:vertAlign w:val="subscript"/>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ability to commercialize our pharmaceutical product candidates;</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ability to obtain and maintain adequate protection of our intellectual property;</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ability to manufacture our product candidates in commercial quantities, at an adequate quality or at an acceptable cost;</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ability to establish adequate sales, marketing and distribution channels;</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acceptance of our product candidates by healthcare professionals and patients;</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possibility that we may face third-party claims of intellectual property infringement;</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245" w:lineRule="exact"/>
        <w:rPr>
          <w:rFonts w:ascii="Arial" w:cs="Arial" w:eastAsia="Arial" w:hAnsi="Arial"/>
          <w:sz w:val="16"/>
          <w:szCs w:val="16"/>
          <w:color w:val="auto"/>
        </w:rPr>
      </w:pPr>
    </w:p>
    <w:p>
      <w:pPr>
        <w:ind w:left="245" w:right="220" w:hanging="245"/>
        <w:spacing w:after="0" w:line="182" w:lineRule="auto"/>
        <w:tabs>
          <w:tab w:leader="none" w:pos="245" w:val="left"/>
        </w:tabs>
        <w:numPr>
          <w:ilvl w:val="0"/>
          <w:numId w:val="17"/>
        </w:numPr>
        <w:rPr>
          <w:rFonts w:ascii="Arial" w:cs="Arial" w:eastAsia="Arial" w:hAnsi="Arial"/>
          <w:sz w:val="30"/>
          <w:szCs w:val="30"/>
          <w:color w:val="auto"/>
          <w:vertAlign w:val="subscript"/>
        </w:rPr>
      </w:pPr>
      <w:r>
        <w:rPr>
          <w:rFonts w:ascii="Arial" w:cs="Arial" w:eastAsia="Arial" w:hAnsi="Arial"/>
          <w:sz w:val="15"/>
          <w:szCs w:val="15"/>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27" w:lineRule="exact"/>
        <w:rPr>
          <w:rFonts w:ascii="Arial" w:cs="Arial" w:eastAsia="Arial" w:hAnsi="Arial"/>
          <w:sz w:val="30"/>
          <w:szCs w:val="30"/>
          <w:color w:val="auto"/>
          <w:vertAlign w:val="subscript"/>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potential product liability claims;</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potential adverse federal, state and local government regulation in the United States, Europe or Israel; and</w:t>
      </w:r>
    </w:p>
    <w:p>
      <w:pPr>
        <w:spacing w:after="0" w:line="245" w:lineRule="exact"/>
        <w:rPr>
          <w:rFonts w:ascii="Arial" w:cs="Arial" w:eastAsia="Arial" w:hAnsi="Arial"/>
          <w:sz w:val="16"/>
          <w:szCs w:val="16"/>
          <w:color w:val="auto"/>
        </w:rPr>
      </w:pPr>
    </w:p>
    <w:p>
      <w:pPr>
        <w:ind w:left="245" w:hanging="245"/>
        <w:spacing w:after="0"/>
        <w:tabs>
          <w:tab w:leader="none" w:pos="245" w:val="left"/>
        </w:tabs>
        <w:numPr>
          <w:ilvl w:val="0"/>
          <w:numId w:val="17"/>
        </w:numPr>
        <w:rPr>
          <w:rFonts w:ascii="Arial" w:cs="Arial" w:eastAsia="Arial" w:hAnsi="Arial"/>
          <w:sz w:val="16"/>
          <w:szCs w:val="16"/>
          <w:color w:val="auto"/>
        </w:rPr>
      </w:pPr>
      <w:r>
        <w:rPr>
          <w:rFonts w:ascii="Arial" w:cs="Arial" w:eastAsia="Arial" w:hAnsi="Arial"/>
          <w:sz w:val="16"/>
          <w:szCs w:val="16"/>
          <w:color w:val="auto"/>
        </w:rPr>
        <w:t>loss or retirement of key executives and research scientists.</w:t>
      </w:r>
    </w:p>
    <w:p>
      <w:pPr>
        <w:spacing w:after="0" w:line="200" w:lineRule="exact"/>
        <w:rPr>
          <w:sz w:val="20"/>
          <w:szCs w:val="20"/>
          <w:color w:val="auto"/>
        </w:rPr>
      </w:pPr>
    </w:p>
    <w:p>
      <w:pPr>
        <w:spacing w:after="0" w:line="206" w:lineRule="exact"/>
        <w:rPr>
          <w:sz w:val="20"/>
          <w:szCs w:val="20"/>
          <w:color w:val="auto"/>
        </w:rPr>
      </w:pPr>
    </w:p>
    <w:p>
      <w:pPr>
        <w:jc w:val="center"/>
        <w:ind w:right="-4"/>
        <w:spacing w:after="0"/>
        <w:rPr>
          <w:sz w:val="20"/>
          <w:szCs w:val="20"/>
          <w:color w:val="auto"/>
        </w:rPr>
      </w:pPr>
      <w:r>
        <w:rPr>
          <w:rFonts w:ascii="Arial" w:cs="Arial" w:eastAsia="Arial" w:hAnsi="Arial"/>
          <w:sz w:val="19"/>
          <w:szCs w:val="19"/>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47625</wp:posOffset>
            </wp:positionV>
            <wp:extent cx="7262495" cy="152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5"/>
          </w:cols>
          <w:pgMar w:left="235" w:top="126" w:right="219" w:bottom="1440" w:gutter="0" w:footer="0" w:header="0"/>
        </w:sectPr>
      </w:pPr>
    </w:p>
    <w:bookmarkStart w:id="38" w:name="page39"/>
    <w:bookmarkEnd w:id="38"/>
    <w:p>
      <w:pPr>
        <w:jc w:val="center"/>
        <w:spacing w:after="0"/>
        <w:rPr>
          <w:sz w:val="20"/>
          <w:szCs w:val="20"/>
          <w:color w:val="auto"/>
        </w:rPr>
      </w:pPr>
      <w:r>
        <w:rPr>
          <w:rFonts w:ascii="Arial" w:cs="Arial" w:eastAsia="Arial" w:hAnsi="Arial"/>
          <w:sz w:val="19"/>
          <w:szCs w:val="19"/>
          <w:b w:val="1"/>
          <w:bCs w:val="1"/>
          <w:color w:val="auto"/>
        </w:rPr>
        <w:t>CAPITALIZATION</w:t>
      </w:r>
    </w:p>
    <w:p>
      <w:pPr>
        <w:spacing w:after="0" w:line="265"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The table below sets forth our total capitalization as of December 31, 2018. The financial data in the following table should be read in conjunction with our financial statements and notes thereto incorporated by reference herein.</w:t>
      </w:r>
    </w:p>
    <w:p>
      <w:pPr>
        <w:spacing w:after="0" w:line="184" w:lineRule="exact"/>
        <w:rPr>
          <w:sz w:val="20"/>
          <w:szCs w:val="20"/>
          <w:color w:val="auto"/>
        </w:rPr>
      </w:pPr>
    </w:p>
    <w:tbl>
      <w:tblPr>
        <w:tblLayout w:type="fixed"/>
        <w:tblInd w:w="340" w:type="dxa"/>
        <w:tblCellMar>
          <w:top w:w="0" w:type="dxa"/>
          <w:left w:w="0" w:type="dxa"/>
          <w:bottom w:w="0" w:type="dxa"/>
          <w:right w:w="0" w:type="dxa"/>
        </w:tblCellMar>
      </w:tblPr>
      <w:tr>
        <w:trPr>
          <w:trHeight w:val="191"/>
        </w:trPr>
        <w:tc>
          <w:tcPr>
            <w:tcW w:w="20" w:type="dxa"/>
            <w:vAlign w:val="bottom"/>
          </w:tcPr>
          <w:p>
            <w:pPr>
              <w:spacing w:after="0"/>
              <w:rPr>
                <w:sz w:val="16"/>
                <w:szCs w:val="16"/>
                <w:color w:val="auto"/>
              </w:rPr>
            </w:pPr>
          </w:p>
        </w:tc>
        <w:tc>
          <w:tcPr>
            <w:tcW w:w="618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gridSpan w:val="3"/>
          </w:tcPr>
          <w:p>
            <w:pPr>
              <w:jc w:val="center"/>
              <w:ind w:right="300"/>
              <w:spacing w:after="0"/>
              <w:rPr>
                <w:sz w:val="20"/>
                <w:szCs w:val="20"/>
                <w:color w:val="auto"/>
              </w:rPr>
            </w:pPr>
            <w:r>
              <w:rPr>
                <w:rFonts w:ascii="Arial" w:cs="Arial" w:eastAsia="Arial" w:hAnsi="Arial"/>
                <w:sz w:val="16"/>
                <w:szCs w:val="16"/>
                <w:b w:val="1"/>
                <w:bCs w:val="1"/>
                <w:color w:val="auto"/>
                <w:w w:val="89"/>
              </w:rPr>
              <w:t>As of</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18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1180" w:type="dxa"/>
            <w:vAlign w:val="bottom"/>
            <w:gridSpan w:val="4"/>
          </w:tcPr>
          <w:p>
            <w:pPr>
              <w:jc w:val="center"/>
              <w:ind w:right="100"/>
              <w:spacing w:after="0"/>
              <w:rPr>
                <w:sz w:val="20"/>
                <w:szCs w:val="20"/>
                <w:color w:val="auto"/>
              </w:rPr>
            </w:pPr>
            <w:r>
              <w:rPr>
                <w:rFonts w:ascii="Arial" w:cs="Arial" w:eastAsia="Arial" w:hAnsi="Arial"/>
                <w:sz w:val="16"/>
                <w:szCs w:val="16"/>
                <w:b w:val="1"/>
                <w:bCs w:val="1"/>
                <w:color w:val="auto"/>
                <w:w w:val="88"/>
              </w:rPr>
              <w:t>December 31,</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18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center"/>
              <w:ind w:right="121"/>
              <w:spacing w:after="0"/>
              <w:rPr>
                <w:sz w:val="20"/>
                <w:szCs w:val="20"/>
                <w:color w:val="auto"/>
              </w:rPr>
            </w:pPr>
            <w:r>
              <w:rPr>
                <w:rFonts w:ascii="Arial" w:cs="Arial" w:eastAsia="Arial" w:hAnsi="Arial"/>
                <w:sz w:val="16"/>
                <w:szCs w:val="16"/>
                <w:b w:val="1"/>
                <w:bCs w:val="1"/>
                <w:color w:val="auto"/>
                <w:w w:val="89"/>
              </w:rPr>
              <w:t>2018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618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121"/>
              <w:spacing w:after="0"/>
              <w:rPr>
                <w:sz w:val="20"/>
                <w:szCs w:val="20"/>
                <w:color w:val="auto"/>
              </w:rPr>
            </w:pPr>
            <w:r>
              <w:rPr>
                <w:rFonts w:ascii="Arial" w:cs="Arial" w:eastAsia="Arial" w:hAnsi="Arial"/>
                <w:sz w:val="16"/>
                <w:szCs w:val="16"/>
                <w:b w:val="1"/>
                <w:bCs w:val="1"/>
                <w:color w:val="auto"/>
                <w:w w:val="89"/>
              </w:rPr>
              <w:t>Actual</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18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1080" w:type="dxa"/>
            <w:vAlign w:val="bottom"/>
            <w:gridSpan w:val="2"/>
          </w:tcPr>
          <w:p>
            <w:pPr>
              <w:jc w:val="center"/>
              <w:spacing w:after="0"/>
              <w:rPr>
                <w:sz w:val="20"/>
                <w:szCs w:val="20"/>
                <w:color w:val="auto"/>
              </w:rPr>
            </w:pPr>
            <w:r>
              <w:rPr>
                <w:rFonts w:ascii="Arial" w:cs="Arial" w:eastAsia="Arial" w:hAnsi="Arial"/>
                <w:sz w:val="16"/>
                <w:szCs w:val="16"/>
                <w:b w:val="1"/>
                <w:bCs w:val="1"/>
                <w:color w:val="auto"/>
                <w:w w:val="87"/>
              </w:rPr>
              <w:t>(in thousands)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4"/>
        </w:trPr>
        <w:tc>
          <w:tcPr>
            <w:tcW w:w="20" w:type="dxa"/>
            <w:vAlign w:val="bottom"/>
            <w:vMerge w:val="restart"/>
          </w:tcPr>
          <w:p>
            <w:pPr>
              <w:spacing w:after="0"/>
              <w:rPr>
                <w:sz w:val="15"/>
                <w:szCs w:val="15"/>
                <w:color w:val="auto"/>
              </w:rPr>
            </w:pPr>
          </w:p>
        </w:tc>
        <w:tc>
          <w:tcPr>
            <w:tcW w:w="6180" w:type="dxa"/>
            <w:vAlign w:val="bottom"/>
          </w:tcPr>
          <w:p>
            <w:pPr>
              <w:spacing w:after="0"/>
              <w:rPr>
                <w:sz w:val="15"/>
                <w:szCs w:val="15"/>
                <w:color w:val="auto"/>
              </w:rPr>
            </w:pPr>
          </w:p>
        </w:tc>
        <w:tc>
          <w:tcPr>
            <w:tcW w:w="3560" w:type="dxa"/>
            <w:vAlign w:val="bottom"/>
            <w:gridSpan w:val="2"/>
          </w:tcPr>
          <w:p>
            <w:pPr>
              <w:spacing w:after="0"/>
              <w:rPr>
                <w:sz w:val="15"/>
                <w:szCs w:val="15"/>
                <w:color w:val="auto"/>
              </w:rPr>
            </w:pPr>
          </w:p>
        </w:tc>
        <w:tc>
          <w:tcPr>
            <w:tcW w:w="900" w:type="dxa"/>
            <w:vAlign w:val="bottom"/>
            <w:gridSpan w:val="2"/>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20" w:type="dxa"/>
            <w:vAlign w:val="bottom"/>
            <w:vMerge w:val="continue"/>
          </w:tcPr>
          <w:p>
            <w:pPr>
              <w:spacing w:after="0"/>
              <w:rPr>
                <w:sz w:val="16"/>
                <w:szCs w:val="16"/>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6"/>
                <w:szCs w:val="16"/>
                <w:color w:val="auto"/>
              </w:rPr>
              <w:t>Ordinary shares, par value NIS 0.1 per share</w:t>
            </w:r>
          </w:p>
        </w:tc>
        <w:tc>
          <w:tcPr>
            <w:tcW w:w="3560" w:type="dxa"/>
            <w:vAlign w:val="bottom"/>
            <w:gridSpan w:val="2"/>
            <w:shd w:val="clear" w:color="auto" w:fill="CCEEFF"/>
          </w:tcPr>
          <w:p>
            <w:pPr>
              <w:jc w:val="right"/>
              <w:ind w:right="42"/>
              <w:spacing w:after="0"/>
              <w:rPr>
                <w:sz w:val="20"/>
                <w:szCs w:val="20"/>
                <w:color w:val="auto"/>
              </w:rPr>
            </w:pPr>
            <w:r>
              <w:rPr>
                <w:rFonts w:ascii="Arial" w:cs="Arial" w:eastAsia="Arial" w:hAnsi="Arial"/>
                <w:sz w:val="16"/>
                <w:szCs w:val="16"/>
                <w:color w:val="auto"/>
              </w:rPr>
              <w:t>$</w:t>
            </w:r>
          </w:p>
        </w:tc>
        <w:tc>
          <w:tcPr>
            <w:tcW w:w="90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520</w:t>
            </w:r>
          </w:p>
        </w:tc>
        <w:tc>
          <w:tcPr>
            <w:tcW w:w="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180" w:type="dxa"/>
            <w:vAlign w:val="bottom"/>
          </w:tcPr>
          <w:p>
            <w:pPr>
              <w:spacing w:after="0"/>
              <w:rPr>
                <w:sz w:val="20"/>
                <w:szCs w:val="20"/>
                <w:color w:val="auto"/>
              </w:rPr>
            </w:pPr>
            <w:r>
              <w:rPr>
                <w:rFonts w:ascii="Arial" w:cs="Arial" w:eastAsia="Arial" w:hAnsi="Arial"/>
                <w:sz w:val="16"/>
                <w:szCs w:val="16"/>
                <w:color w:val="auto"/>
              </w:rPr>
              <w:t>Additional paid-in capital</w:t>
            </w:r>
          </w:p>
        </w:tc>
        <w:tc>
          <w:tcPr>
            <w:tcW w:w="3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00" w:type="dxa"/>
            <w:vAlign w:val="bottom"/>
            <w:gridSpan w:val="2"/>
          </w:tcPr>
          <w:p>
            <w:pPr>
              <w:jc w:val="right"/>
              <w:ind w:right="20"/>
              <w:spacing w:after="0"/>
              <w:rPr>
                <w:sz w:val="20"/>
                <w:szCs w:val="20"/>
                <w:color w:val="auto"/>
              </w:rPr>
            </w:pPr>
            <w:r>
              <w:rPr>
                <w:rFonts w:ascii="Arial" w:cs="Arial" w:eastAsia="Arial" w:hAnsi="Arial"/>
                <w:sz w:val="16"/>
                <w:szCs w:val="16"/>
                <w:color w:val="auto"/>
              </w:rPr>
              <w:t>190,853</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180" w:type="dxa"/>
            <w:vAlign w:val="bottom"/>
            <w:shd w:val="clear" w:color="auto" w:fill="CCEEFF"/>
          </w:tcPr>
          <w:p>
            <w:pPr>
              <w:spacing w:after="0"/>
              <w:rPr>
                <w:sz w:val="20"/>
                <w:szCs w:val="20"/>
                <w:color w:val="auto"/>
              </w:rPr>
            </w:pPr>
            <w:r>
              <w:rPr>
                <w:rFonts w:ascii="Arial" w:cs="Arial" w:eastAsia="Arial" w:hAnsi="Arial"/>
                <w:sz w:val="16"/>
                <w:szCs w:val="16"/>
                <w:color w:val="auto"/>
              </w:rPr>
              <w:t>Accumulated deficit</w:t>
            </w:r>
          </w:p>
        </w:tc>
        <w:tc>
          <w:tcPr>
            <w:tcW w:w="336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80" w:type="dxa"/>
            <w:vAlign w:val="bottom"/>
            <w:gridSpan w:val="3"/>
            <w:shd w:val="clear" w:color="auto" w:fill="CCEEFF"/>
          </w:tcPr>
          <w:p>
            <w:pPr>
              <w:jc w:val="right"/>
              <w:ind w:right="40"/>
              <w:spacing w:after="0"/>
              <w:rPr>
                <w:sz w:val="20"/>
                <w:szCs w:val="20"/>
                <w:color w:val="auto"/>
              </w:rPr>
            </w:pPr>
            <w:r>
              <w:rPr>
                <w:rFonts w:ascii="Arial" w:cs="Arial" w:eastAsia="Arial" w:hAnsi="Arial"/>
                <w:sz w:val="16"/>
                <w:szCs w:val="16"/>
                <w:color w:val="auto"/>
              </w:rPr>
              <w:t>(127,464)</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6180" w:type="dxa"/>
            <w:vAlign w:val="bottom"/>
          </w:tcPr>
          <w:p>
            <w:pPr>
              <w:spacing w:after="0"/>
              <w:rPr>
                <w:sz w:val="20"/>
                <w:szCs w:val="20"/>
                <w:color w:val="auto"/>
              </w:rPr>
            </w:pPr>
            <w:r>
              <w:rPr>
                <w:rFonts w:ascii="Arial" w:cs="Arial" w:eastAsia="Arial" w:hAnsi="Arial"/>
                <w:sz w:val="16"/>
                <w:szCs w:val="16"/>
                <w:color w:val="auto"/>
              </w:rPr>
              <w:t>Total shareholders’ equity</w:t>
            </w:r>
          </w:p>
        </w:tc>
        <w:tc>
          <w:tcPr>
            <w:tcW w:w="336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63,909</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61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capitalization</w:t>
            </w:r>
          </w:p>
        </w:tc>
        <w:tc>
          <w:tcPr>
            <w:tcW w:w="33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69,682</w:t>
            </w:r>
          </w:p>
        </w:tc>
        <w:tc>
          <w:tcPr>
            <w:tcW w:w="2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OFFER AND LISTING DETAILS</w:t>
      </w:r>
    </w:p>
    <w:p>
      <w:pPr>
        <w:spacing w:after="0" w:line="265" w:lineRule="exact"/>
        <w:rPr>
          <w:sz w:val="20"/>
          <w:szCs w:val="20"/>
          <w:color w:val="auto"/>
        </w:rPr>
      </w:pPr>
    </w:p>
    <w:p>
      <w:pPr>
        <w:ind w:left="560"/>
        <w:spacing w:after="0"/>
        <w:rPr>
          <w:sz w:val="20"/>
          <w:szCs w:val="20"/>
          <w:color w:val="auto"/>
        </w:rPr>
      </w:pPr>
      <w:r>
        <w:rPr>
          <w:rFonts w:ascii="Arial" w:cs="Arial" w:eastAsia="Arial" w:hAnsi="Arial"/>
          <w:sz w:val="19"/>
          <w:szCs w:val="19"/>
          <w:color w:val="auto"/>
        </w:rPr>
        <w:t>Our Ordinary Shares have been traded on the Nasdaq Global Market under the symbol “SLGL” from February 1, 2018.</w:t>
      </w: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USE OF PROCEEDS</w:t>
      </w:r>
    </w:p>
    <w:p>
      <w:pPr>
        <w:spacing w:after="0" w:line="265"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Unless otherwise indicated in an accompanying prospectus supplement, the net proceeds from the sale of securities will be used for general corporate purposes, including research and development related purposes in connection with our product candidates and for commercialization of our product candidates.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DESCRIPTION OF ORDINARY SHARES</w:t>
      </w:r>
    </w:p>
    <w:p>
      <w:pPr>
        <w:spacing w:after="0" w:line="265"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Our authorized share capital consists of 50,000,000 ordinary shares, par value NIS 0.1 per share, of which 18,949,968 shares were issued and outstanding as of December 31, 2018.</w:t>
      </w:r>
    </w:p>
    <w:p>
      <w:pPr>
        <w:spacing w:after="0" w:line="193"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All of our outstanding ordinary shares will be validly issued, fully paid and non-assessable. Our ordinary shares are not redeemable and do not have any preemptive rights.</w:t>
      </w:r>
    </w:p>
    <w:p>
      <w:pPr>
        <w:spacing w:after="0" w:line="193"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For a further description of our ordinary shares can be found under the heading "Description of Registrant’s Securities to be Registered" in our Registration Statement on Form 8-A as filed with the SEC on January 26, 2018.</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DESCRIPTION OF WARRANTS</w:t>
      </w:r>
    </w:p>
    <w:p>
      <w:pPr>
        <w:spacing w:after="0" w:line="265" w:lineRule="exact"/>
        <w:rPr>
          <w:sz w:val="20"/>
          <w:szCs w:val="20"/>
          <w:color w:val="auto"/>
        </w:rPr>
      </w:pPr>
    </w:p>
    <w:p>
      <w:pPr>
        <w:jc w:val="both"/>
        <w:ind w:firstLine="572"/>
        <w:spacing w:after="0" w:line="268" w:lineRule="auto"/>
        <w:rPr>
          <w:sz w:val="20"/>
          <w:szCs w:val="20"/>
          <w:color w:val="auto"/>
        </w:rPr>
      </w:pPr>
      <w:r>
        <w:rPr>
          <w:rFonts w:ascii="Arial" w:cs="Arial" w:eastAsia="Arial" w:hAnsi="Arial"/>
          <w:sz w:val="19"/>
          <w:szCs w:val="19"/>
          <w:color w:val="auto"/>
        </w:rPr>
        <w:t>We may issue warrants to purchase ordinary shares. Warrants may be issued independently or together with any other securities and may be attached to, or separate from, such securities. Each series of warrants will be issued under a separate warrant agreement to be entered into between us and a warrant agent. The warrant agent will act solely as our agent and will not assume any obligation or relationship of agency for or with holders or beneficial owners of warrants. The terms of any warrants to be issued and a description of the material provisions of the applicable warrant agreement will be set forth in the applicable prospectus supplement.</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sectPr>
      </w:pPr>
    </w:p>
    <w:bookmarkStart w:id="39" w:name="page40"/>
    <w:bookmarkEnd w:id="39"/>
    <w:p>
      <w:pPr>
        <w:ind w:firstLine="572"/>
        <w:spacing w:after="0" w:line="287" w:lineRule="auto"/>
        <w:rPr>
          <w:sz w:val="20"/>
          <w:szCs w:val="20"/>
          <w:color w:val="auto"/>
        </w:rPr>
      </w:pPr>
      <w:r>
        <w:rPr>
          <w:rFonts w:ascii="Arial" w:cs="Arial" w:eastAsia="Arial" w:hAnsi="Arial"/>
          <w:sz w:val="19"/>
          <w:szCs w:val="19"/>
          <w:color w:val="auto"/>
        </w:rPr>
        <w:t>The applicable prospectus supplement will describe the following terms of any warrants in respect of which this prospectus is being delivered:</w:t>
      </w:r>
    </w:p>
    <w:p>
      <w:pPr>
        <w:spacing w:after="0" w:line="188" w:lineRule="exact"/>
        <w:rPr>
          <w:sz w:val="20"/>
          <w:szCs w:val="20"/>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title of such warrants;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aggregate number of such warrants;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price or prices at which such warrants will be issued and exercised;</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currency or currencies in which the price of such warrants will be payable;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securities purchasable upon exercise of such warrants;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date on which the right to exercise such warrants shall commence and the date on which such right shall expire;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if applicable, the minimum or maximum amount of such warrants which may be exercised at any one time;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if applicable, the designation and terms of the securities with which such warrants are issued and the number of such warrants issued with each such security;</w:t>
      </w:r>
    </w:p>
    <w:p>
      <w:pPr>
        <w:spacing w:after="0" w:line="268" w:lineRule="exact"/>
        <w:rPr>
          <w:rFonts w:ascii="Arial" w:cs="Arial" w:eastAsia="Arial" w:hAnsi="Arial"/>
          <w:sz w:val="14"/>
          <w:szCs w:val="14"/>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if applicable, the date on and after which such warrants and the related securities will be separately transferable;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information with respect to book-entry procedures, if any;</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any material Israeli and United States federal income tax consequences;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anti-dilution provisions of the warrants, if any; and</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any other terms of such warrants, including terms, procedures and limitations relating to the exchange and exercise of such warrants.</w:t>
      </w: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Amendments and Supplements to Warrant Agreement</w:t>
      </w:r>
    </w:p>
    <w:p>
      <w:pPr>
        <w:spacing w:after="0" w:line="265"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We and the warrant agent may amend or supplement the warrant agreement for a series of warrants without the consent of the holders of the warrants issued thereunder to effect changes that are not inconsistent with the provisions of the warrants and that do not materially and adversely affect the interests of the holders of the warrants.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DESCRIPTION OF SUBSCRIPTION RIGHTS</w:t>
      </w:r>
    </w:p>
    <w:p>
      <w:pPr>
        <w:spacing w:after="0" w:line="265" w:lineRule="exact"/>
        <w:rPr>
          <w:sz w:val="20"/>
          <w:szCs w:val="20"/>
          <w:color w:val="auto"/>
        </w:rPr>
      </w:pPr>
    </w:p>
    <w:p>
      <w:pPr>
        <w:jc w:val="both"/>
        <w:ind w:firstLine="572"/>
        <w:spacing w:after="0" w:line="311" w:lineRule="auto"/>
        <w:rPr>
          <w:sz w:val="20"/>
          <w:szCs w:val="20"/>
          <w:color w:val="auto"/>
        </w:rPr>
      </w:pPr>
      <w:r>
        <w:rPr>
          <w:rFonts w:ascii="Arial" w:cs="Arial" w:eastAsia="Arial" w:hAnsi="Arial"/>
          <w:sz w:val="17"/>
          <w:szCs w:val="17"/>
          <w:color w:val="auto"/>
        </w:rPr>
        <w:t>We may issue subscription rights to purchase our ordinary shares. These subscription rights may be issued independently or together with any other security offered hereby and may or may not be transferable by the shareholder receiving the subscription rights in such offering. In connection with any offering of subscription rights, we may enter into a standby arrangement with one or more underwriters or other purchasers pursuant to which the underwriters or other purchasers may be required to purchase any securities remaining unsubscribed for after such offering.</w:t>
      </w:r>
    </w:p>
    <w:p>
      <w:pPr>
        <w:spacing w:after="0" w:line="179"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The prospectus supplement relating to any subscription rights we offer, if any, will, to the extent applicable, include specific terms relating to the offering, including some or all of the following:</w:t>
      </w:r>
    </w:p>
    <w:p>
      <w:pPr>
        <w:spacing w:after="0" w:line="188" w:lineRule="exact"/>
        <w:rPr>
          <w:sz w:val="20"/>
          <w:szCs w:val="20"/>
          <w:color w:val="auto"/>
        </w:rPr>
      </w:pPr>
    </w:p>
    <w:p>
      <w:pPr>
        <w:ind w:left="1200" w:hanging="632"/>
        <w:spacing w:after="0"/>
        <w:tabs>
          <w:tab w:leader="none" w:pos="12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price, if any, for the subscription rights;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exercise price payable for each ordinary share upon the exercise of the subscription rights;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number of subscription rights to be issued to each shareholder;</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number and terms of the ordinary shares which may be purchased per each subscription right;</w:t>
      </w:r>
    </w:p>
    <w:p>
      <w:pPr>
        <w:spacing w:after="0" w:line="200" w:lineRule="exact"/>
        <w:rPr>
          <w:sz w:val="20"/>
          <w:szCs w:val="20"/>
          <w:color w:val="auto"/>
        </w:rPr>
      </w:pPr>
    </w:p>
    <w:p>
      <w:pPr>
        <w:spacing w:after="0" w:line="206" w:lineRule="exact"/>
        <w:rPr>
          <w:sz w:val="20"/>
          <w:szCs w:val="20"/>
          <w:color w:val="auto"/>
        </w:rPr>
      </w:pPr>
    </w:p>
    <w:p>
      <w:pPr>
        <w:jc w:val="center"/>
        <w:ind w:left="580"/>
        <w:spacing w:after="0"/>
        <w:rPr>
          <w:sz w:val="20"/>
          <w:szCs w:val="20"/>
          <w:color w:val="auto"/>
        </w:rPr>
      </w:pPr>
      <w:r>
        <w:rPr>
          <w:rFonts w:ascii="Arial" w:cs="Arial" w:eastAsia="Arial" w:hAnsi="Arial"/>
          <w:sz w:val="19"/>
          <w:szCs w:val="19"/>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47625</wp:posOffset>
            </wp:positionV>
            <wp:extent cx="7262495" cy="152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32" w:right="219" w:bottom="1440" w:gutter="0" w:footer="0" w:header="0"/>
        </w:sectPr>
      </w:pPr>
    </w:p>
    <w:bookmarkStart w:id="40" w:name="page41"/>
    <w:bookmarkEnd w:id="40"/>
    <w:p>
      <w:pPr>
        <w:ind w:left="1200" w:hanging="632"/>
        <w:spacing w:after="0"/>
        <w:tabs>
          <w:tab w:leader="none" w:pos="12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extent to which the subscription rights are transferable;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0"/>
        </w:numPr>
        <w:rPr>
          <w:rFonts w:ascii="Arial" w:cs="Arial" w:eastAsia="Arial" w:hAnsi="Arial"/>
          <w:sz w:val="15"/>
          <w:szCs w:val="15"/>
          <w:color w:val="auto"/>
        </w:rPr>
      </w:pPr>
      <w:r>
        <w:rPr>
          <w:rFonts w:ascii="Arial" w:cs="Arial" w:eastAsia="Arial" w:hAnsi="Arial"/>
          <w:sz w:val="15"/>
          <w:szCs w:val="15"/>
          <w:color w:val="auto"/>
        </w:rPr>
        <w:t>any other terms of the subscription rights, including the terms, procedures and limitations relating to the exchange and exercise of the subscription rights;</w:t>
      </w:r>
    </w:p>
    <w:p>
      <w:pPr>
        <w:spacing w:after="0" w:line="256" w:lineRule="exact"/>
        <w:rPr>
          <w:rFonts w:ascii="Arial" w:cs="Arial" w:eastAsia="Arial" w:hAnsi="Arial"/>
          <w:sz w:val="15"/>
          <w:szCs w:val="15"/>
          <w:color w:val="auto"/>
        </w:rPr>
      </w:pPr>
    </w:p>
    <w:p>
      <w:pPr>
        <w:ind w:left="1200" w:hanging="632"/>
        <w:spacing w:after="0"/>
        <w:tabs>
          <w:tab w:leader="none" w:pos="12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date on which the right to exercise the subscription rights shall commence, and the date on which the subscription rights shall expire;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extent to which the subscription rights may include an over-subscription privilege with respect to unsubscribed securities; and</w:t>
      </w:r>
    </w:p>
    <w:p>
      <w:pPr>
        <w:spacing w:after="0" w:line="245" w:lineRule="exact"/>
        <w:rPr>
          <w:rFonts w:ascii="Arial" w:cs="Arial" w:eastAsia="Arial" w:hAnsi="Arial"/>
          <w:sz w:val="16"/>
          <w:szCs w:val="16"/>
          <w:color w:val="auto"/>
        </w:rPr>
      </w:pPr>
    </w:p>
    <w:p>
      <w:pPr>
        <w:ind w:left="620" w:right="500" w:hanging="52"/>
        <w:spacing w:after="0" w:line="182" w:lineRule="auto"/>
        <w:tabs>
          <w:tab w:leader="none" w:pos="1193" w:val="left"/>
        </w:tabs>
        <w:numPr>
          <w:ilvl w:val="0"/>
          <w:numId w:val="20"/>
        </w:numPr>
        <w:rPr>
          <w:rFonts w:ascii="Arial" w:cs="Arial" w:eastAsia="Arial" w:hAnsi="Arial"/>
          <w:sz w:val="30"/>
          <w:szCs w:val="30"/>
          <w:color w:val="auto"/>
          <w:vertAlign w:val="subscript"/>
        </w:rPr>
      </w:pPr>
      <w:r>
        <w:rPr>
          <w:rFonts w:ascii="Arial" w:cs="Arial" w:eastAsia="Arial" w:hAnsi="Arial"/>
          <w:sz w:val="15"/>
          <w:szCs w:val="15"/>
          <w:color w:val="auto"/>
        </w:rPr>
        <w:t>if applicable, the material terms of any standby underwriting or purchase arrangement which may be entered into by us in connection with the offering of subscription rights.</w:t>
      </w:r>
    </w:p>
    <w:p>
      <w:pPr>
        <w:spacing w:after="0" w:line="233" w:lineRule="exact"/>
        <w:rPr>
          <w:sz w:val="20"/>
          <w:szCs w:val="20"/>
          <w:color w:val="auto"/>
        </w:rPr>
      </w:pPr>
    </w:p>
    <w:p>
      <w:pPr>
        <w:jc w:val="both"/>
        <w:ind w:firstLine="572"/>
        <w:spacing w:after="0" w:line="268" w:lineRule="auto"/>
        <w:rPr>
          <w:sz w:val="20"/>
          <w:szCs w:val="20"/>
          <w:color w:val="auto"/>
        </w:rPr>
      </w:pPr>
      <w:r>
        <w:rPr>
          <w:rFonts w:ascii="Arial" w:cs="Arial" w:eastAsia="Arial" w:hAnsi="Arial"/>
          <w:sz w:val="19"/>
          <w:szCs w:val="19"/>
          <w:color w:val="auto"/>
        </w:rPr>
        <w:t>The description in the applicable prospectus supplement of any subscription rights we offer will not necessarily be complete and will be qualified in its entirety by reference to the applicable subscription right agreement, which will be filed with the SEC if we offer subscription rights. For more information on how you can obtain copies of the applicable subscription right agreement if we offer subscription rights, see “Where You Can Find More Information; Incorporation of Information by Reference” beginning on page 10. We urge you to read the applicable subscription right agreement and any applicable prospectus supplement in their entirety.</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DESCRIPTION OF UNITS</w:t>
      </w:r>
    </w:p>
    <w:p>
      <w:pPr>
        <w:spacing w:after="0" w:line="265" w:lineRule="exact"/>
        <w:rPr>
          <w:sz w:val="20"/>
          <w:szCs w:val="20"/>
          <w:color w:val="auto"/>
        </w:rPr>
      </w:pPr>
    </w:p>
    <w:p>
      <w:pPr>
        <w:jc w:val="both"/>
        <w:ind w:firstLine="572"/>
        <w:spacing w:after="0" w:line="290" w:lineRule="auto"/>
        <w:rPr>
          <w:sz w:val="20"/>
          <w:szCs w:val="20"/>
          <w:color w:val="auto"/>
        </w:rPr>
      </w:pPr>
      <w:r>
        <w:rPr>
          <w:rFonts w:ascii="Arial" w:cs="Arial" w:eastAsia="Arial" w:hAnsi="Arial"/>
          <w:sz w:val="18"/>
          <w:szCs w:val="18"/>
          <w:color w:val="auto"/>
        </w:rPr>
        <w:t>We may issue units comprised of one or more of the other securities that may be offered under this prospectus, in any combination. Each unit will be issued so that the holder of the unit is also the holder of each security included in the unit. Thus, the holder of a unit will have the rights and obligations of a holder of each included security. The unit agreement under which a unit is issued may provide that the securities included in the unit may not be held or transferred separately at any time, or at any time before a specified date.</w:t>
      </w:r>
    </w:p>
    <w:p>
      <w:pPr>
        <w:spacing w:after="0" w:line="192"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The prospectus supplement relating to any units we offer, if any, will, to the extent applicable, include specific terms relating to the offering, including some or all of the following:</w:t>
      </w:r>
    </w:p>
    <w:p>
      <w:pPr>
        <w:spacing w:after="0" w:line="188" w:lineRule="exact"/>
        <w:rPr>
          <w:sz w:val="20"/>
          <w:szCs w:val="20"/>
          <w:color w:val="auto"/>
        </w:rPr>
      </w:pPr>
    </w:p>
    <w:p>
      <w:pPr>
        <w:ind w:left="620" w:right="480" w:hanging="52"/>
        <w:spacing w:after="0" w:line="182" w:lineRule="auto"/>
        <w:tabs>
          <w:tab w:leader="none" w:pos="1193" w:val="left"/>
        </w:tabs>
        <w:numPr>
          <w:ilvl w:val="0"/>
          <w:numId w:val="21"/>
        </w:numPr>
        <w:rPr>
          <w:rFonts w:ascii="Arial" w:cs="Arial" w:eastAsia="Arial" w:hAnsi="Arial"/>
          <w:sz w:val="30"/>
          <w:szCs w:val="30"/>
          <w:color w:val="auto"/>
          <w:vertAlign w:val="subscript"/>
        </w:rPr>
      </w:pPr>
      <w:r>
        <w:rPr>
          <w:rFonts w:ascii="Arial" w:cs="Arial" w:eastAsia="Arial" w:hAnsi="Arial"/>
          <w:sz w:val="15"/>
          <w:szCs w:val="15"/>
          <w:color w:val="auto"/>
        </w:rPr>
        <w:t>the material terms of the units and of the securities comprising the units, including whether and under what circumstances those securities may be held or transferred separately;</w:t>
      </w:r>
    </w:p>
    <w:p>
      <w:pPr>
        <w:spacing w:after="0" w:line="227" w:lineRule="exact"/>
        <w:rPr>
          <w:rFonts w:ascii="Arial" w:cs="Arial" w:eastAsia="Arial" w:hAnsi="Arial"/>
          <w:sz w:val="30"/>
          <w:szCs w:val="30"/>
          <w:color w:val="auto"/>
          <w:vertAlign w:val="subscript"/>
        </w:rPr>
      </w:pPr>
    </w:p>
    <w:p>
      <w:pPr>
        <w:ind w:left="1200" w:hanging="632"/>
        <w:spacing w:after="0"/>
        <w:tabs>
          <w:tab w:leader="none" w:pos="1200" w:val="left"/>
        </w:tabs>
        <w:numPr>
          <w:ilvl w:val="0"/>
          <w:numId w:val="21"/>
        </w:numPr>
        <w:rPr>
          <w:rFonts w:ascii="Arial" w:cs="Arial" w:eastAsia="Arial" w:hAnsi="Arial"/>
          <w:sz w:val="15"/>
          <w:szCs w:val="15"/>
          <w:color w:val="auto"/>
        </w:rPr>
      </w:pPr>
      <w:r>
        <w:rPr>
          <w:rFonts w:ascii="Arial" w:cs="Arial" w:eastAsia="Arial" w:hAnsi="Arial"/>
          <w:sz w:val="15"/>
          <w:szCs w:val="15"/>
          <w:color w:val="auto"/>
        </w:rPr>
        <w:t>any material provisions relating to the issuance, payment, settlement, transfer or exchange of the units or of the securities comprising the units; and</w:t>
      </w:r>
    </w:p>
    <w:p>
      <w:pPr>
        <w:spacing w:after="0" w:line="256" w:lineRule="exact"/>
        <w:rPr>
          <w:rFonts w:ascii="Arial" w:cs="Arial" w:eastAsia="Arial" w:hAnsi="Arial"/>
          <w:sz w:val="15"/>
          <w:szCs w:val="15"/>
          <w:color w:val="auto"/>
        </w:rPr>
      </w:pPr>
    </w:p>
    <w:p>
      <w:pPr>
        <w:ind w:left="1200" w:hanging="632"/>
        <w:spacing w:after="0"/>
        <w:tabs>
          <w:tab w:leader="none" w:pos="120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any material provisions of the governing unit agreement that differ from those described above.</w:t>
      </w:r>
    </w:p>
    <w:p>
      <w:pPr>
        <w:spacing w:after="0" w:line="227" w:lineRule="exact"/>
        <w:rPr>
          <w:sz w:val="20"/>
          <w:szCs w:val="20"/>
          <w:color w:val="auto"/>
        </w:rPr>
      </w:pPr>
    </w:p>
    <w:p>
      <w:pPr>
        <w:jc w:val="both"/>
        <w:ind w:firstLine="572"/>
        <w:spacing w:after="0" w:line="311" w:lineRule="auto"/>
        <w:rPr>
          <w:sz w:val="20"/>
          <w:szCs w:val="20"/>
          <w:color w:val="auto"/>
        </w:rPr>
      </w:pPr>
      <w:r>
        <w:rPr>
          <w:rFonts w:ascii="Arial" w:cs="Arial" w:eastAsia="Arial" w:hAnsi="Arial"/>
          <w:sz w:val="17"/>
          <w:szCs w:val="17"/>
          <w:color w:val="auto"/>
        </w:rPr>
        <w:t>The description in the applicable prospectus supplement of any units we offer will not necessarily be complete and will be qualified in its entirety by reference to the applicable unit agreement, which will be filed with the SEC if we offer units. For more information on how you can obtain copies of the applicable unit agreement if we offer units, see “Where You Can Find More Information; Incorporation of Information by Reference” beginning on page 10. We urge you to read the applicable unit agreement and any applicable prospectus supplement in their entirety.</w:t>
      </w:r>
    </w:p>
    <w:p>
      <w:pPr>
        <w:spacing w:after="0" w:line="173" w:lineRule="exact"/>
        <w:rPr>
          <w:sz w:val="20"/>
          <w:szCs w:val="20"/>
          <w:color w:val="auto"/>
        </w:rPr>
      </w:pPr>
    </w:p>
    <w:p>
      <w:pPr>
        <w:ind w:left="4560"/>
        <w:spacing w:after="0"/>
        <w:rPr>
          <w:sz w:val="20"/>
          <w:szCs w:val="20"/>
          <w:color w:val="auto"/>
        </w:rPr>
      </w:pPr>
      <w:r>
        <w:rPr>
          <w:rFonts w:ascii="Arial" w:cs="Arial" w:eastAsia="Arial" w:hAnsi="Arial"/>
          <w:sz w:val="19"/>
          <w:szCs w:val="19"/>
          <w:b w:val="1"/>
          <w:bCs w:val="1"/>
          <w:color w:val="auto"/>
        </w:rPr>
        <w:t>PLAN OF DISTRIBUTION</w:t>
      </w:r>
    </w:p>
    <w:p>
      <w:pPr>
        <w:spacing w:after="0" w:line="265" w:lineRule="exact"/>
        <w:rPr>
          <w:sz w:val="20"/>
          <w:szCs w:val="20"/>
          <w:color w:val="auto"/>
        </w:rPr>
      </w:pPr>
    </w:p>
    <w:p>
      <w:pPr>
        <w:ind w:left="560"/>
        <w:spacing w:after="0"/>
        <w:rPr>
          <w:sz w:val="20"/>
          <w:szCs w:val="20"/>
          <w:color w:val="auto"/>
        </w:rPr>
      </w:pPr>
      <w:r>
        <w:rPr>
          <w:rFonts w:ascii="Arial" w:cs="Arial" w:eastAsia="Arial" w:hAnsi="Arial"/>
          <w:sz w:val="19"/>
          <w:szCs w:val="19"/>
          <w:color w:val="auto"/>
        </w:rPr>
        <w:t>The securities being offered by this prospectus may be sold:</w:t>
      </w:r>
    </w:p>
    <w:p>
      <w:pPr>
        <w:spacing w:after="0" w:line="253" w:lineRule="exact"/>
        <w:rPr>
          <w:sz w:val="20"/>
          <w:szCs w:val="20"/>
          <w:color w:val="auto"/>
        </w:rPr>
      </w:pPr>
    </w:p>
    <w:p>
      <w:pPr>
        <w:ind w:left="1200" w:hanging="632"/>
        <w:spacing w:after="0"/>
        <w:tabs>
          <w:tab w:leader="none" w:pos="12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through agents;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to or through one or more underwriters on a firm commitment or agency basis;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through put or call option transactions relating to the securities;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through broker-dealers;</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7" w:right="219" w:bottom="1440" w:gutter="0" w:footer="0" w:header="0"/>
        </w:sectPr>
      </w:pPr>
    </w:p>
    <w:bookmarkStart w:id="41" w:name="page42"/>
    <w:bookmarkEnd w:id="41"/>
    <w:p>
      <w:pPr>
        <w:ind w:left="1200" w:hanging="632"/>
        <w:spacing w:after="0"/>
        <w:tabs>
          <w:tab w:leader="none" w:pos="12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directly to purchasers, through a specific bidding or auction process, on a negotiated basis or otherwise;</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through any other method permitted pursuant to applicable law; or</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through a combination of any such methods of sale.</w:t>
      </w:r>
    </w:p>
    <w:p>
      <w:pPr>
        <w:spacing w:after="0" w:line="251" w:lineRule="exact"/>
        <w:rPr>
          <w:sz w:val="20"/>
          <w:szCs w:val="20"/>
          <w:color w:val="auto"/>
        </w:rPr>
      </w:pPr>
    </w:p>
    <w:p>
      <w:pPr>
        <w:jc w:val="both"/>
        <w:ind w:firstLine="572"/>
        <w:spacing w:after="0" w:line="281" w:lineRule="auto"/>
        <w:rPr>
          <w:sz w:val="20"/>
          <w:szCs w:val="20"/>
          <w:color w:val="auto"/>
        </w:rPr>
      </w:pPr>
      <w:r>
        <w:rPr>
          <w:rFonts w:ascii="Arial" w:cs="Arial" w:eastAsia="Arial" w:hAnsi="Arial"/>
          <w:sz w:val="18"/>
          <w:szCs w:val="18"/>
          <w:color w:val="auto"/>
        </w:rPr>
        <w:t>At any time a particular offer of the securities covered by this prospectus is made, a revised prospectus or prospectus supplement, if required, will be distributed which will set forth the aggregate amount of securities covered by this prospectus being offered and the terms of the offering, including the name or names of any underwriters, dealers, brokers or agents, any discounts, commissions, concessions and other items constituting compensation from us and any discounts, commissions or concessions allowed or reallowed or paid to dealers. Such prospectus supplement, and, if necessary, a post-effective amendment to the registration statement of which this prospectus is a part, will be filed with the SEC to reflect the disclosure of additional information with respect to the distribution of the securities covered by this prospectus. In order to comply with the securities laws of certain states, if applicable, the securities sold under this prospectus may only be sold through registered or licensed broker-dealers. In addition, in some states the securities may not be sold unless they have been registered or qualified for sale in the applicable state or an exemption from registration or qualification requirements is available and is complied with.</w:t>
      </w:r>
    </w:p>
    <w:p>
      <w:pPr>
        <w:spacing w:after="0" w:line="204" w:lineRule="exact"/>
        <w:rPr>
          <w:sz w:val="20"/>
          <w:szCs w:val="20"/>
          <w:color w:val="auto"/>
        </w:rPr>
      </w:pPr>
    </w:p>
    <w:p>
      <w:pPr>
        <w:jc w:val="both"/>
        <w:ind w:firstLine="572"/>
        <w:spacing w:after="0" w:line="282" w:lineRule="auto"/>
        <w:rPr>
          <w:sz w:val="20"/>
          <w:szCs w:val="20"/>
          <w:color w:val="auto"/>
        </w:rPr>
      </w:pPr>
      <w:r>
        <w:rPr>
          <w:rFonts w:ascii="Arial" w:cs="Arial" w:eastAsia="Arial" w:hAnsi="Arial"/>
          <w:sz w:val="18"/>
          <w:szCs w:val="18"/>
          <w:color w:val="auto"/>
        </w:rPr>
        <w:t>The distribution of securities may be effected from time to time in one or more transactions, including block transactions and transactions on the Nasdaq Global Market or any other organized market where the securities may be traded. The securities may be sold at a fixed price or prices, which may be changed, or at market prices prevailing at the time of sale, at prices relating to the prevailing market prices or at negotiated prices. The consideration may be cash or another form negotiated by the parties. Agents, underwriters or broker-dealers may be paid compensation for offering and selling the securities. That compensation may be in the form of discounts, concessions or commissions to be received from us or from the purchasers of the securities. Any dealers and agents participating in the distribution of the securities may be deemed to be underwriters, and compensation received by them on resale of the securities may be deemed to be underwriting discounts. If any such dealers or agents were deemed to be underwriters, they may be subject to statutory liabilities under the Securities Act.</w:t>
      </w:r>
    </w:p>
    <w:p>
      <w:pPr>
        <w:spacing w:after="0" w:line="201" w:lineRule="exact"/>
        <w:rPr>
          <w:sz w:val="20"/>
          <w:szCs w:val="20"/>
          <w:color w:val="auto"/>
        </w:rPr>
      </w:pPr>
    </w:p>
    <w:p>
      <w:pPr>
        <w:jc w:val="both"/>
        <w:ind w:firstLine="572"/>
        <w:spacing w:after="0" w:line="290" w:lineRule="auto"/>
        <w:rPr>
          <w:sz w:val="20"/>
          <w:szCs w:val="20"/>
          <w:color w:val="auto"/>
        </w:rPr>
      </w:pPr>
      <w:r>
        <w:rPr>
          <w:rFonts w:ascii="Arial" w:cs="Arial" w:eastAsia="Arial" w:hAnsi="Arial"/>
          <w:sz w:val="18"/>
          <w:szCs w:val="18"/>
          <w:color w:val="auto"/>
        </w:rPr>
        <w:t>Agents may from time to time solicit offers to purchase the securities. If required, we will name in the applicable prospectus supplement any agent involved in the offer or sale of the securities and set forth any compensation payable to the agent. Unless otherwise indicated in the prospectus supplement, any agent will be acting on a best efforts basis for the period of its appointment. Any agent selling the securities covered by this prospectus may be deemed to be an underwriter, as that term is defined in the Securities Act, of the securities.</w:t>
      </w:r>
    </w:p>
    <w:p>
      <w:pPr>
        <w:spacing w:after="0" w:line="192" w:lineRule="exact"/>
        <w:rPr>
          <w:sz w:val="20"/>
          <w:szCs w:val="20"/>
          <w:color w:val="auto"/>
        </w:rPr>
      </w:pPr>
    </w:p>
    <w:p>
      <w:pPr>
        <w:jc w:val="both"/>
        <w:ind w:firstLine="572"/>
        <w:spacing w:after="0" w:line="265" w:lineRule="auto"/>
        <w:rPr>
          <w:sz w:val="20"/>
          <w:szCs w:val="20"/>
          <w:color w:val="auto"/>
        </w:rPr>
      </w:pPr>
      <w:r>
        <w:rPr>
          <w:rFonts w:ascii="Arial" w:cs="Arial" w:eastAsia="Arial" w:hAnsi="Arial"/>
          <w:sz w:val="19"/>
          <w:szCs w:val="19"/>
          <w:color w:val="auto"/>
        </w:rPr>
        <w:t>If underwriters are used in a sale, securities will be acquired by the underwriters for their own account and may be resold from time to time in one or more transactions, including negotiated transactions, at a fixed public offering price or at varying prices determined at the time of sale, or under delayed delivery contracts or other contractual commitments. Securities may be offered to the public either through underwriting syndicates represented by one or more managing underwriters or directly by one or more firms acting as underwriters. If an underwriter or underwriters are used in the sale of securities, an underwriting agreement will be executed with the underwriter or underwriters, as well as any other underwriter or underwriters, with respect to a particular underwritten offering of securities, and will set forth the terms of the transactions, including compensation of the underwriters and dealers and the public offering price, if applicable. The prospectus and prospectus supplement will be used by the underwriters to resell the securities.</w:t>
      </w:r>
    </w:p>
    <w:p>
      <w:pPr>
        <w:spacing w:after="0" w:line="217"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If a dealer is used in the sale of the securities, we or an underwriter will sell the securities to the dealer, as principal. The dealer may then resell the securities to the public at varying prices to be determined by the dealer at the time of resale. To the extent required, we will set forth in the prospectus supplement the name of the dealer and the terms of the transactions.</w:t>
      </w:r>
    </w:p>
    <w:p>
      <w:pPr>
        <w:spacing w:after="0" w:line="206" w:lineRule="exact"/>
        <w:rPr>
          <w:sz w:val="20"/>
          <w:szCs w:val="20"/>
          <w:color w:val="auto"/>
        </w:rPr>
      </w:pPr>
    </w:p>
    <w:p>
      <w:pPr>
        <w:jc w:val="both"/>
        <w:ind w:right="20" w:firstLine="572"/>
        <w:spacing w:after="0" w:line="321" w:lineRule="auto"/>
        <w:rPr>
          <w:sz w:val="20"/>
          <w:szCs w:val="20"/>
          <w:color w:val="auto"/>
        </w:rPr>
      </w:pPr>
      <w:r>
        <w:rPr>
          <w:rFonts w:ascii="Arial" w:cs="Arial" w:eastAsia="Arial" w:hAnsi="Arial"/>
          <w:sz w:val="17"/>
          <w:szCs w:val="17"/>
          <w:color w:val="auto"/>
        </w:rPr>
        <w:t>We may directly solicit offers to purchase the securities and may make sales of securities directly to institutional investors or others. These persons may be deemed to be underwriters within the meaning of the Securities Act with respect to any resale of the securities. To the extent required, the prospectus supplement will describe the terms of any such sales, including the terms of any bidding or auction process, if used.</w:t>
      </w:r>
    </w:p>
    <w:p>
      <w:pPr>
        <w:spacing w:after="0" w:line="170" w:lineRule="exact"/>
        <w:rPr>
          <w:sz w:val="20"/>
          <w:szCs w:val="20"/>
          <w:color w:val="auto"/>
        </w:rPr>
      </w:pPr>
    </w:p>
    <w:p>
      <w:pPr>
        <w:jc w:val="both"/>
        <w:ind w:firstLine="572"/>
        <w:spacing w:after="0" w:line="268" w:lineRule="auto"/>
        <w:rPr>
          <w:sz w:val="20"/>
          <w:szCs w:val="20"/>
          <w:color w:val="auto"/>
        </w:rPr>
      </w:pPr>
      <w:r>
        <w:rPr>
          <w:rFonts w:ascii="Arial" w:cs="Arial" w:eastAsia="Arial" w:hAnsi="Arial"/>
          <w:sz w:val="19"/>
          <w:szCs w:val="19"/>
          <w:color w:val="auto"/>
        </w:rPr>
        <w:t>Agents, underwriters and dealers may be entitled under agreements which may be entered into with us to indemnification by us against specified liabilities, including liabilities incurred under the Securities Act, or to contribution by us to payments they may be required to make in respect of such liabilities. If required, the prospectus supplement will describe the terms and conditions of the indemnification or contribution. Some of the agents, underwriters or dealers, or their affiliates may be customers of, engage in transactions with or perform services for us or our subsidiaries.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7" w:right="219" w:bottom="1440" w:gutter="0" w:footer="0" w:header="0"/>
        </w:sectPr>
      </w:pPr>
    </w:p>
    <w:bookmarkStart w:id="42" w:name="page43"/>
    <w:bookmarkEnd w:id="42"/>
    <w:p>
      <w:pPr>
        <w:jc w:val="both"/>
        <w:ind w:right="20" w:firstLine="572"/>
        <w:spacing w:after="0" w:line="267" w:lineRule="auto"/>
        <w:rPr>
          <w:sz w:val="20"/>
          <w:szCs w:val="20"/>
          <w:color w:val="auto"/>
        </w:rPr>
      </w:pPr>
      <w:r>
        <w:rPr>
          <w:rFonts w:ascii="Arial" w:cs="Arial" w:eastAsia="Arial" w:hAnsi="Arial"/>
          <w:sz w:val="19"/>
          <w:szCs w:val="19"/>
          <w:color w:val="auto"/>
        </w:rPr>
        <w:t>Any person participating in the distribution of securities registered under the registration statement that includes this prospectus will be subject to applicable provisions of the Securities Exchange Act of 1934, as amended, or the Exchange Act, and the applicable SEC rules and regulations, including, among others, Regulation M, which may limit the timing of purchases and sales of any of our securities by that person. Furthermore, Regulation M may restrict the ability of any person engaged in the distribution of our securities to engage in market-making activities with respect to our securities. These restrictions may affect the marketability of our securities and the ability of any person or entity to engage in market-making activities with respect to our securities.</w:t>
      </w:r>
    </w:p>
    <w:p>
      <w:pPr>
        <w:spacing w:after="0" w:line="211" w:lineRule="exact"/>
        <w:rPr>
          <w:sz w:val="20"/>
          <w:szCs w:val="20"/>
          <w:color w:val="auto"/>
        </w:rPr>
      </w:pPr>
    </w:p>
    <w:p>
      <w:pPr>
        <w:jc w:val="both"/>
        <w:ind w:firstLine="572"/>
        <w:spacing w:after="0" w:line="270" w:lineRule="auto"/>
        <w:rPr>
          <w:sz w:val="20"/>
          <w:szCs w:val="20"/>
          <w:color w:val="auto"/>
        </w:rPr>
      </w:pPr>
      <w:r>
        <w:rPr>
          <w:rFonts w:ascii="Arial" w:cs="Arial" w:eastAsia="Arial" w:hAnsi="Arial"/>
          <w:sz w:val="19"/>
          <w:szCs w:val="19"/>
          <w:color w:val="auto"/>
        </w:rPr>
        <w:t>Certain persons participating in an offering may engage in over-allotment, stabilizing transactions, short-covering transactions, penalty bids and other transactions that stabilize, maintain or otherwise affect the price of the offered securities. These activities may maintain the price of the offered securities at levels above those that might otherwise prevail in the open market, including by entering stabilizing bids, effecting syndicate covering transactions or imposing penalty bids, each of which is described below.</w:t>
      </w:r>
    </w:p>
    <w:p>
      <w:pPr>
        <w:spacing w:after="0" w:line="204" w:lineRule="exact"/>
        <w:rPr>
          <w:sz w:val="20"/>
          <w:szCs w:val="20"/>
          <w:color w:val="auto"/>
        </w:rPr>
      </w:pPr>
    </w:p>
    <w:p>
      <w:pPr>
        <w:ind w:left="1200" w:hanging="632"/>
        <w:spacing w:after="0"/>
        <w:tabs>
          <w:tab w:leader="none" w:pos="1200" w:val="left"/>
        </w:tabs>
        <w:numPr>
          <w:ilvl w:val="0"/>
          <w:numId w:val="24"/>
        </w:numPr>
        <w:rPr>
          <w:rFonts w:ascii="Arial" w:cs="Arial" w:eastAsia="Arial" w:hAnsi="Arial"/>
          <w:sz w:val="15"/>
          <w:szCs w:val="15"/>
          <w:color w:val="auto"/>
        </w:rPr>
      </w:pPr>
      <w:r>
        <w:rPr>
          <w:rFonts w:ascii="Arial" w:cs="Arial" w:eastAsia="Arial" w:hAnsi="Arial"/>
          <w:sz w:val="15"/>
          <w:szCs w:val="15"/>
          <w:color w:val="auto"/>
        </w:rPr>
        <w:t>A stabilizing bid means the placing of any bid, or the effecting of any purchase, for the purpose of pegging, fixing or maintaining the price of a security.</w:t>
      </w:r>
    </w:p>
    <w:p>
      <w:pPr>
        <w:spacing w:after="0" w:line="256" w:lineRule="exact"/>
        <w:rPr>
          <w:rFonts w:ascii="Arial" w:cs="Arial" w:eastAsia="Arial" w:hAnsi="Arial"/>
          <w:sz w:val="15"/>
          <w:szCs w:val="15"/>
          <w:color w:val="auto"/>
        </w:rPr>
      </w:pPr>
    </w:p>
    <w:p>
      <w:pPr>
        <w:ind w:left="620" w:right="40" w:hanging="52"/>
        <w:spacing w:after="0" w:line="182" w:lineRule="auto"/>
        <w:tabs>
          <w:tab w:leader="none" w:pos="1193" w:val="left"/>
        </w:tabs>
        <w:numPr>
          <w:ilvl w:val="0"/>
          <w:numId w:val="24"/>
        </w:numPr>
        <w:rPr>
          <w:rFonts w:ascii="Arial" w:cs="Arial" w:eastAsia="Arial" w:hAnsi="Arial"/>
          <w:sz w:val="30"/>
          <w:szCs w:val="30"/>
          <w:color w:val="auto"/>
          <w:vertAlign w:val="subscript"/>
        </w:rPr>
      </w:pPr>
      <w:r>
        <w:rPr>
          <w:rFonts w:ascii="Arial" w:cs="Arial" w:eastAsia="Arial" w:hAnsi="Arial"/>
          <w:sz w:val="15"/>
          <w:szCs w:val="15"/>
          <w:color w:val="auto"/>
        </w:rPr>
        <w:t>A syndicate covering transaction means the placing of any bid on behalf of the underwriting syndicate or the effecting of any purchase to reduce a short position created in connection with the offering.</w:t>
      </w:r>
    </w:p>
    <w:p>
      <w:pPr>
        <w:spacing w:after="0" w:line="227" w:lineRule="exact"/>
        <w:rPr>
          <w:rFonts w:ascii="Arial" w:cs="Arial" w:eastAsia="Arial" w:hAnsi="Arial"/>
          <w:sz w:val="30"/>
          <w:szCs w:val="30"/>
          <w:color w:val="auto"/>
          <w:vertAlign w:val="subscript"/>
        </w:rPr>
      </w:pPr>
    </w:p>
    <w:p>
      <w:pPr>
        <w:ind w:left="620" w:right="320" w:hanging="52"/>
        <w:spacing w:after="0" w:line="182" w:lineRule="auto"/>
        <w:tabs>
          <w:tab w:leader="none" w:pos="1193" w:val="left"/>
        </w:tabs>
        <w:numPr>
          <w:ilvl w:val="0"/>
          <w:numId w:val="24"/>
        </w:numPr>
        <w:rPr>
          <w:rFonts w:ascii="Arial" w:cs="Arial" w:eastAsia="Arial" w:hAnsi="Arial"/>
          <w:sz w:val="30"/>
          <w:szCs w:val="30"/>
          <w:color w:val="auto"/>
          <w:vertAlign w:val="subscript"/>
        </w:rPr>
      </w:pPr>
      <w:r>
        <w:rPr>
          <w:rFonts w:ascii="Arial" w:cs="Arial" w:eastAsia="Arial" w:hAnsi="Arial"/>
          <w:sz w:val="15"/>
          <w:szCs w:val="15"/>
          <w:color w:val="auto"/>
        </w:rPr>
        <w:t>A penalty bid means an arrangement that permits the managing underwriter to reclaim a selling concession from a syndicate member in connection with the offering when offered securities originally sold by the syndicate member are purchased in syndicate covering transactions.</w:t>
      </w:r>
    </w:p>
    <w:p>
      <w:pPr>
        <w:spacing w:after="0" w:line="233"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These transactions may be effected on an exchange or automated quotation system, if the securities are listed on that exchange or admitted for trading on that automated quotation system, or in the over-the-counter market or otherwise.</w:t>
      </w:r>
    </w:p>
    <w:p>
      <w:pPr>
        <w:spacing w:after="0" w:line="193" w:lineRule="exact"/>
        <w:rPr>
          <w:sz w:val="20"/>
          <w:szCs w:val="20"/>
          <w:color w:val="auto"/>
        </w:rPr>
      </w:pPr>
    </w:p>
    <w:p>
      <w:pPr>
        <w:jc w:val="both"/>
        <w:ind w:firstLine="572"/>
        <w:spacing w:after="0" w:line="311" w:lineRule="auto"/>
        <w:rPr>
          <w:sz w:val="20"/>
          <w:szCs w:val="20"/>
          <w:color w:val="auto"/>
        </w:rPr>
      </w:pPr>
      <w:r>
        <w:rPr>
          <w:rFonts w:ascii="Arial" w:cs="Arial" w:eastAsia="Arial" w:hAnsi="Arial"/>
          <w:sz w:val="17"/>
          <w:szCs w:val="17"/>
          <w:color w:val="auto"/>
        </w:rPr>
        <w:t>If so indicated in the applicable prospectus supplement, we will authorize agents, underwriters or dealers to solicit offers from certain types of institutions to purchase offered securities from us at the public offering price set forth in such prospectus supplement pursuant to delayed delivery contracts providing for payment and delivery on a specified date in the future. Such contracts will be subject only to those conditions set forth in the prospectus supplement and the prospectus supplement will set forth the commission payable for solicitation of such contracts.</w:t>
      </w:r>
    </w:p>
    <w:p>
      <w:pPr>
        <w:spacing w:after="0" w:line="179" w:lineRule="exact"/>
        <w:rPr>
          <w:sz w:val="20"/>
          <w:szCs w:val="20"/>
          <w:color w:val="auto"/>
        </w:rPr>
      </w:pPr>
    </w:p>
    <w:p>
      <w:pPr>
        <w:ind w:left="560"/>
        <w:spacing w:after="0"/>
        <w:rPr>
          <w:sz w:val="20"/>
          <w:szCs w:val="20"/>
          <w:color w:val="auto"/>
        </w:rPr>
      </w:pPr>
      <w:r>
        <w:rPr>
          <w:rFonts w:ascii="Arial" w:cs="Arial" w:eastAsia="Arial" w:hAnsi="Arial"/>
          <w:sz w:val="19"/>
          <w:szCs w:val="19"/>
          <w:color w:val="auto"/>
        </w:rPr>
        <w:t>In addition, ordinary shares may be issued upon conversion of or in exchange for debt securities or other securities.</w:t>
      </w:r>
    </w:p>
    <w:p>
      <w:pPr>
        <w:spacing w:after="0" w:line="259" w:lineRule="exact"/>
        <w:rPr>
          <w:sz w:val="20"/>
          <w:szCs w:val="20"/>
          <w:color w:val="auto"/>
        </w:rPr>
      </w:pPr>
    </w:p>
    <w:p>
      <w:pPr>
        <w:jc w:val="both"/>
        <w:ind w:firstLine="572"/>
        <w:spacing w:after="0" w:line="296" w:lineRule="auto"/>
        <w:rPr>
          <w:sz w:val="20"/>
          <w:szCs w:val="20"/>
          <w:color w:val="auto"/>
        </w:rPr>
      </w:pPr>
      <w:r>
        <w:rPr>
          <w:rFonts w:ascii="Arial" w:cs="Arial" w:eastAsia="Arial" w:hAnsi="Arial"/>
          <w:sz w:val="18"/>
          <w:szCs w:val="18"/>
          <w:color w:val="auto"/>
        </w:rPr>
        <w:t>Any underwriters to whom offered securities are sold for public offering and sale may make a market in such offered securities, but such underwriters will not be obligated to do so and may discontinue any market making at any time without notice. The offered securities may or may not be listed on a national securities exchange. No assurance can be given that there will be a market for the offered securities.</w:t>
      </w:r>
    </w:p>
    <w:p>
      <w:pPr>
        <w:spacing w:after="0" w:line="188" w:lineRule="exact"/>
        <w:rPr>
          <w:sz w:val="20"/>
          <w:szCs w:val="20"/>
          <w:color w:val="auto"/>
        </w:rPr>
      </w:pPr>
    </w:p>
    <w:p>
      <w:pPr>
        <w:jc w:val="both"/>
        <w:ind w:right="20" w:firstLine="572"/>
        <w:spacing w:after="0" w:line="287" w:lineRule="auto"/>
        <w:rPr>
          <w:sz w:val="20"/>
          <w:szCs w:val="20"/>
          <w:color w:val="auto"/>
        </w:rPr>
      </w:pPr>
      <w:r>
        <w:rPr>
          <w:rFonts w:ascii="Arial" w:cs="Arial" w:eastAsia="Arial" w:hAnsi="Arial"/>
          <w:sz w:val="19"/>
          <w:szCs w:val="19"/>
          <w:color w:val="auto"/>
        </w:rPr>
        <w:t>Any securities that qualify for sale pursuant to Rule 144 or Regulation S under the Securities Act, may be sold under Rule 144 or Regulation S rather than pursuant to this prospectus.</w:t>
      </w:r>
    </w:p>
    <w:p>
      <w:pPr>
        <w:spacing w:after="0" w:line="193" w:lineRule="exact"/>
        <w:rPr>
          <w:sz w:val="20"/>
          <w:szCs w:val="20"/>
          <w:color w:val="auto"/>
        </w:rPr>
      </w:pPr>
    </w:p>
    <w:p>
      <w:pPr>
        <w:jc w:val="both"/>
        <w:ind w:firstLine="572"/>
        <w:spacing w:after="0" w:line="281" w:lineRule="auto"/>
        <w:rPr>
          <w:sz w:val="20"/>
          <w:szCs w:val="20"/>
          <w:color w:val="auto"/>
        </w:rPr>
      </w:pPr>
      <w:r>
        <w:rPr>
          <w:rFonts w:ascii="Arial" w:cs="Arial" w:eastAsia="Arial" w:hAnsi="Arial"/>
          <w:sz w:val="18"/>
          <w:szCs w:val="18"/>
          <w:color w:val="auto"/>
        </w:rPr>
        <w:t>To the extent that we make sales to or through one or more underwriters or agents in at-the-market offerings, we will do so pursuant to the terms of a distribution agreement between us and the underwriters or agents. If we engage in at-the-market sales pursuant to a distribution agreement, we will sell our ordinary shares to or through one or more underwriters or agents, which may act on an agency basis or on a principal basis. During the term of any such agreement, we may sell ordinary shares on a daily basis in exchange transactions or otherwise as we agree with the underwriters or agents. The distribution agreement will provide that any ordinary shares sold will be sold at prices related to the then prevailing market prices for our ordinary shares. Therefore, exact figures regarding proceeds that will be raised or commissions to be paid cannot be determined at this time and will be described in a prospectus supplement. Pursuant to the terms of the distribution agreement, we also may agree to sell, and the relevant underwriters or agents may agree to solicit offers to purchase, blocks of our ordinary shares or warrants. The terms of each such distribution agreement will be set forth in more detail in a prospectus supplement to this prospectus.</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32" w:right="219" w:bottom="1440" w:gutter="0" w:footer="0" w:header="0"/>
        </w:sectPr>
      </w:pPr>
    </w:p>
    <w:bookmarkStart w:id="43" w:name="page44"/>
    <w:bookmarkEnd w:id="43"/>
    <w:p>
      <w:pPr>
        <w:jc w:val="both"/>
        <w:ind w:firstLine="572"/>
        <w:spacing w:after="0" w:line="268" w:lineRule="auto"/>
        <w:rPr>
          <w:sz w:val="20"/>
          <w:szCs w:val="20"/>
          <w:color w:val="auto"/>
        </w:rPr>
      </w:pPr>
      <w:r>
        <w:rPr>
          <w:rFonts w:ascii="Arial" w:cs="Arial" w:eastAsia="Arial" w:hAnsi="Arial"/>
          <w:sz w:val="19"/>
          <w:szCs w:val="19"/>
          <w:color w:val="auto"/>
        </w:rPr>
        <w:t>In connection with offerings made through underwriters or agents, we may enter into agreements with such underwriters or agents pursuant to which we receive our outstanding securities in consideration for the securities being offered to the public for cash. In connection with these arrangements, the underwriters or agents may also sell securities covered by this prospectus to hedge their positions in these outstanding securities, including in short sale transactions. If so, the underwriters or agents may use the securities received from us under these arrangements to close out any related open borrowings of securities.</w:t>
      </w:r>
    </w:p>
    <w:p>
      <w:pPr>
        <w:spacing w:after="0" w:line="211" w:lineRule="exact"/>
        <w:rPr>
          <w:sz w:val="20"/>
          <w:szCs w:val="20"/>
          <w:color w:val="auto"/>
        </w:rPr>
      </w:pPr>
    </w:p>
    <w:p>
      <w:pPr>
        <w:jc w:val="both"/>
        <w:ind w:firstLine="572"/>
        <w:spacing w:after="0" w:line="283" w:lineRule="auto"/>
        <w:rPr>
          <w:sz w:val="20"/>
          <w:szCs w:val="20"/>
          <w:color w:val="auto"/>
        </w:rPr>
      </w:pPr>
      <w:r>
        <w:rPr>
          <w:rFonts w:ascii="Arial" w:cs="Arial" w:eastAsia="Arial" w:hAnsi="Arial"/>
          <w:sz w:val="18"/>
          <w:szCs w:val="18"/>
          <w:color w:val="auto"/>
        </w:rPr>
        <w:t>We may enter into derivative transactions with third parties or sell securities not covered by this prospectus to third parties in privately negotiated transactions. If the applicable prospectus supplement indicates, in connection with those derivatives, such third parties (or affiliates of such third parties) may sell securities covered by this prospectus and the applicable prospectus supplement, including in short sale transactions. If so, such third parties (or affiliates of such third parties) may use securities pledged by us or borrowed from us or others to settle those sales or to close out any related open borrowings of shares, and may use securities received from us in settlement of those derivatives to close out any related open borrowings of shares. The third parties (or affiliates of such third parties) in such sale transactions will be underwriters and, if not identified in this prospectus, will be identified in the applicable prospectus supplement (or a post-effective amendment).</w:t>
      </w:r>
    </w:p>
    <w:p>
      <w:pPr>
        <w:spacing w:after="0" w:line="200" w:lineRule="exact"/>
        <w:rPr>
          <w:sz w:val="20"/>
          <w:szCs w:val="20"/>
          <w:color w:val="auto"/>
        </w:rPr>
      </w:pPr>
    </w:p>
    <w:p>
      <w:pPr>
        <w:jc w:val="both"/>
        <w:ind w:right="20" w:firstLine="572"/>
        <w:spacing w:after="0" w:line="296" w:lineRule="auto"/>
        <w:rPr>
          <w:sz w:val="20"/>
          <w:szCs w:val="20"/>
          <w:color w:val="auto"/>
        </w:rPr>
      </w:pPr>
      <w:r>
        <w:rPr>
          <w:rFonts w:ascii="Arial" w:cs="Arial" w:eastAsia="Arial" w:hAnsi="Arial"/>
          <w:sz w:val="18"/>
          <w:szCs w:val="18"/>
          <w:color w:val="auto"/>
        </w:rPr>
        <w:t>We may loan or pledge securities to a financial institution or other third party that in turn may sell the securities using this prospectus. Such financial institution or third party may transfer its short position to investors in our securities or in connection with a simultaneous offering of other securities offered by this prospectus or in connection with a simultaneous offering of other securities offered by this prospectus.</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32" w:right="219" w:bottom="1440" w:gutter="0" w:footer="0" w:header="0"/>
        </w:sectPr>
      </w:pPr>
    </w:p>
    <w:bookmarkStart w:id="44" w:name="page45"/>
    <w:bookmarkEnd w:id="44"/>
    <w:p>
      <w:pPr>
        <w:jc w:val="center"/>
        <w:spacing w:after="0"/>
        <w:rPr>
          <w:sz w:val="20"/>
          <w:szCs w:val="20"/>
          <w:color w:val="auto"/>
        </w:rPr>
      </w:pPr>
      <w:r>
        <w:rPr>
          <w:rFonts w:ascii="Arial" w:cs="Arial" w:eastAsia="Arial" w:hAnsi="Arial"/>
          <w:sz w:val="19"/>
          <w:szCs w:val="19"/>
          <w:b w:val="1"/>
          <w:bCs w:val="1"/>
          <w:color w:val="auto"/>
        </w:rPr>
        <w:t>LEGAL MATTERS</w:t>
      </w:r>
    </w:p>
    <w:p>
      <w:pPr>
        <w:spacing w:after="0" w:line="265" w:lineRule="exact"/>
        <w:rPr>
          <w:sz w:val="20"/>
          <w:szCs w:val="20"/>
          <w:color w:val="auto"/>
        </w:rPr>
      </w:pPr>
    </w:p>
    <w:p>
      <w:pPr>
        <w:jc w:val="both"/>
        <w:ind w:firstLine="572"/>
        <w:spacing w:after="0" w:line="274" w:lineRule="auto"/>
        <w:rPr>
          <w:sz w:val="20"/>
          <w:szCs w:val="20"/>
          <w:color w:val="auto"/>
        </w:rPr>
      </w:pPr>
      <w:r>
        <w:rPr>
          <w:rFonts w:ascii="Arial" w:cs="Arial" w:eastAsia="Arial" w:hAnsi="Arial"/>
          <w:sz w:val="19"/>
          <w:szCs w:val="19"/>
          <w:color w:val="auto"/>
        </w:rPr>
        <w:t>Certain legal matters with respect to Israeli law and with respect to the validity of the offered securities under Israeli law will be passed upon for us by Gross, Kleinhendler, Hodak, Halevy, Greenberg, Shenhav &amp; Co. Certain legal matters with respect to U.S. law will be passed upon for us by Latham &amp; Watkins LLP, New York, New York.</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EXPERTS</w:t>
      </w:r>
    </w:p>
    <w:p>
      <w:pPr>
        <w:spacing w:after="0" w:line="265" w:lineRule="exact"/>
        <w:rPr>
          <w:sz w:val="20"/>
          <w:szCs w:val="20"/>
          <w:color w:val="auto"/>
        </w:rPr>
      </w:pPr>
    </w:p>
    <w:p>
      <w:pPr>
        <w:jc w:val="both"/>
        <w:ind w:firstLine="572"/>
        <w:spacing w:after="0" w:line="270" w:lineRule="auto"/>
        <w:rPr>
          <w:sz w:val="20"/>
          <w:szCs w:val="20"/>
          <w:color w:val="auto"/>
        </w:rPr>
      </w:pPr>
      <w:r>
        <w:rPr>
          <w:rFonts w:ascii="Arial" w:cs="Arial" w:eastAsia="Arial" w:hAnsi="Arial"/>
          <w:sz w:val="19"/>
          <w:szCs w:val="19"/>
          <w:color w:val="auto"/>
        </w:rPr>
        <w:t>The financial statements incorporated in this prospectus by reference to the Annual Report on Form 20-F for the year ended December 31, 2018 have been so incorporated in reliance on the report of Kesselman &amp; Kesselman, Certified Public Accountants (Isr.), a member firm of PricewaterhouseCoopers International Limited, an independent registered public accounting firm, given on the authority of said firm as experts in auditing and accounting.</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WHERE YOU CAN FIND MORE INFORMATION</w:t>
      </w:r>
    </w:p>
    <w:p>
      <w:pPr>
        <w:spacing w:after="0" w:line="265" w:lineRule="exact"/>
        <w:rPr>
          <w:sz w:val="20"/>
          <w:szCs w:val="20"/>
          <w:color w:val="auto"/>
        </w:rPr>
      </w:pPr>
    </w:p>
    <w:p>
      <w:pPr>
        <w:jc w:val="both"/>
        <w:ind w:firstLine="572"/>
        <w:spacing w:after="0" w:line="270" w:lineRule="auto"/>
        <w:rPr>
          <w:sz w:val="20"/>
          <w:szCs w:val="20"/>
          <w:color w:val="auto"/>
        </w:rPr>
      </w:pPr>
      <w:r>
        <w:rPr>
          <w:rFonts w:ascii="Arial" w:cs="Arial" w:eastAsia="Arial" w:hAnsi="Arial"/>
          <w:sz w:val="19"/>
          <w:szCs w:val="19"/>
          <w:color w:val="auto"/>
        </w:rPr>
        <w:t>We have filed with the SEC a registration statement on Form F-3 under the Securities Act, with respect to the securities offered by this prospectus. However, as is permitted by the rules and regulations of the SEC, this prospectus, which is part of our registration statement on Form F-3, omits certain non-material information, exhibits, schedules and undertakings set forth in the registration statement. For further information about us, and the securities offered by this prospectus, please refer to the registration statement.</w:t>
      </w:r>
    </w:p>
    <w:p>
      <w:pPr>
        <w:spacing w:after="0" w:line="209" w:lineRule="exact"/>
        <w:rPr>
          <w:sz w:val="20"/>
          <w:szCs w:val="20"/>
          <w:color w:val="auto"/>
        </w:rPr>
      </w:pPr>
    </w:p>
    <w:p>
      <w:pPr>
        <w:jc w:val="both"/>
        <w:ind w:right="20" w:firstLine="572"/>
        <w:spacing w:after="0" w:line="321" w:lineRule="auto"/>
        <w:rPr>
          <w:sz w:val="20"/>
          <w:szCs w:val="20"/>
          <w:color w:val="auto"/>
        </w:rPr>
      </w:pPr>
      <w:r>
        <w:rPr>
          <w:rFonts w:ascii="Arial" w:cs="Arial" w:eastAsia="Arial" w:hAnsi="Arial"/>
          <w:sz w:val="17"/>
          <w:szCs w:val="17"/>
          <w:color w:val="auto"/>
        </w:rPr>
        <w:t>We are subject to the reporting requirements of the Exchange Act that are applicable to a foreign private issuer. In accordance with the Exchange Act, we file reports, including annual reports on Form 20-F by April 30 of each year. We also furnish to the SEC under cover of Form 6-K material information required to be made public in Israel, filed with and made public by any stock exchange or distributed by us to our shareholders.</w:t>
      </w:r>
    </w:p>
    <w:p>
      <w:pPr>
        <w:spacing w:after="0" w:line="170" w:lineRule="exact"/>
        <w:rPr>
          <w:sz w:val="20"/>
          <w:szCs w:val="20"/>
          <w:color w:val="auto"/>
        </w:rPr>
      </w:pPr>
    </w:p>
    <w:p>
      <w:pPr>
        <w:jc w:val="both"/>
        <w:ind w:firstLine="572"/>
        <w:spacing w:after="0" w:line="287" w:lineRule="auto"/>
        <w:rPr>
          <w:sz w:val="20"/>
          <w:szCs w:val="20"/>
          <w:color w:val="auto"/>
        </w:rPr>
      </w:pPr>
      <w:r>
        <w:rPr>
          <w:rFonts w:ascii="Arial" w:cs="Arial" w:eastAsia="Arial" w:hAnsi="Arial"/>
          <w:sz w:val="19"/>
          <w:szCs w:val="19"/>
          <w:color w:val="auto"/>
        </w:rPr>
        <w:t>The SEC maintains an Internet site that contains reports, proxy and information statements, and other information regarding issuers, such as us, that file electronically with the SEC (</w:t>
      </w:r>
      <w:r>
        <w:rPr>
          <w:rFonts w:ascii="Arial" w:cs="Arial" w:eastAsia="Arial" w:hAnsi="Arial"/>
          <w:sz w:val="19"/>
          <w:szCs w:val="19"/>
          <w:i w:val="1"/>
          <w:iCs w:val="1"/>
          <w:color w:val="auto"/>
        </w:rPr>
        <w:t>http://www.sec.gov</w:t>
      </w:r>
      <w:r>
        <w:rPr>
          <w:rFonts w:ascii="Arial" w:cs="Arial" w:eastAsia="Arial" w:hAnsi="Arial"/>
          <w:sz w:val="19"/>
          <w:szCs w:val="19"/>
          <w:color w:val="auto"/>
        </w:rPr>
        <w:t>).</w:t>
      </w:r>
    </w:p>
    <w:p>
      <w:pPr>
        <w:spacing w:after="0" w:line="193"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As a foreign private issuer, we are exempt from the rules under the Exchange Act prescribing the furnishing and content of proxy statements to shareholders and our officers, directors and principal shareholders are exempt from the “short-swing profits” reporting and liability provisions contained in Section 16 of the Exchange Act and related Exchange Act rules.</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INCORPORATION OF CERTAIN DOCUMENTS BY REFERENCE</w:t>
      </w:r>
    </w:p>
    <w:p>
      <w:pPr>
        <w:spacing w:after="0" w:line="265" w:lineRule="exact"/>
        <w:rPr>
          <w:sz w:val="20"/>
          <w:szCs w:val="20"/>
          <w:color w:val="auto"/>
        </w:rPr>
      </w:pPr>
    </w:p>
    <w:p>
      <w:pPr>
        <w:jc w:val="both"/>
        <w:ind w:firstLine="572"/>
        <w:spacing w:after="0" w:line="267" w:lineRule="auto"/>
        <w:rPr>
          <w:sz w:val="20"/>
          <w:szCs w:val="20"/>
          <w:color w:val="auto"/>
        </w:rPr>
      </w:pPr>
      <w:r>
        <w:rPr>
          <w:rFonts w:ascii="Arial" w:cs="Arial" w:eastAsia="Arial" w:hAnsi="Arial"/>
          <w:sz w:val="19"/>
          <w:szCs w:val="19"/>
          <w:color w:val="auto"/>
        </w:rPr>
        <w:t>We file annual and special reports and other information with the SEC (File Number 001-38367). These filings contain important information which does not appear in this prospectus. The SEC allows us to “incorporate by reference” information into this prospectus, which means that we can disclose important information to you by referring you to other documents which we have filed or will file with the SEC. We are incorporating by reference in this prospectus the documents listed below and all amendments or supplements we may file to such documents, as well as any future filings we may make with the SEC on Form 20-F under the Exchange Act before the time that all of the securities offered by this prospectus have been sold or de-registered:</w:t>
      </w:r>
    </w:p>
    <w:p>
      <w:pPr>
        <w:spacing w:after="0" w:line="206" w:lineRule="exact"/>
        <w:rPr>
          <w:sz w:val="20"/>
          <w:szCs w:val="20"/>
          <w:color w:val="auto"/>
        </w:rPr>
      </w:pPr>
    </w:p>
    <w:p>
      <w:pPr>
        <w:ind w:left="1200" w:hanging="632"/>
        <w:spacing w:after="0"/>
        <w:tabs>
          <w:tab w:leader="none" w:pos="1200" w:val="left"/>
        </w:tabs>
        <w:numPr>
          <w:ilvl w:val="0"/>
          <w:numId w:val="25"/>
        </w:numPr>
        <w:rPr>
          <w:rFonts w:ascii="Arial" w:cs="Arial" w:eastAsia="Arial" w:hAnsi="Arial"/>
          <w:sz w:val="16"/>
          <w:szCs w:val="16"/>
          <w:color w:val="auto"/>
        </w:rPr>
      </w:pPr>
      <w:r>
        <w:rPr>
          <w:rFonts w:ascii="Arial" w:cs="Arial" w:eastAsia="Arial" w:hAnsi="Arial"/>
          <w:sz w:val="16"/>
          <w:szCs w:val="16"/>
          <w:color w:val="auto"/>
        </w:rPr>
        <w:t>our Annual Report on Form 20-F for the fiscal year ended on December 31, 2018, filed with the SEC on March 21, 2019.</w:t>
      </w:r>
    </w:p>
    <w:p>
      <w:pPr>
        <w:spacing w:after="0" w:line="245" w:lineRule="exact"/>
        <w:rPr>
          <w:rFonts w:ascii="Arial" w:cs="Arial" w:eastAsia="Arial" w:hAnsi="Arial"/>
          <w:sz w:val="16"/>
          <w:szCs w:val="16"/>
          <w:color w:val="auto"/>
        </w:rPr>
      </w:pPr>
    </w:p>
    <w:p>
      <w:pPr>
        <w:ind w:left="620" w:right="80" w:hanging="52"/>
        <w:spacing w:after="0" w:line="200" w:lineRule="auto"/>
        <w:tabs>
          <w:tab w:leader="none" w:pos="1193" w:val="left"/>
        </w:tabs>
        <w:numPr>
          <w:ilvl w:val="0"/>
          <w:numId w:val="25"/>
        </w:numPr>
        <w:rPr>
          <w:rFonts w:ascii="Arial" w:cs="Arial" w:eastAsia="Arial" w:hAnsi="Arial"/>
          <w:sz w:val="27"/>
          <w:szCs w:val="27"/>
          <w:color w:val="auto"/>
          <w:vertAlign w:val="subscript"/>
        </w:rPr>
      </w:pPr>
      <w:r>
        <w:rPr>
          <w:rFonts w:ascii="Arial" w:cs="Arial" w:eastAsia="Arial" w:hAnsi="Arial"/>
          <w:sz w:val="14"/>
          <w:szCs w:val="14"/>
          <w:color w:val="auto"/>
        </w:rPr>
        <w:t>the description of our ordinary shares contained under the heading “Item 1. Description of Registrant’s Securities to be Registered” in our registration statement on Form 8-A, as filed with the SEC on January 26, 2018, including any subsequent amendment or any report filed for the purpose of updating such description.</w:t>
      </w:r>
    </w:p>
    <w:p>
      <w:pPr>
        <w:spacing w:after="0" w:line="233" w:lineRule="exact"/>
        <w:rPr>
          <w:sz w:val="20"/>
          <w:szCs w:val="20"/>
          <w:color w:val="auto"/>
        </w:rPr>
      </w:pPr>
    </w:p>
    <w:p>
      <w:pPr>
        <w:jc w:val="both"/>
        <w:ind w:firstLine="572"/>
        <w:spacing w:after="0" w:line="266" w:lineRule="auto"/>
        <w:rPr>
          <w:sz w:val="20"/>
          <w:szCs w:val="20"/>
          <w:color w:val="auto"/>
        </w:rPr>
      </w:pPr>
      <w:r>
        <w:rPr>
          <w:rFonts w:ascii="Arial" w:cs="Arial" w:eastAsia="Arial" w:hAnsi="Arial"/>
          <w:sz w:val="19"/>
          <w:szCs w:val="19"/>
          <w:color w:val="auto"/>
        </w:rPr>
        <w:t>In addition, any reports on Form 6-K submitted to the SEC by the registrant pursuant to the Exchange Act after the date of the initial registration statement and prior to effectiveness of the registration statement that we specifically identify in such forms as being incorporated by reference into the registration statement of which this prospectus forms a part and all subsequent annual reports on Form 20-F filed after the effective date of this registration statement and prior to the termination of this offering and any reports on Form 6-K subsequently submitted to the SEC or portions thereof that we specifically identify in such forms as being incorporated by reference into the registration statement of which this prospectus forms a part, shall be considered to be incorporated into this prospectus by reference and shall be considered a part of this prospectus from the date of filing or submission of such documents.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26" w:right="219" w:bottom="1440" w:gutter="0" w:footer="0" w:header="0"/>
        </w:sectPr>
      </w:pPr>
    </w:p>
    <w:bookmarkStart w:id="45" w:name="page46"/>
    <w:bookmarkEnd w:id="45"/>
    <w:p>
      <w:pPr>
        <w:jc w:val="both"/>
        <w:ind w:right="20" w:firstLine="572"/>
        <w:spacing w:after="0" w:line="274" w:lineRule="auto"/>
        <w:rPr>
          <w:sz w:val="20"/>
          <w:szCs w:val="20"/>
          <w:color w:val="auto"/>
        </w:rPr>
      </w:pPr>
      <w:r>
        <w:rPr>
          <w:rFonts w:ascii="Arial" w:cs="Arial" w:eastAsia="Arial" w:hAnsi="Arial"/>
          <w:sz w:val="19"/>
          <w:szCs w:val="19"/>
          <w:color w:val="auto"/>
        </w:rPr>
        <w:t>Certain statements in and portions of this prospectus update and replace information in the above listed documents incorporated by reference. Likewise, statements in or portions of a future document incorporated by reference in this prospectus may update and replace statements in and portions of this prospectus or the above listed documents.</w:t>
      </w:r>
    </w:p>
    <w:p>
      <w:pPr>
        <w:spacing w:after="0" w:line="206" w:lineRule="exact"/>
        <w:rPr>
          <w:sz w:val="20"/>
          <w:szCs w:val="20"/>
          <w:color w:val="auto"/>
        </w:rPr>
      </w:pPr>
    </w:p>
    <w:p>
      <w:pPr>
        <w:jc w:val="both"/>
        <w:ind w:firstLine="572"/>
        <w:spacing w:after="0" w:line="268" w:lineRule="auto"/>
        <w:rPr>
          <w:sz w:val="20"/>
          <w:szCs w:val="20"/>
          <w:color w:val="auto"/>
        </w:rPr>
      </w:pPr>
      <w:r>
        <w:rPr>
          <w:rFonts w:ascii="Arial" w:cs="Arial" w:eastAsia="Arial" w:hAnsi="Arial"/>
          <w:sz w:val="19"/>
          <w:szCs w:val="19"/>
          <w:color w:val="auto"/>
        </w:rPr>
        <w:t xml:space="preserve">We will provide you without charge, upon your written or oral request, a copy of any of the documents incorporated by reference in this prospectus, other than exhibits to such documents which are not specifically incorporated by reference into such documents. Please direct your written or telephone requests to Sol-Gel Technologies Ltd., 7 Golda Meir Street, Weizmann Science Park, Ness Ziona, 7403650, Israel, Attn: Gilad Mamlok, telephone number +972 (8) 931-3433. You may also obtain information about us by visiting our website at </w:t>
      </w:r>
      <w:r>
        <w:rPr>
          <w:rFonts w:ascii="Arial" w:cs="Arial" w:eastAsia="Arial" w:hAnsi="Arial"/>
          <w:sz w:val="19"/>
          <w:szCs w:val="19"/>
          <w:i w:val="1"/>
          <w:iCs w:val="1"/>
          <w:color w:val="auto"/>
        </w:rPr>
        <w:t>www.sol-gel.com</w:t>
      </w:r>
      <w:r>
        <w:rPr>
          <w:rFonts w:ascii="Arial" w:cs="Arial" w:eastAsia="Arial" w:hAnsi="Arial"/>
          <w:sz w:val="19"/>
          <w:szCs w:val="19"/>
          <w:color w:val="auto"/>
        </w:rPr>
        <w:t>. Information contained in our website is not part of this prospectus.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ENFORCEABILITY OF CIVIL LIABILITIES</w:t>
      </w:r>
    </w:p>
    <w:p>
      <w:pPr>
        <w:spacing w:after="0" w:line="265" w:lineRule="exact"/>
        <w:rPr>
          <w:sz w:val="20"/>
          <w:szCs w:val="20"/>
          <w:color w:val="auto"/>
        </w:rPr>
      </w:pPr>
    </w:p>
    <w:p>
      <w:pPr>
        <w:jc w:val="both"/>
        <w:ind w:right="20" w:firstLine="572"/>
        <w:spacing w:after="0" w:line="290" w:lineRule="auto"/>
        <w:rPr>
          <w:sz w:val="20"/>
          <w:szCs w:val="20"/>
          <w:color w:val="auto"/>
        </w:rPr>
      </w:pPr>
      <w:r>
        <w:rPr>
          <w:rFonts w:ascii="Arial" w:cs="Arial" w:eastAsia="Arial" w:hAnsi="Arial"/>
          <w:sz w:val="18"/>
          <w:szCs w:val="18"/>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192"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We have irrevocably appointed Sol-Gel Technologies Inc. as our agent to receive service of process in any action against us in any U.S. federal or state court arising out of this offering or any purchase or sale of securities in connection with this offering. The address of our agent is Corporation Trust Center, 1209 Orange Street, Wilmington, Delaware 19801.</w:t>
      </w:r>
    </w:p>
    <w:p>
      <w:pPr>
        <w:spacing w:after="0" w:line="206" w:lineRule="exact"/>
        <w:rPr>
          <w:sz w:val="20"/>
          <w:szCs w:val="20"/>
          <w:color w:val="auto"/>
        </w:rPr>
      </w:pPr>
    </w:p>
    <w:p>
      <w:pPr>
        <w:jc w:val="both"/>
        <w:ind w:right="20" w:firstLine="572"/>
        <w:spacing w:after="0" w:line="267" w:lineRule="auto"/>
        <w:rPr>
          <w:sz w:val="20"/>
          <w:szCs w:val="20"/>
          <w:color w:val="auto"/>
        </w:rPr>
      </w:pPr>
      <w:r>
        <w:rPr>
          <w:rFonts w:ascii="Arial" w:cs="Arial" w:eastAsia="Arial" w:hAnsi="Arial"/>
          <w:sz w:val="19"/>
          <w:szCs w:val="19"/>
          <w:color w:val="auto"/>
        </w:rPr>
        <w:t>We have been informed by our legal counsel in Israel, Gross, Kleinhendler, Hodak, Halevy, Greenberg, Shenhav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211" w:lineRule="exact"/>
        <w:rPr>
          <w:sz w:val="20"/>
          <w:szCs w:val="20"/>
          <w:color w:val="auto"/>
        </w:rPr>
      </w:pPr>
    </w:p>
    <w:p>
      <w:pPr>
        <w:jc w:val="both"/>
        <w:ind w:right="20" w:firstLine="572"/>
        <w:spacing w:after="0" w:line="274" w:lineRule="auto"/>
        <w:rPr>
          <w:sz w:val="20"/>
          <w:szCs w:val="20"/>
          <w:color w:val="auto"/>
        </w:rPr>
      </w:pPr>
      <w:r>
        <w:rPr>
          <w:rFonts w:ascii="Arial" w:cs="Arial" w:eastAsia="Arial" w:hAnsi="Arial"/>
          <w:sz w:val="19"/>
          <w:szCs w:val="19"/>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200" w:lineRule="exact"/>
        <w:rPr>
          <w:sz w:val="20"/>
          <w:szCs w:val="20"/>
          <w:color w:val="auto"/>
        </w:rPr>
      </w:pPr>
    </w:p>
    <w:p>
      <w:pPr>
        <w:ind w:left="1200" w:hanging="632"/>
        <w:spacing w:after="0"/>
        <w:tabs>
          <w:tab w:leader="none" w:pos="12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judgment was rendered by a court which was, according to the laws of the state of the court, competent to render the judgment;</w:t>
      </w:r>
    </w:p>
    <w:p>
      <w:pPr>
        <w:spacing w:after="0" w:line="245" w:lineRule="exact"/>
        <w:rPr>
          <w:rFonts w:ascii="Arial" w:cs="Arial" w:eastAsia="Arial" w:hAnsi="Arial"/>
          <w:sz w:val="16"/>
          <w:szCs w:val="16"/>
          <w:color w:val="auto"/>
        </w:rPr>
      </w:pPr>
    </w:p>
    <w:p>
      <w:pPr>
        <w:ind w:left="620" w:right="520" w:hanging="52"/>
        <w:spacing w:after="0" w:line="182" w:lineRule="auto"/>
        <w:tabs>
          <w:tab w:leader="none" w:pos="1193" w:val="left"/>
        </w:tabs>
        <w:numPr>
          <w:ilvl w:val="0"/>
          <w:numId w:val="26"/>
        </w:numPr>
        <w:rPr>
          <w:rFonts w:ascii="Arial" w:cs="Arial" w:eastAsia="Arial" w:hAnsi="Arial"/>
          <w:sz w:val="30"/>
          <w:szCs w:val="30"/>
          <w:color w:val="auto"/>
          <w:vertAlign w:val="subscript"/>
        </w:rPr>
      </w:pPr>
      <w:r>
        <w:rPr>
          <w:rFonts w:ascii="Arial" w:cs="Arial" w:eastAsia="Arial" w:hAnsi="Arial"/>
          <w:sz w:val="15"/>
          <w:szCs w:val="15"/>
          <w:color w:val="auto"/>
        </w:rPr>
        <w:t>the obligation imposed by the judgment is enforceable according to the rules relating to the enforceability of judgments in Israel and the substance of the judgment is not contrary to public policy; and</w:t>
      </w:r>
    </w:p>
    <w:p>
      <w:pPr>
        <w:spacing w:after="0" w:line="227" w:lineRule="exact"/>
        <w:rPr>
          <w:rFonts w:ascii="Arial" w:cs="Arial" w:eastAsia="Arial" w:hAnsi="Arial"/>
          <w:sz w:val="30"/>
          <w:szCs w:val="30"/>
          <w:color w:val="auto"/>
          <w:vertAlign w:val="subscript"/>
        </w:rPr>
      </w:pPr>
    </w:p>
    <w:p>
      <w:pPr>
        <w:ind w:left="1200" w:hanging="632"/>
        <w:spacing w:after="0"/>
        <w:tabs>
          <w:tab w:leader="none" w:pos="12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judgment is executory in the state in which it was given.</w:t>
      </w:r>
    </w:p>
    <w:p>
      <w:pPr>
        <w:spacing w:after="0" w:line="251" w:lineRule="exact"/>
        <w:rPr>
          <w:sz w:val="20"/>
          <w:szCs w:val="20"/>
          <w:color w:val="auto"/>
        </w:rPr>
      </w:pPr>
    </w:p>
    <w:p>
      <w:pPr>
        <w:ind w:left="560"/>
        <w:spacing w:after="0"/>
        <w:rPr>
          <w:sz w:val="20"/>
          <w:szCs w:val="20"/>
          <w:color w:val="auto"/>
        </w:rPr>
      </w:pPr>
      <w:r>
        <w:rPr>
          <w:rFonts w:ascii="Arial" w:cs="Arial" w:eastAsia="Arial" w:hAnsi="Arial"/>
          <w:sz w:val="19"/>
          <w:szCs w:val="19"/>
          <w:color w:val="auto"/>
        </w:rPr>
        <w:t>Even if these conditions are met, an Israeli court will not declare a foreign civil judgment enforceable if:</w:t>
      </w:r>
    </w:p>
    <w:p>
      <w:pPr>
        <w:spacing w:after="0" w:line="253" w:lineRule="exact"/>
        <w:rPr>
          <w:sz w:val="20"/>
          <w:szCs w:val="20"/>
          <w:color w:val="auto"/>
        </w:rPr>
      </w:pPr>
    </w:p>
    <w:p>
      <w:pPr>
        <w:ind w:left="1200" w:hanging="632"/>
        <w:spacing w:after="0"/>
        <w:tabs>
          <w:tab w:leader="none" w:pos="12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judgment was given in a state whose laws do not provide for the enforcement of judgments of Israeli courts (subject to exceptional cases);</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enforcement of the judgment is likely to prejudice the sovereignty or security of the State of Israel;</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judgment was obtained by fraud;</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132" w:right="219" w:bottom="1440" w:gutter="0" w:footer="0" w:header="0"/>
        </w:sectPr>
      </w:pPr>
    </w:p>
    <w:bookmarkStart w:id="46" w:name="page47"/>
    <w:bookmarkEnd w:id="46"/>
    <w:p>
      <w:pPr>
        <w:ind w:left="1200" w:hanging="632"/>
        <w:spacing w:after="0"/>
        <w:tabs>
          <w:tab w:leader="none" w:pos="12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opportunity given to the defendant to bring its arguments and evidence before the court was not reasonable in the opinion of the Israeli court;</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judgment was rendered by a court not competent to render it according to the laws of private international law as they apply in Israel;</w:t>
      </w:r>
    </w:p>
    <w:p>
      <w:pPr>
        <w:spacing w:after="0" w:line="245" w:lineRule="exact"/>
        <w:rPr>
          <w:rFonts w:ascii="Arial" w:cs="Arial" w:eastAsia="Arial" w:hAnsi="Arial"/>
          <w:sz w:val="16"/>
          <w:szCs w:val="16"/>
          <w:color w:val="auto"/>
        </w:rPr>
      </w:pPr>
    </w:p>
    <w:p>
      <w:pPr>
        <w:ind w:left="1200" w:hanging="632"/>
        <w:spacing w:after="0"/>
        <w:tabs>
          <w:tab w:leader="none" w:pos="12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judgment is contradictory to another judgment that was given in the same matter between the same parties and that is still valid; or</w:t>
      </w:r>
    </w:p>
    <w:p>
      <w:pPr>
        <w:spacing w:after="0" w:line="128" w:lineRule="exact"/>
        <w:rPr>
          <w:sz w:val="20"/>
          <w:szCs w:val="20"/>
          <w:color w:val="auto"/>
        </w:rPr>
      </w:pPr>
    </w:p>
    <w:p>
      <w:pPr>
        <w:ind w:left="560"/>
        <w:spacing w:after="0"/>
        <w:tabs>
          <w:tab w:leader="none" w:pos="1180" w:val="left"/>
        </w:tabs>
        <w:rPr>
          <w:sz w:val="20"/>
          <w:szCs w:val="20"/>
          <w:color w:val="auto"/>
        </w:rPr>
      </w:pPr>
      <w:r>
        <w:rPr>
          <w:rFonts w:ascii="Arial" w:cs="Arial" w:eastAsia="Arial" w:hAnsi="Arial"/>
          <w:sz w:val="31"/>
          <w:szCs w:val="31"/>
          <w:color w:val="auto"/>
          <w:vertAlign w:val="subscript"/>
        </w:rPr>
        <w:t>•Israel.</w:t>
      </w:r>
      <w:r>
        <w:rPr>
          <w:sz w:val="20"/>
          <w:szCs w:val="20"/>
          <w:color w:val="auto"/>
        </w:rPr>
        <w:tab/>
      </w:r>
      <w:r>
        <w:rPr>
          <w:rFonts w:ascii="Arial" w:cs="Arial" w:eastAsia="Arial" w:hAnsi="Arial"/>
          <w:sz w:val="14"/>
          <w:szCs w:val="14"/>
          <w:color w:val="auto"/>
        </w:rPr>
        <w:t>at the time the action was brought in the foreign court, a lawsuit in the same matter and between the same parties was pending before a court or tribunal in</w:t>
      </w:r>
    </w:p>
    <w:p>
      <w:pPr>
        <w:spacing w:after="0" w:line="386" w:lineRule="exact"/>
        <w:rPr>
          <w:sz w:val="20"/>
          <w:szCs w:val="20"/>
          <w:color w:val="auto"/>
        </w:rPr>
      </w:pPr>
    </w:p>
    <w:p>
      <w:pPr>
        <w:jc w:val="both"/>
        <w:ind w:right="20" w:firstLine="572"/>
        <w:spacing w:after="0" w:line="284" w:lineRule="auto"/>
        <w:rPr>
          <w:sz w:val="20"/>
          <w:szCs w:val="20"/>
          <w:color w:val="auto"/>
        </w:rPr>
      </w:pPr>
      <w:r>
        <w:rPr>
          <w:rFonts w:ascii="Arial" w:cs="Arial" w:eastAsia="Arial" w:hAnsi="Arial"/>
          <w:sz w:val="18"/>
          <w:szCs w:val="18"/>
          <w:color w:val="auto"/>
        </w:rPr>
        <w:t>If a foreign judgment is enforced by an Israeli court, it generally will be payable in Israeli currency, which can then be converted into non-Israeli currency and transferred out of Israel. The usual practice in an action before an Israeli court to recover an amount in a non-Israeli currency is for the Israeli court to issue a judgment for the equivalent amount in Israeli currency at the rate of exchange in force on the date of the judgment, but the judgment debtor may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EXPENSES ASSOCIATED WITH THE REGISTRATION</w:t>
      </w:r>
    </w:p>
    <w:p>
      <w:pPr>
        <w:spacing w:after="0" w:line="265" w:lineRule="exact"/>
        <w:rPr>
          <w:sz w:val="20"/>
          <w:szCs w:val="20"/>
          <w:color w:val="auto"/>
        </w:rPr>
      </w:pPr>
    </w:p>
    <w:p>
      <w:pPr>
        <w:jc w:val="both"/>
        <w:ind w:right="20" w:firstLine="572"/>
        <w:spacing w:after="0" w:line="321" w:lineRule="auto"/>
        <w:rPr>
          <w:sz w:val="20"/>
          <w:szCs w:val="20"/>
          <w:color w:val="auto"/>
        </w:rPr>
      </w:pPr>
      <w:r>
        <w:rPr>
          <w:rFonts w:ascii="Arial" w:cs="Arial" w:eastAsia="Arial" w:hAnsi="Arial"/>
          <w:sz w:val="17"/>
          <w:szCs w:val="17"/>
          <w:color w:val="auto"/>
        </w:rPr>
        <w:t>The following is a statement of expenses in connection with the distribution of the securities registered. All amounts shown are estimates except the SEC registration fee. The estimates do not include expenses related to offerings of particular securities. Each prospectus supplement describing an offering of securities will reflect the estimated expenses related to the offering of securities under that prospectus supplement.</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5860" w:type="dxa"/>
            <w:vAlign w:val="bottom"/>
            <w:shd w:val="clear" w:color="auto" w:fill="CCEEFF"/>
          </w:tcPr>
          <w:p>
            <w:pPr>
              <w:spacing w:after="0"/>
              <w:rPr>
                <w:sz w:val="20"/>
                <w:szCs w:val="20"/>
                <w:color w:val="auto"/>
              </w:rPr>
            </w:pPr>
            <w:r>
              <w:rPr>
                <w:rFonts w:ascii="Arial" w:cs="Arial" w:eastAsia="Arial" w:hAnsi="Arial"/>
                <w:sz w:val="16"/>
                <w:szCs w:val="16"/>
                <w:color w:val="auto"/>
              </w:rPr>
              <w:t>SEC registration fees</w:t>
            </w:r>
          </w:p>
        </w:tc>
        <w:tc>
          <w:tcPr>
            <w:tcW w:w="4720" w:type="dxa"/>
            <w:vAlign w:val="bottom"/>
            <w:shd w:val="clear" w:color="auto" w:fill="CCEEFF"/>
          </w:tcPr>
          <w:p>
            <w:pPr>
              <w:jc w:val="right"/>
              <w:ind w:right="241"/>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14,544</w:t>
            </w:r>
          </w:p>
        </w:tc>
      </w:tr>
      <w:tr>
        <w:trPr>
          <w:trHeight w:val="191"/>
        </w:trPr>
        <w:tc>
          <w:tcPr>
            <w:tcW w:w="5860" w:type="dxa"/>
            <w:vAlign w:val="bottom"/>
          </w:tcPr>
          <w:p>
            <w:pPr>
              <w:spacing w:after="0"/>
              <w:rPr>
                <w:sz w:val="20"/>
                <w:szCs w:val="20"/>
                <w:color w:val="auto"/>
              </w:rPr>
            </w:pPr>
            <w:r>
              <w:rPr>
                <w:rFonts w:ascii="Arial" w:cs="Arial" w:eastAsia="Arial" w:hAnsi="Arial"/>
                <w:sz w:val="16"/>
                <w:szCs w:val="16"/>
                <w:color w:val="auto"/>
              </w:rPr>
              <w:t>FINRA fees</w:t>
            </w:r>
          </w:p>
        </w:tc>
        <w:tc>
          <w:tcPr>
            <w:tcW w:w="4720" w:type="dxa"/>
            <w:vAlign w:val="bottom"/>
          </w:tcPr>
          <w:p>
            <w:pPr>
              <w:spacing w:after="0"/>
              <w:rPr>
                <w:sz w:val="16"/>
                <w:szCs w:val="16"/>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18,550</w:t>
            </w:r>
          </w:p>
        </w:tc>
      </w:tr>
      <w:tr>
        <w:trPr>
          <w:trHeight w:val="191"/>
        </w:trPr>
        <w:tc>
          <w:tcPr>
            <w:tcW w:w="5860" w:type="dxa"/>
            <w:vAlign w:val="bottom"/>
            <w:shd w:val="clear" w:color="auto" w:fill="CCEEFF"/>
          </w:tcPr>
          <w:p>
            <w:pPr>
              <w:spacing w:after="0"/>
              <w:rPr>
                <w:sz w:val="20"/>
                <w:szCs w:val="20"/>
                <w:color w:val="auto"/>
              </w:rPr>
            </w:pPr>
            <w:r>
              <w:rPr>
                <w:rFonts w:ascii="Arial" w:cs="Arial" w:eastAsia="Arial" w:hAnsi="Arial"/>
                <w:sz w:val="16"/>
                <w:szCs w:val="16"/>
                <w:color w:val="auto"/>
              </w:rPr>
              <w:t>Legal fees and expenses</w:t>
            </w:r>
          </w:p>
        </w:tc>
        <w:tc>
          <w:tcPr>
            <w:tcW w:w="472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10,000</w:t>
            </w:r>
          </w:p>
        </w:tc>
      </w:tr>
      <w:tr>
        <w:trPr>
          <w:trHeight w:val="191"/>
        </w:trPr>
        <w:tc>
          <w:tcPr>
            <w:tcW w:w="5860" w:type="dxa"/>
            <w:vAlign w:val="bottom"/>
          </w:tcPr>
          <w:p>
            <w:pPr>
              <w:spacing w:after="0"/>
              <w:rPr>
                <w:sz w:val="20"/>
                <w:szCs w:val="20"/>
                <w:color w:val="auto"/>
              </w:rPr>
            </w:pPr>
            <w:r>
              <w:rPr>
                <w:rFonts w:ascii="Arial" w:cs="Arial" w:eastAsia="Arial" w:hAnsi="Arial"/>
                <w:sz w:val="16"/>
                <w:szCs w:val="16"/>
                <w:color w:val="auto"/>
              </w:rPr>
              <w:t>Miscellaneous</w:t>
            </w:r>
          </w:p>
        </w:tc>
        <w:tc>
          <w:tcPr>
            <w:tcW w:w="4720" w:type="dxa"/>
            <w:vAlign w:val="bottom"/>
          </w:tcPr>
          <w:p>
            <w:pPr>
              <w:spacing w:after="0"/>
              <w:rPr>
                <w:sz w:val="16"/>
                <w:szCs w:val="16"/>
                <w:color w:val="auto"/>
              </w:rPr>
            </w:pPr>
          </w:p>
        </w:tc>
        <w:tc>
          <w:tcPr>
            <w:tcW w:w="860" w:type="dxa"/>
            <w:vAlign w:val="bottom"/>
          </w:tcPr>
          <w:p>
            <w:pPr>
              <w:jc w:val="right"/>
              <w:ind w:right="41"/>
              <w:spacing w:after="0"/>
              <w:rPr>
                <w:sz w:val="20"/>
                <w:szCs w:val="20"/>
                <w:color w:val="auto"/>
              </w:rPr>
            </w:pPr>
            <w:r>
              <w:rPr>
                <w:rFonts w:ascii="Arial" w:cs="Arial" w:eastAsia="Arial" w:hAnsi="Arial"/>
                <w:sz w:val="16"/>
                <w:szCs w:val="16"/>
                <w:color w:val="auto"/>
              </w:rPr>
              <w:t>3,000</w:t>
            </w:r>
          </w:p>
        </w:tc>
      </w:tr>
      <w:tr>
        <w:trPr>
          <w:trHeight w:val="191"/>
        </w:trPr>
        <w:tc>
          <w:tcPr>
            <w:tcW w:w="5860" w:type="dxa"/>
            <w:vAlign w:val="bottom"/>
            <w:shd w:val="clear" w:color="auto" w:fill="CCEEFF"/>
          </w:tcPr>
          <w:p>
            <w:pPr>
              <w:spacing w:after="0"/>
              <w:rPr>
                <w:sz w:val="20"/>
                <w:szCs w:val="20"/>
                <w:color w:val="auto"/>
              </w:rPr>
            </w:pPr>
            <w:r>
              <w:rPr>
                <w:rFonts w:ascii="Arial" w:cs="Arial" w:eastAsia="Arial" w:hAnsi="Arial"/>
                <w:sz w:val="16"/>
                <w:szCs w:val="16"/>
                <w:color w:val="auto"/>
              </w:rPr>
              <w:t>Total</w:t>
            </w:r>
          </w:p>
        </w:tc>
        <w:tc>
          <w:tcPr>
            <w:tcW w:w="4720" w:type="dxa"/>
            <w:vAlign w:val="bottom"/>
            <w:shd w:val="clear" w:color="auto" w:fill="CCEEFF"/>
          </w:tcPr>
          <w:p>
            <w:pPr>
              <w:jc w:val="right"/>
              <w:ind w:right="241"/>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41"/>
              <w:spacing w:after="0"/>
              <w:rPr>
                <w:sz w:val="20"/>
                <w:szCs w:val="20"/>
                <w:color w:val="auto"/>
              </w:rPr>
            </w:pPr>
            <w:r>
              <w:rPr>
                <w:rFonts w:ascii="Arial" w:cs="Arial" w:eastAsia="Arial" w:hAnsi="Arial"/>
                <w:sz w:val="16"/>
                <w:szCs w:val="16"/>
                <w:color w:val="auto"/>
              </w:rPr>
              <w:t>46,094</w:t>
            </w:r>
          </w:p>
        </w:tc>
      </w:tr>
    </w:tbl>
    <w:p>
      <w:pPr>
        <w:spacing w:after="0" w:line="375"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40005</wp:posOffset>
            </wp:positionV>
            <wp:extent cx="7262495" cy="152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2495" cy="15240"/>
                    </a:xfrm>
                    <a:prstGeom prst="rect">
                      <a:avLst/>
                    </a:prstGeom>
                    <a:noFill/>
                  </pic:spPr>
                </pic:pic>
              </a:graphicData>
            </a:graphic>
          </wp:anchor>
        </w:drawing>
      </w:r>
    </w:p>
    <w:p>
      <w:pPr>
        <w:sectPr>
          <w:pgSz w:w="11900" w:h="16838" w:orient="portrait"/>
          <w:cols w:equalWidth="0" w:num="1">
            <w:col w:w="11440"/>
          </w:cols>
          <w:pgMar w:left="240" w:top="366" w:right="219" w:bottom="1440" w:gutter="0" w:footer="0" w:header="0"/>
        </w:sectPr>
      </w:pPr>
    </w:p>
    <w:bookmarkStart w:id="47" w:name="page48"/>
    <w:bookmarkEnd w:id="47"/>
    <w:p>
      <w:pPr>
        <w:jc w:val="center"/>
        <w:spacing w:after="0"/>
        <w:rPr>
          <w:sz w:val="20"/>
          <w:szCs w:val="20"/>
          <w:color w:val="auto"/>
        </w:rPr>
      </w:pPr>
      <w:r>
        <w:rPr>
          <w:rFonts w:ascii="Arial" w:cs="Arial" w:eastAsia="Arial" w:hAnsi="Arial"/>
          <w:sz w:val="19"/>
          <w:szCs w:val="19"/>
          <w:b w:val="1"/>
          <w:bCs w:val="1"/>
          <w:color w:val="auto"/>
        </w:rPr>
        <w:t>1,676,727 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2165985</wp:posOffset>
            </wp:positionH>
            <wp:positionV relativeFrom="paragraph">
              <wp:posOffset>172720</wp:posOffset>
            </wp:positionV>
            <wp:extent cx="1408430" cy="673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408430" cy="673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2324735</wp:posOffset>
            </wp:positionH>
            <wp:positionV relativeFrom="paragraph">
              <wp:posOffset>233045</wp:posOffset>
            </wp:positionV>
            <wp:extent cx="1082675" cy="152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082675" cy="152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2324735</wp:posOffset>
            </wp:positionH>
            <wp:positionV relativeFrom="paragraph">
              <wp:posOffset>240665</wp:posOffset>
            </wp:positionV>
            <wp:extent cx="1082675" cy="152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082675" cy="152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Jefferies</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January 10,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-764540</wp:posOffset>
            </wp:positionH>
            <wp:positionV relativeFrom="paragraph">
              <wp:posOffset>233045</wp:posOffset>
            </wp:positionV>
            <wp:extent cx="7262495" cy="7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2495" cy="7620"/>
                    </a:xfrm>
                    <a:prstGeom prst="rect">
                      <a:avLst/>
                    </a:prstGeom>
                    <a:noFill/>
                  </pic:spPr>
                </pic:pic>
              </a:graphicData>
            </a:graphic>
          </wp:anchor>
        </w:drawing>
        <w:drawing>
          <wp:anchor simplePos="0" relativeHeight="251657728" behindDoc="1" locked="0" layoutInCell="0" allowOverlap="1">
            <wp:simplePos x="0" y="0"/>
            <wp:positionH relativeFrom="column">
              <wp:posOffset>-764540</wp:posOffset>
            </wp:positionH>
            <wp:positionV relativeFrom="paragraph">
              <wp:posOffset>316230</wp:posOffset>
            </wp:positionV>
            <wp:extent cx="7262495" cy="304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2495" cy="30480"/>
                    </a:xfrm>
                    <a:prstGeom prst="rect">
                      <a:avLst/>
                    </a:prstGeom>
                    <a:noFill/>
                  </pic:spPr>
                </pic:pic>
              </a:graphicData>
            </a:graphic>
          </wp:anchor>
        </w:drawing>
      </w:r>
    </w:p>
    <w:sectPr>
      <w:pgSz w:w="11900" w:h="16838" w:orient="portrait"/>
      <w:cols w:equalWidth="0" w:num="1">
        <w:col w:w="9019"/>
      </w:cols>
      <w:pgMar w:left="1440" w:top="12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FDCC233"/>
    <w:multiLevelType w:val="hybridMultilevel"/>
    <w:lvl w:ilvl="0">
      <w:lvlJc w:val="left"/>
      <w:lvlText w:val="(%1)"/>
      <w:numFmt w:val="decimal"/>
      <w:start w:val="2"/>
    </w:lvl>
  </w:abstractNum>
  <w:abstractNum w:abstractNumId="1">
    <w:nsid w:val="1BEFD79F"/>
    <w:multiLevelType w:val="hybridMultilevel"/>
    <w:lvl w:ilvl="0">
      <w:lvlJc w:val="left"/>
      <w:lvlText w:val="•"/>
      <w:numFmt w:val="bullet"/>
      <w:start w:val="1"/>
    </w:lvl>
  </w:abstractNum>
  <w:abstractNum w:abstractNumId="2">
    <w:nsid w:val="41A7C4C9"/>
    <w:multiLevelType w:val="hybridMultilevel"/>
    <w:lvl w:ilvl="0">
      <w:lvlJc w:val="left"/>
      <w:lvlText w:val="•"/>
      <w:numFmt w:val="bullet"/>
      <w:start w:val="1"/>
    </w:lvl>
  </w:abstractNum>
  <w:abstractNum w:abstractNumId="3">
    <w:nsid w:val="6B68079A"/>
    <w:multiLevelType w:val="hybridMultilevel"/>
    <w:lvl w:ilvl="0">
      <w:lvlJc w:val="left"/>
      <w:lvlText w:val="•"/>
      <w:numFmt w:val="bullet"/>
      <w:start w:val="1"/>
    </w:lvl>
  </w:abstractNum>
  <w:abstractNum w:abstractNumId="4">
    <w:nsid w:val="4E6AFB66"/>
    <w:multiLevelType w:val="hybridMultilevel"/>
    <w:lvl w:ilvl="0">
      <w:lvlJc w:val="left"/>
      <w:lvlText w:val="•"/>
      <w:numFmt w:val="bullet"/>
      <w:start w:val="1"/>
    </w:lvl>
  </w:abstractNum>
  <w:abstractNum w:abstractNumId="5">
    <w:nsid w:val="25E45D32"/>
    <w:multiLevelType w:val="hybridMultilevel"/>
    <w:lvl w:ilvl="0">
      <w:lvlJc w:val="left"/>
      <w:lvlText w:val="•"/>
      <w:numFmt w:val="bullet"/>
      <w:start w:val="1"/>
    </w:lvl>
  </w:abstractNum>
  <w:abstractNum w:abstractNumId="6">
    <w:nsid w:val="519B500D"/>
    <w:multiLevelType w:val="hybridMultilevel"/>
    <w:lvl w:ilvl="0">
      <w:lvlJc w:val="left"/>
      <w:lvlText w:val="•"/>
      <w:numFmt w:val="bullet"/>
      <w:start w:val="1"/>
    </w:lvl>
  </w:abstractNum>
  <w:abstractNum w:abstractNumId="7">
    <w:nsid w:val="431BD7B7"/>
    <w:multiLevelType w:val="hybridMultilevel"/>
    <w:lvl w:ilvl="0">
      <w:lvlJc w:val="left"/>
      <w:lvlText w:val="•"/>
      <w:numFmt w:val="bullet"/>
      <w:start w:val="1"/>
    </w:lvl>
  </w:abstractNum>
  <w:abstractNum w:abstractNumId="8">
    <w:nsid w:val="3F2DBA31"/>
    <w:multiLevelType w:val="hybridMultilevel"/>
    <w:lvl w:ilvl="0">
      <w:lvlJc w:val="left"/>
      <w:lvlText w:val="•"/>
      <w:numFmt w:val="bullet"/>
      <w:start w:val="1"/>
    </w:lvl>
  </w:abstractNum>
  <w:abstractNum w:abstractNumId="9">
    <w:nsid w:val="7C83E458"/>
    <w:multiLevelType w:val="hybridMultilevel"/>
    <w:lvl w:ilvl="0">
      <w:lvlJc w:val="left"/>
      <w:lvlText w:val="•"/>
      <w:numFmt w:val="bullet"/>
      <w:start w:val="1"/>
    </w:lvl>
  </w:abstractNum>
  <w:abstractNum w:abstractNumId="10">
    <w:nsid w:val="257130A3"/>
    <w:multiLevelType w:val="hybridMultilevel"/>
    <w:lvl w:ilvl="0">
      <w:lvlJc w:val="left"/>
      <w:lvlText w:val="•"/>
      <w:numFmt w:val="bullet"/>
      <w:start w:val="1"/>
    </w:lvl>
  </w:abstractNum>
  <w:abstractNum w:abstractNumId="11">
    <w:nsid w:val="62BBD95A"/>
    <w:multiLevelType w:val="hybridMultilevel"/>
    <w:lvl w:ilvl="0">
      <w:lvlJc w:val="left"/>
      <w:lvlText w:val="•"/>
      <w:numFmt w:val="bullet"/>
      <w:start w:val="1"/>
    </w:lvl>
  </w:abstractNum>
  <w:abstractNum w:abstractNumId="12">
    <w:nsid w:val="436C6125"/>
    <w:multiLevelType w:val="hybridMultilevel"/>
    <w:lvl w:ilvl="0">
      <w:lvlJc w:val="left"/>
      <w:lvlText w:val="•"/>
      <w:numFmt w:val="bullet"/>
      <w:start w:val="1"/>
    </w:lvl>
  </w:abstractNum>
  <w:abstractNum w:abstractNumId="13">
    <w:nsid w:val="628C895D"/>
    <w:multiLevelType w:val="hybridMultilevel"/>
    <w:lvl w:ilvl="0">
      <w:lvlJc w:val="left"/>
      <w:lvlText w:val="•"/>
      <w:numFmt w:val="bullet"/>
      <w:start w:val="1"/>
    </w:lvl>
  </w:abstractNum>
  <w:abstractNum w:abstractNumId="14">
    <w:nsid w:val="333AB105"/>
    <w:multiLevelType w:val="hybridMultilevel"/>
    <w:lvl w:ilvl="0">
      <w:lvlJc w:val="left"/>
      <w:lvlText w:val="•"/>
      <w:numFmt w:val="bullet"/>
      <w:start w:val="1"/>
    </w:lvl>
  </w:abstractNum>
  <w:abstractNum w:abstractNumId="15">
    <w:nsid w:val="721DA317"/>
    <w:multiLevelType w:val="hybridMultilevel"/>
    <w:lvl w:ilvl="0">
      <w:lvlJc w:val="left"/>
      <w:lvlText w:val="•"/>
      <w:numFmt w:val="bullet"/>
      <w:start w:val="1"/>
    </w:lvl>
  </w:abstractNum>
  <w:abstractNum w:abstractNumId="16">
    <w:nsid w:val="2443A858"/>
    <w:multiLevelType w:val="hybridMultilevel"/>
    <w:lvl w:ilvl="0">
      <w:lvlJc w:val="left"/>
      <w:lvlText w:val="•"/>
      <w:numFmt w:val="bullet"/>
      <w:start w:val="1"/>
    </w:lvl>
  </w:abstractNum>
  <w:abstractNum w:abstractNumId="17">
    <w:nsid w:val="2D1D5AE9"/>
    <w:multiLevelType w:val="hybridMultilevel"/>
    <w:lvl w:ilvl="0">
      <w:lvlJc w:val="left"/>
      <w:lvlText w:val="•"/>
      <w:numFmt w:val="bullet"/>
      <w:start w:val="1"/>
    </w:lvl>
  </w:abstractNum>
  <w:abstractNum w:abstractNumId="18">
    <w:nsid w:val="6763845E"/>
    <w:multiLevelType w:val="hybridMultilevel"/>
    <w:lvl w:ilvl="0">
      <w:lvlJc w:val="left"/>
      <w:lvlText w:val="•"/>
      <w:numFmt w:val="bullet"/>
      <w:start w:val="1"/>
    </w:lvl>
  </w:abstractNum>
  <w:abstractNum w:abstractNumId="19">
    <w:nsid w:val="75A2A8D4"/>
    <w:multiLevelType w:val="hybridMultilevel"/>
    <w:lvl w:ilvl="0">
      <w:lvlJc w:val="left"/>
      <w:lvlText w:val="•"/>
      <w:numFmt w:val="bullet"/>
      <w:start w:val="1"/>
    </w:lvl>
  </w:abstractNum>
  <w:abstractNum w:abstractNumId="20">
    <w:nsid w:val="8EDBDAB"/>
    <w:multiLevelType w:val="hybridMultilevel"/>
    <w:lvl w:ilvl="0">
      <w:lvlJc w:val="left"/>
      <w:lvlText w:val="•"/>
      <w:numFmt w:val="bullet"/>
      <w:start w:val="1"/>
    </w:lvl>
  </w:abstractNum>
  <w:abstractNum w:abstractNumId="21">
    <w:nsid w:val="79838CB2"/>
    <w:multiLevelType w:val="hybridMultilevel"/>
    <w:lvl w:ilvl="0">
      <w:lvlJc w:val="left"/>
      <w:lvlText w:val="•"/>
      <w:numFmt w:val="bullet"/>
      <w:start w:val="1"/>
    </w:lvl>
  </w:abstractNum>
  <w:abstractNum w:abstractNumId="22">
    <w:nsid w:val="4353D0CD"/>
    <w:multiLevelType w:val="hybridMultilevel"/>
    <w:lvl w:ilvl="0">
      <w:lvlJc w:val="left"/>
      <w:lvlText w:val="•"/>
      <w:numFmt w:val="bullet"/>
      <w:start w:val="1"/>
    </w:lvl>
  </w:abstractNum>
  <w:abstractNum w:abstractNumId="23">
    <w:nsid w:val="B03E0C6"/>
    <w:multiLevelType w:val="hybridMultilevel"/>
    <w:lvl w:ilvl="0">
      <w:lvlJc w:val="left"/>
      <w:lvlText w:val="•"/>
      <w:numFmt w:val="bullet"/>
      <w:start w:val="1"/>
    </w:lvl>
  </w:abstractNum>
  <w:abstractNum w:abstractNumId="24">
    <w:nsid w:val="189A769B"/>
    <w:multiLevelType w:val="hybridMultilevel"/>
    <w:lvl w:ilvl="0">
      <w:lvlJc w:val="left"/>
      <w:lvlText w:val="•"/>
      <w:numFmt w:val="bullet"/>
      <w:start w:val="1"/>
    </w:lvl>
  </w:abstractNum>
  <w:abstractNum w:abstractNumId="25">
    <w:nsid w:val="54E49EB4"/>
    <w:multiLevelType w:val="hybridMultilevel"/>
    <w:lvl w:ilvl="0">
      <w:lvlJc w:val="left"/>
      <w:lvlText w:val="•"/>
      <w:numFmt w:val="bullet"/>
      <w:start w:val="1"/>
    </w:lvl>
  </w:abstractNum>
  <w:abstractNum w:abstractNumId="26">
    <w:nsid w:val="71F32454"/>
    <w:multiLevelType w:val="hybridMultilevel"/>
    <w:lvl w:ilvl="0">
      <w:lvlJc w:val="left"/>
      <w:lvlText w:val="•"/>
      <w:numFmt w:val="bullet"/>
      <w:start w:val="1"/>
    </w:lvl>
  </w:abstractNum>
  <w:abstractNum w:abstractNumId="27">
    <w:nsid w:val="2CA8861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jpe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jpe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2020-01-10T16:08:29Z</dcterms:created>
  <dcterms:modified xsi:type="dcterms:W3CDTF">2020-01-10T16:08:29Z</dcterms:modified>
</cp:coreProperties>
</file>