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1"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20-F</w:t>
      </w:r>
    </w:p>
    <w:p>
      <w:pPr>
        <w:spacing w:after="0" w:line="288" w:lineRule="exact"/>
        <w:rPr>
          <w:sz w:val="24"/>
          <w:szCs w:val="24"/>
          <w:color w:val="auto"/>
        </w:rPr>
      </w:pPr>
    </w:p>
    <w:p>
      <w:pPr>
        <w:ind w:left="500" w:hanging="492"/>
        <w:spacing w:after="0"/>
        <w:tabs>
          <w:tab w:leader="none" w:pos="50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REGISTRATION STATEMENT PURSUANT TO SECTION 12(b) OR (g) OF THE SECURITIES EXCHANGE ACT OF 1934</w:t>
      </w:r>
    </w:p>
    <w:p>
      <w:pPr>
        <w:spacing w:after="0" w:line="297"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OR</w:t>
      </w:r>
    </w:p>
    <w:p>
      <w:pPr>
        <w:spacing w:after="0" w:line="281" w:lineRule="exact"/>
        <w:rPr>
          <w:sz w:val="24"/>
          <w:szCs w:val="24"/>
          <w:color w:val="auto"/>
        </w:rPr>
      </w:pPr>
    </w:p>
    <w:p>
      <w:pPr>
        <w:ind w:left="500" w:hanging="492"/>
        <w:spacing w:after="0"/>
        <w:tabs>
          <w:tab w:leader="none" w:pos="50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ANNUAL REPORT PURSUANT TO SECTION 13 OR 15(d) OF THE SECURITIES EXCHANGE ACT OF 1934</w:t>
      </w:r>
    </w:p>
    <w:p>
      <w:pPr>
        <w:spacing w:after="0" w:line="258" w:lineRule="exact"/>
        <w:rPr>
          <w:sz w:val="24"/>
          <w:szCs w:val="24"/>
          <w:color w:val="auto"/>
        </w:rPr>
      </w:pPr>
    </w:p>
    <w:p>
      <w:pPr>
        <w:ind w:left="520"/>
        <w:spacing w:after="0"/>
        <w:rPr>
          <w:sz w:val="20"/>
          <w:szCs w:val="20"/>
          <w:color w:val="auto"/>
        </w:rPr>
      </w:pPr>
      <w:r>
        <w:rPr>
          <w:rFonts w:ascii="Arial" w:cs="Arial" w:eastAsia="Arial" w:hAnsi="Arial"/>
          <w:sz w:val="22"/>
          <w:szCs w:val="22"/>
          <w:color w:val="auto"/>
        </w:rPr>
        <w:t>For the fiscal year ended December 31, 2019</w:t>
      </w:r>
    </w:p>
    <w:p>
      <w:pPr>
        <w:spacing w:after="0" w:line="287"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OR</w:t>
      </w:r>
    </w:p>
    <w:p>
      <w:pPr>
        <w:spacing w:after="0" w:line="281" w:lineRule="exact"/>
        <w:rPr>
          <w:sz w:val="24"/>
          <w:szCs w:val="24"/>
          <w:color w:val="auto"/>
        </w:rPr>
      </w:pPr>
    </w:p>
    <w:p>
      <w:pPr>
        <w:ind w:left="500" w:hanging="492"/>
        <w:spacing w:after="0"/>
        <w:tabs>
          <w:tab w:leader="none" w:pos="50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13 OR 15(d) OF THE SECURITIES EXCHANGE ACT OF 1934</w:t>
      </w:r>
    </w:p>
    <w:p>
      <w:pPr>
        <w:spacing w:after="0" w:line="285"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OR</w:t>
      </w:r>
    </w:p>
    <w:p>
      <w:pPr>
        <w:spacing w:after="0" w:line="281" w:lineRule="exact"/>
        <w:rPr>
          <w:sz w:val="24"/>
          <w:szCs w:val="24"/>
          <w:color w:val="auto"/>
        </w:rPr>
      </w:pPr>
    </w:p>
    <w:p>
      <w:pPr>
        <w:ind w:left="500" w:hanging="492"/>
        <w:spacing w:after="0"/>
        <w:tabs>
          <w:tab w:leader="none" w:pos="500" w:val="left"/>
        </w:tabs>
        <w:numPr>
          <w:ilvl w:val="0"/>
          <w:numId w:val="4"/>
        </w:numPr>
        <w:rPr>
          <w:rFonts w:ascii="MS PGothic" w:cs="MS PGothic" w:eastAsia="MS PGothic" w:hAnsi="MS PGothic"/>
          <w:sz w:val="17"/>
          <w:szCs w:val="17"/>
          <w:color w:val="auto"/>
        </w:rPr>
      </w:pPr>
      <w:r>
        <w:rPr>
          <w:rFonts w:ascii="Arial" w:cs="Arial" w:eastAsia="Arial" w:hAnsi="Arial"/>
          <w:sz w:val="17"/>
          <w:szCs w:val="17"/>
          <w:color w:val="auto"/>
        </w:rPr>
        <w:t>SHELL COMPANY REPORT PURSUANT TO SECTION 13 OR 15(d) OF THE SECURITIES EXCHANGE ACT OF 1934</w:t>
      </w:r>
    </w:p>
    <w:p>
      <w:pPr>
        <w:spacing w:after="0" w:line="297" w:lineRule="exact"/>
        <w:rPr>
          <w:sz w:val="24"/>
          <w:szCs w:val="24"/>
          <w:color w:val="auto"/>
        </w:rPr>
      </w:pPr>
    </w:p>
    <w:p>
      <w:pPr>
        <w:ind w:left="520"/>
        <w:spacing w:after="0"/>
        <w:rPr>
          <w:sz w:val="20"/>
          <w:szCs w:val="20"/>
          <w:color w:val="auto"/>
        </w:rPr>
      </w:pPr>
      <w:r>
        <w:rPr>
          <w:rFonts w:ascii="Arial" w:cs="Arial" w:eastAsia="Arial" w:hAnsi="Arial"/>
          <w:sz w:val="22"/>
          <w:szCs w:val="22"/>
          <w:color w:val="auto"/>
        </w:rPr>
        <w:t>Date of event requiring this shell company report ________________</w:t>
      </w:r>
    </w:p>
    <w:p>
      <w:pPr>
        <w:spacing w:after="0" w:line="287"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Commission file number 001-38367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2919730</wp:posOffset>
            </wp:positionH>
            <wp:positionV relativeFrom="paragraph">
              <wp:posOffset>187325</wp:posOffset>
            </wp:positionV>
            <wp:extent cx="1311275" cy="7372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11275" cy="7372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Sol-Gel Technologies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22860</wp:posOffset>
            </wp:positionV>
            <wp:extent cx="568325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2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14605</wp:posOffset>
            </wp:positionV>
            <wp:extent cx="568325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14605</wp:posOffset>
            </wp:positionV>
            <wp:extent cx="568325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(Jurisdiction of incorporation or organization)</w:t>
      </w:r>
    </w:p>
    <w:p>
      <w:pPr>
        <w:spacing w:after="0" w:line="27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offices)</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Gilad Mamlok, Chief Financial Officer</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7 Golda Meir St., Weizmann Science Park, Ness Ziona, 7403650, Israel</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Tel: 972-8-9313429; Fax: 972-153-523044444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Telephone, E-mail and/or Facsimile number and Address of Company Contact Person)</w:t>
      </w:r>
    </w:p>
    <w:p>
      <w:pPr>
        <w:spacing w:after="0" w:line="285"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Securities registered or to be registered pursuant to Section 12(b) of the Act.</w:t>
      </w:r>
    </w:p>
    <w:p>
      <w:pPr>
        <w:sectPr>
          <w:pgSz w:w="11900" w:h="16838" w:orient="portrait"/>
          <w:cols w:equalWidth="0" w:num="1">
            <w:col w:w="11240"/>
          </w:cols>
          <w:pgMar w:left="320" w:top="819" w:right="339" w:bottom="1440" w:gutter="0" w:footer="0" w:header="0"/>
        </w:sectPr>
      </w:pPr>
    </w:p>
    <w:p>
      <w:pPr>
        <w:spacing w:after="0" w:line="281"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2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Title of each class</w:t>
            </w:r>
          </w:p>
        </w:tc>
        <w:tc>
          <w:tcPr>
            <w:tcW w:w="114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34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20" w:type="dxa"/>
            <w:vAlign w:val="bottom"/>
          </w:tcPr>
          <w:p>
            <w:pPr>
              <w:spacing w:after="0"/>
              <w:rPr>
                <w:sz w:val="20"/>
                <w:szCs w:val="20"/>
                <w:color w:val="auto"/>
              </w:rPr>
            </w:pPr>
          </w:p>
        </w:tc>
        <w:tc>
          <w:tcPr>
            <w:tcW w:w="3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0"/>
        </w:trPr>
        <w:tc>
          <w:tcPr>
            <w:tcW w:w="2480" w:type="dxa"/>
            <w:vAlign w:val="bottom"/>
          </w:tcPr>
          <w:p>
            <w:pPr>
              <w:jc w:val="right"/>
              <w:spacing w:after="0"/>
              <w:rPr>
                <w:sz w:val="20"/>
                <w:szCs w:val="20"/>
                <w:color w:val="auto"/>
              </w:rPr>
            </w:pPr>
            <w:r>
              <w:rPr>
                <w:rFonts w:ascii="Arial" w:cs="Arial" w:eastAsia="Arial" w:hAnsi="Arial"/>
                <w:sz w:val="18"/>
                <w:szCs w:val="18"/>
                <w:color w:val="auto"/>
                <w:w w:val="97"/>
              </w:rPr>
              <w:t>Ordinary Shares, par value NIS</w:t>
            </w:r>
          </w:p>
        </w:tc>
        <w:tc>
          <w:tcPr>
            <w:tcW w:w="1140" w:type="dxa"/>
            <w:vAlign w:val="bottom"/>
          </w:tcPr>
          <w:p>
            <w:pPr>
              <w:ind w:left="20"/>
              <w:spacing w:after="0"/>
              <w:rPr>
                <w:sz w:val="20"/>
                <w:szCs w:val="20"/>
                <w:color w:val="auto"/>
              </w:rPr>
            </w:pPr>
            <w:r>
              <w:rPr>
                <w:rFonts w:ascii="Arial" w:cs="Arial" w:eastAsia="Arial" w:hAnsi="Arial"/>
                <w:sz w:val="18"/>
                <w:szCs w:val="18"/>
                <w:color w:val="auto"/>
              </w:rPr>
              <w:t>0.1 per share</w:t>
            </w:r>
          </w:p>
        </w:tc>
        <w:tc>
          <w:tcPr>
            <w:tcW w:w="320" w:type="dxa"/>
            <w:vAlign w:val="bottom"/>
          </w:tcPr>
          <w:p>
            <w:pPr>
              <w:spacing w:after="0"/>
              <w:rPr>
                <w:sz w:val="20"/>
                <w:szCs w:val="20"/>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99"/>
              </w:rPr>
              <w:t>SLGL</w:t>
            </w:r>
          </w:p>
        </w:tc>
        <w:tc>
          <w:tcPr>
            <w:tcW w:w="320" w:type="dxa"/>
            <w:vAlign w:val="bottom"/>
          </w:tcPr>
          <w:p>
            <w:pPr>
              <w:spacing w:after="0"/>
              <w:rPr>
                <w:sz w:val="20"/>
                <w:szCs w:val="20"/>
                <w:color w:val="auto"/>
              </w:rPr>
            </w:pPr>
          </w:p>
        </w:tc>
        <w:tc>
          <w:tcPr>
            <w:tcW w:w="3520" w:type="dxa"/>
            <w:vAlign w:val="bottom"/>
          </w:tcPr>
          <w:p>
            <w:pPr>
              <w:jc w:val="center"/>
              <w:spacing w:after="0"/>
              <w:rPr>
                <w:sz w:val="20"/>
                <w:szCs w:val="20"/>
                <w:color w:val="auto"/>
              </w:rPr>
            </w:pPr>
            <w:r>
              <w:rPr>
                <w:rFonts w:ascii="Arial" w:cs="Arial" w:eastAsia="Arial" w:hAnsi="Arial"/>
                <w:sz w:val="18"/>
                <w:szCs w:val="18"/>
                <w:color w:val="auto"/>
                <w:w w:val="91"/>
              </w:rPr>
              <w:t>The Nasdaq Stock Market LLC</w:t>
            </w:r>
          </w:p>
        </w:tc>
      </w:tr>
      <w:tr>
        <w:trPr>
          <w:trHeight w:val="438"/>
        </w:trPr>
        <w:tc>
          <w:tcPr>
            <w:tcW w:w="24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4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5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19"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color w:val="auto"/>
        </w:rPr>
        <w:t>Securities registered or to be registered pursuant to Section 12(g) of the Act:</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(Title of Class)</w:t>
      </w:r>
    </w:p>
    <w:p>
      <w:pPr>
        <w:spacing w:after="0" w:line="285" w:lineRule="exact"/>
        <w:rPr>
          <w:sz w:val="20"/>
          <w:szCs w:val="20"/>
          <w:color w:val="auto"/>
        </w:rPr>
      </w:pPr>
    </w:p>
    <w:p>
      <w:pPr>
        <w:spacing w:after="0"/>
        <w:rPr>
          <w:sz w:val="20"/>
          <w:szCs w:val="20"/>
          <w:color w:val="auto"/>
        </w:rPr>
      </w:pPr>
      <w:r>
        <w:rPr>
          <w:rFonts w:ascii="Arial" w:cs="Arial" w:eastAsia="Arial" w:hAnsi="Arial"/>
          <w:sz w:val="22"/>
          <w:szCs w:val="22"/>
          <w:color w:val="auto"/>
        </w:rPr>
        <w:t>Securities for which there is a reporting obligation pursuant to Section 15(d) of the Act:</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(Title of Class)</w:t>
      </w:r>
    </w:p>
    <w:p>
      <w:pPr>
        <w:spacing w:after="0" w:line="2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Indicate the number of outstanding shares of each of the issuer’s classes of capital or common stock as of the close of the period covered by the annual report: 20,402,800 Ordinary Shares, par value NIS 0.1 per share</w:t>
      </w:r>
    </w:p>
    <w:p>
      <w:pPr>
        <w:spacing w:after="0" w:line="228"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Indicate by check mark if the registrant is a well-known seasoned issuer, as defined in Rule 405 of the Securities Act.</w:t>
      </w:r>
    </w:p>
    <w:p>
      <w:pPr>
        <w:spacing w:after="0" w:line="259" w:lineRule="exact"/>
        <w:rPr>
          <w:sz w:val="20"/>
          <w:szCs w:val="20"/>
          <w:color w:val="auto"/>
        </w:rPr>
      </w:pPr>
    </w:p>
    <w:p>
      <w:pPr>
        <w:jc w:val="center"/>
        <w:ind w:right="-19"/>
        <w:spacing w:after="0" w:line="253" w:lineRule="exact"/>
        <w:tabs>
          <w:tab w:leader="none" w:pos="52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9"/>
          <w:szCs w:val="19"/>
          <w:color w:val="auto"/>
        </w:rPr>
        <w:t>☒</w:t>
      </w:r>
    </w:p>
    <w:p>
      <w:pPr>
        <w:spacing w:after="0" w:line="32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If this report is an annual or transition report, indicate by check mark if the registrant is not required to file reports pursuant to Section 13 or 15(d) of the Securities Exchange Act 1934.</w:t>
      </w:r>
    </w:p>
    <w:p>
      <w:pPr>
        <w:spacing w:after="0" w:line="188" w:lineRule="exact"/>
        <w:rPr>
          <w:sz w:val="20"/>
          <w:szCs w:val="20"/>
          <w:color w:val="auto"/>
        </w:rPr>
      </w:pPr>
    </w:p>
    <w:p>
      <w:pPr>
        <w:jc w:val="center"/>
        <w:ind w:right="-19"/>
        <w:spacing w:after="0" w:line="253" w:lineRule="exact"/>
        <w:tabs>
          <w:tab w:leader="none" w:pos="52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9"/>
          <w:szCs w:val="19"/>
          <w:color w:val="auto"/>
        </w:rPr>
        <w:t>☒</w:t>
      </w:r>
    </w:p>
    <w:p>
      <w:pPr>
        <w:spacing w:after="0" w:line="32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83" w:lineRule="exact"/>
        <w:rPr>
          <w:sz w:val="20"/>
          <w:szCs w:val="20"/>
          <w:color w:val="auto"/>
        </w:rPr>
      </w:pPr>
    </w:p>
    <w:p>
      <w:pPr>
        <w:jc w:val="center"/>
        <w:ind w:right="-19"/>
        <w:spacing w:after="0" w:line="253" w:lineRule="exact"/>
        <w:tabs>
          <w:tab w:leader="none" w:pos="56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9"/>
          <w:szCs w:val="19"/>
          <w:color w:val="auto"/>
        </w:rPr>
        <w:t>☐</w:t>
      </w:r>
    </w:p>
    <w:p>
      <w:pPr>
        <w:spacing w:after="0" w:line="327" w:lineRule="exact"/>
        <w:rPr>
          <w:sz w:val="20"/>
          <w:szCs w:val="20"/>
          <w:color w:val="auto"/>
        </w:rPr>
      </w:pPr>
    </w:p>
    <w:p>
      <w:pPr>
        <w:jc w:val="both"/>
        <w:ind w:firstLine="868"/>
        <w:spacing w:after="0" w:line="266" w:lineRule="auto"/>
        <w:rPr>
          <w:sz w:val="20"/>
          <w:szCs w:val="20"/>
          <w:color w:val="auto"/>
        </w:rPr>
      </w:pPr>
      <w:r>
        <w:rPr>
          <w:rFonts w:ascii="Arial" w:cs="Arial" w:eastAsia="Arial" w:hAnsi="Arial"/>
          <w:sz w:val="22"/>
          <w:szCs w:val="22"/>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99" w:lineRule="exact"/>
        <w:rPr>
          <w:sz w:val="20"/>
          <w:szCs w:val="20"/>
          <w:color w:val="auto"/>
        </w:rPr>
      </w:pPr>
    </w:p>
    <w:p>
      <w:pPr>
        <w:jc w:val="center"/>
        <w:ind w:right="-19"/>
        <w:spacing w:after="0" w:line="253" w:lineRule="exact"/>
        <w:tabs>
          <w:tab w:leader="none" w:pos="56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9"/>
          <w:szCs w:val="19"/>
          <w:color w:val="auto"/>
        </w:rPr>
        <w:t>☐</w:t>
      </w:r>
    </w:p>
    <w:p>
      <w:pPr>
        <w:spacing w:after="0" w:line="32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Indicate by check mark whether the registrant is a large accelerated filer, an accelerated filer, or a non-accelerated filer.</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See definition of “accelerated filer and large accelerated filer” in Rule 12b-2 of the Exchange Act. (Check one):</w:t>
      </w:r>
    </w:p>
    <w:p>
      <w:pPr>
        <w:sectPr>
          <w:pgSz w:w="11900" w:h="16838" w:orient="portrait"/>
          <w:cols w:equalWidth="0" w:num="1">
            <w:col w:w="11240"/>
          </w:cols>
          <w:pgMar w:left="320" w:top="402" w:right="339" w:bottom="0" w:gutter="0" w:footer="0" w:header="0"/>
        </w:sectPr>
      </w:pPr>
    </w:p>
    <w:p>
      <w:pPr>
        <w:spacing w:after="0" w:line="244" w:lineRule="exact"/>
        <w:rPr>
          <w:sz w:val="20"/>
          <w:szCs w:val="20"/>
          <w:color w:val="auto"/>
        </w:rPr>
      </w:pPr>
    </w:p>
    <w:p>
      <w:pPr>
        <w:ind w:left="940"/>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Accelerated filer </w:t>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p>
    <w:p>
      <w:pPr>
        <w:spacing w:after="0" w:line="58" w:lineRule="exact"/>
        <w:rPr>
          <w:sz w:val="20"/>
          <w:szCs w:val="20"/>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0" w:lineRule="exact"/>
        <w:rPr>
          <w:sz w:val="20"/>
          <w:szCs w:val="20"/>
          <w:color w:val="auto"/>
        </w:rPr>
      </w:pPr>
    </w:p>
    <w:p>
      <w:pPr>
        <w:sectPr>
          <w:pgSz w:w="11900" w:h="16838" w:orient="portrait"/>
          <w:cols w:equalWidth="0" w:num="3">
            <w:col w:w="4200" w:space="720"/>
            <w:col w:w="1840" w:space="720"/>
            <w:col w:w="3760"/>
          </w:cols>
          <w:pgMar w:left="320" w:top="402" w:right="339" w:bottom="0" w:gutter="0" w:footer="0" w:header="0"/>
          <w:type w:val="continuous"/>
        </w:sectPr>
      </w:pPr>
    </w:p>
    <w:p>
      <w:pPr>
        <w:spacing w:after="0" w:line="92" w:lineRule="exact"/>
        <w:rPr>
          <w:sz w:val="20"/>
          <w:szCs w:val="20"/>
          <w:color w:val="auto"/>
        </w:rPr>
      </w:pPr>
    </w:p>
    <w:p>
      <w:pPr>
        <w:ind w:right="240" w:firstLine="648"/>
        <w:spacing w:after="0" w:line="280" w:lineRule="exact"/>
        <w:rPr>
          <w:sz w:val="20"/>
          <w:szCs w:val="20"/>
          <w:color w:val="auto"/>
        </w:rPr>
      </w:pPr>
      <w:r>
        <w:rPr>
          <w:rFonts w:ascii="Arial" w:cs="Arial" w:eastAsia="Arial" w:hAnsi="Arial"/>
          <w:sz w:val="22"/>
          <w:szCs w:val="22"/>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22"/>
          <w:szCs w:val="22"/>
          <w:color w:val="auto"/>
        </w:rPr>
        <w:t>☐</w:t>
      </w:r>
    </w:p>
    <w:p>
      <w:pPr>
        <w:spacing w:after="0" w:line="242"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Indicate by check mark which basis of accounting the registrant has used to prepare the financial statements included in this filing:</w:t>
      </w:r>
    </w:p>
    <w:p>
      <w:pPr>
        <w:spacing w:after="0" w:line="188" w:lineRule="exact"/>
        <w:rPr>
          <w:sz w:val="20"/>
          <w:szCs w:val="20"/>
          <w:color w:val="auto"/>
        </w:rPr>
      </w:pPr>
    </w:p>
    <w:p>
      <w:pPr>
        <w:jc w:val="center"/>
        <w:ind w:right="-19"/>
        <w:spacing w:after="0" w:line="253" w:lineRule="exact"/>
        <w:rPr>
          <w:sz w:val="20"/>
          <w:szCs w:val="20"/>
          <w:color w:val="auto"/>
        </w:rPr>
      </w:pPr>
      <w:r>
        <w:rPr>
          <w:rFonts w:ascii="Arial" w:cs="Arial" w:eastAsia="Arial" w:hAnsi="Arial"/>
          <w:sz w:val="22"/>
          <w:szCs w:val="22"/>
          <w:color w:val="auto"/>
        </w:rPr>
        <w:t xml:space="preserve">U.S. GAAP </w:t>
      </w:r>
      <w:r>
        <w:rPr>
          <w:rFonts w:ascii="MS PGothic" w:cs="MS PGothic" w:eastAsia="MS PGothic" w:hAnsi="MS PGothic"/>
          <w:sz w:val="22"/>
          <w:szCs w:val="22"/>
          <w:color w:val="auto"/>
        </w:rPr>
        <w:t>☒</w:t>
      </w:r>
    </w:p>
    <w:p>
      <w:pPr>
        <w:spacing w:after="0" w:line="287" w:lineRule="exact"/>
        <w:rPr>
          <w:sz w:val="20"/>
          <w:szCs w:val="20"/>
          <w:color w:val="auto"/>
        </w:rPr>
      </w:pPr>
    </w:p>
    <w:p>
      <w:pPr>
        <w:ind w:left="660"/>
        <w:spacing w:after="0" w:line="219" w:lineRule="exact"/>
        <w:rPr>
          <w:sz w:val="20"/>
          <w:szCs w:val="20"/>
          <w:color w:val="auto"/>
        </w:rPr>
      </w:pPr>
      <w:r>
        <w:rPr>
          <w:rFonts w:ascii="Arial" w:cs="Arial" w:eastAsia="Arial" w:hAnsi="Arial"/>
          <w:sz w:val="19"/>
          <w:szCs w:val="19"/>
          <w:color w:val="auto"/>
        </w:rPr>
        <w:t xml:space="preserve">International Financing Reporting Standards as issued by the International Accounting Standards Board </w:t>
      </w:r>
      <w:r>
        <w:rPr>
          <w:rFonts w:ascii="MS PGothic" w:cs="MS PGothic" w:eastAsia="MS PGothic" w:hAnsi="MS PGothic"/>
          <w:sz w:val="19"/>
          <w:szCs w:val="19"/>
          <w:color w:val="auto"/>
        </w:rPr>
        <w:t>☐</w:t>
      </w:r>
      <w:r>
        <w:rPr>
          <w:rFonts w:ascii="Arial" w:cs="Arial" w:eastAsia="Arial" w:hAnsi="Arial"/>
          <w:sz w:val="19"/>
          <w:szCs w:val="19"/>
          <w:color w:val="auto"/>
        </w:rPr>
        <w:t xml:space="preserve"> Other </w:t>
      </w:r>
      <w:r>
        <w:rPr>
          <w:rFonts w:ascii="MS PGothic" w:cs="MS PGothic" w:eastAsia="MS PGothic" w:hAnsi="MS PGothic"/>
          <w:sz w:val="19"/>
          <w:szCs w:val="19"/>
          <w:color w:val="auto"/>
        </w:rPr>
        <w:t>☐</w:t>
      </w:r>
    </w:p>
    <w:p>
      <w:pPr>
        <w:spacing w:after="0" w:line="362"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If “Other” has been checked in response to the previous question, indicate by check mark which financial statement item the registrant has elected to follow.</w:t>
      </w:r>
    </w:p>
    <w:p>
      <w:pPr>
        <w:spacing w:after="0" w:line="188" w:lineRule="exact"/>
        <w:rPr>
          <w:sz w:val="20"/>
          <w:szCs w:val="20"/>
          <w:color w:val="auto"/>
        </w:rPr>
      </w:pPr>
    </w:p>
    <w:p>
      <w:pPr>
        <w:jc w:val="center"/>
        <w:spacing w:after="0" w:line="253" w:lineRule="exact"/>
        <w:tabs>
          <w:tab w:leader="none" w:pos="520" w:val="left"/>
        </w:tabs>
        <w:rPr>
          <w:sz w:val="20"/>
          <w:szCs w:val="20"/>
          <w:color w:val="auto"/>
        </w:rPr>
      </w:pPr>
      <w:r>
        <w:rPr>
          <w:rFonts w:ascii="Arial" w:cs="Arial" w:eastAsia="Arial" w:hAnsi="Arial"/>
          <w:sz w:val="22"/>
          <w:szCs w:val="22"/>
          <w:color w:val="auto"/>
        </w:rPr>
        <w:t xml:space="preserve">Item 17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Item 18 </w:t>
      </w:r>
      <w:r>
        <w:rPr>
          <w:rFonts w:ascii="MS PGothic" w:cs="MS PGothic" w:eastAsia="MS PGothic" w:hAnsi="MS PGothic"/>
          <w:sz w:val="19"/>
          <w:szCs w:val="19"/>
          <w:color w:val="auto"/>
        </w:rPr>
        <w:t>☐</w:t>
      </w:r>
    </w:p>
    <w:p>
      <w:pPr>
        <w:spacing w:after="0" w:line="327"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If this is an annual report, indicate by check mark whether the registrant is a shell company (as defined in Rule 12b-2 of the Exchange Act).</w:t>
      </w:r>
    </w:p>
    <w:p>
      <w:pPr>
        <w:spacing w:after="0" w:line="188" w:lineRule="exact"/>
        <w:rPr>
          <w:sz w:val="20"/>
          <w:szCs w:val="20"/>
          <w:color w:val="auto"/>
        </w:rPr>
      </w:pPr>
    </w:p>
    <w:p>
      <w:pPr>
        <w:jc w:val="center"/>
        <w:ind w:right="-19"/>
        <w:spacing w:after="0" w:line="253" w:lineRule="exact"/>
        <w:tabs>
          <w:tab w:leader="none" w:pos="520" w:val="left"/>
        </w:tabs>
        <w:rPr>
          <w:sz w:val="20"/>
          <w:szCs w:val="20"/>
          <w:color w:val="auto"/>
        </w:rPr>
      </w:pPr>
      <w:r>
        <w:rPr>
          <w:rFonts w:ascii="Arial" w:cs="Arial" w:eastAsia="Arial" w:hAnsi="Arial"/>
          <w:sz w:val="22"/>
          <w:szCs w:val="22"/>
          <w:color w:val="auto"/>
        </w:rPr>
        <w:t xml:space="preserve">Yes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No </w:t>
      </w:r>
      <w:r>
        <w:rPr>
          <w:rFonts w:ascii="MS PGothic" w:cs="MS PGothic" w:eastAsia="MS PGothic" w:hAnsi="MS PGothic"/>
          <w:sz w:val="19"/>
          <w:szCs w:val="19"/>
          <w:color w:val="auto"/>
        </w:rPr>
        <w:t>☒</w:t>
      </w:r>
    </w:p>
    <w:p>
      <w:pPr>
        <w:sectPr>
          <w:pgSz w:w="11900" w:h="16838" w:orient="portrait"/>
          <w:cols w:equalWidth="0" w:num="1">
            <w:col w:w="11240"/>
          </w:cols>
          <w:pgMar w:left="320" w:top="402" w:right="339" w:bottom="0" w:gutter="0" w:footer="0" w:header="0"/>
          <w:type w:val="continuous"/>
        </w:sectPr>
      </w:pPr>
    </w:p>
    <w:bookmarkStart w:id="2" w:name="page3"/>
    <w:bookmarkEnd w:id="2"/>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78740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3" w:name="page4"/>
    <w:bookmarkEnd w:id="3"/>
    <w:p>
      <w:pPr>
        <w:jc w:val="center"/>
        <w:ind w:right="20"/>
        <w:spacing w:after="0"/>
        <w:rPr>
          <w:sz w:val="20"/>
          <w:szCs w:val="20"/>
          <w:color w:val="auto"/>
        </w:rPr>
      </w:pPr>
      <w:r>
        <w:rPr>
          <w:rFonts w:ascii="Arial" w:cs="Arial" w:eastAsia="Arial" w:hAnsi="Arial"/>
          <w:sz w:val="22"/>
          <w:szCs w:val="22"/>
          <w:b w:val="1"/>
          <w:bCs w:val="1"/>
          <w:color w:val="auto"/>
        </w:rPr>
        <w:t>TABLE OF CONTENTS</w:t>
      </w: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20" w:type="dxa"/>
            <w:vAlign w:val="bottom"/>
          </w:tcPr>
          <w:p>
            <w:pPr>
              <w:spacing w:after="0"/>
              <w:rPr>
                <w:rFonts w:ascii="Arial" w:cs="Arial" w:eastAsia="Arial" w:hAnsi="Arial"/>
                <w:sz w:val="18"/>
                <w:szCs w:val="18"/>
                <w:color w:val="0000EE"/>
                <w:w w:val="95"/>
              </w:rPr>
            </w:pPr>
            <w:hyperlink w:anchor="page7">
              <w:r>
                <w:rPr>
                  <w:rFonts w:ascii="Arial" w:cs="Arial" w:eastAsia="Arial" w:hAnsi="Arial"/>
                  <w:sz w:val="18"/>
                  <w:szCs w:val="18"/>
                  <w:color w:val="0000EE"/>
                  <w:w w:val="95"/>
                </w:rPr>
                <w:t>ITEM 1.</w:t>
              </w:r>
            </w:hyperlink>
          </w:p>
        </w:tc>
        <w:tc>
          <w:tcPr>
            <w:tcW w:w="720" w:type="dxa"/>
            <w:vAlign w:val="bottom"/>
            <w:gridSpan w:val="5"/>
          </w:tcPr>
          <w:p>
            <w:pPr>
              <w:spacing w:after="0"/>
              <w:rPr>
                <w:sz w:val="17"/>
                <w:szCs w:val="17"/>
                <w:color w:val="auto"/>
              </w:rPr>
            </w:pPr>
          </w:p>
        </w:tc>
        <w:tc>
          <w:tcPr>
            <w:tcW w:w="8720" w:type="dxa"/>
            <w:vAlign w:val="bottom"/>
            <w:gridSpan w:val="26"/>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IDENTITY OF DIRECTORS, SENIOR MANAGEMENT AND ADVISERS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50"/>
        </w:trPr>
        <w:tc>
          <w:tcPr>
            <w:tcW w:w="620" w:type="dxa"/>
            <w:vAlign w:val="bottom"/>
            <w:tcBorders>
              <w:top w:val="single" w:sz="8" w:color="0000EE"/>
            </w:tcBorders>
          </w:tcPr>
          <w:p>
            <w:pPr>
              <w:spacing w:after="0"/>
              <w:rPr>
                <w:rFonts w:ascii="Arial" w:cs="Arial" w:eastAsia="Arial" w:hAnsi="Arial"/>
                <w:sz w:val="18"/>
                <w:szCs w:val="18"/>
                <w:color w:val="0000EE"/>
                <w:w w:val="95"/>
              </w:rPr>
            </w:pPr>
            <w:hyperlink w:anchor="page7">
              <w:r>
                <w:rPr>
                  <w:rFonts w:ascii="Arial" w:cs="Arial" w:eastAsia="Arial" w:hAnsi="Arial"/>
                  <w:sz w:val="18"/>
                  <w:szCs w:val="18"/>
                  <w:color w:val="0000EE"/>
                  <w:w w:val="95"/>
                </w:rPr>
                <w:t>ITEM 2.</w:t>
              </w:r>
            </w:hyperlink>
          </w:p>
        </w:tc>
        <w:tc>
          <w:tcPr>
            <w:tcW w:w="720" w:type="dxa"/>
            <w:vAlign w:val="bottom"/>
            <w:gridSpan w:val="5"/>
          </w:tcPr>
          <w:p>
            <w:pPr>
              <w:spacing w:after="0"/>
              <w:rPr>
                <w:sz w:val="21"/>
                <w:szCs w:val="21"/>
                <w:color w:val="auto"/>
              </w:rPr>
            </w:pPr>
          </w:p>
        </w:tc>
        <w:tc>
          <w:tcPr>
            <w:tcW w:w="5600" w:type="dxa"/>
            <w:vAlign w:val="bottom"/>
            <w:tcBorders>
              <w:top w:val="single" w:sz="8" w:color="0000EE"/>
            </w:tcBorders>
            <w:gridSpan w:val="21"/>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OFFER STATISTICS AND EXPECTED TIMETABLE</w:t>
              </w:r>
            </w:hyperlink>
          </w:p>
        </w:tc>
        <w:tc>
          <w:tcPr>
            <w:tcW w:w="3120" w:type="dxa"/>
            <w:vAlign w:val="bottom"/>
            <w:gridSpan w:val="5"/>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50"/>
        </w:trPr>
        <w:tc>
          <w:tcPr>
            <w:tcW w:w="620" w:type="dxa"/>
            <w:vAlign w:val="bottom"/>
            <w:tcBorders>
              <w:top w:val="single" w:sz="8" w:color="0000EE"/>
              <w:bottom w:val="single" w:sz="8" w:color="0000EE"/>
            </w:tcBorders>
          </w:tcPr>
          <w:p>
            <w:pPr>
              <w:spacing w:after="0"/>
              <w:rPr>
                <w:rFonts w:ascii="Arial" w:cs="Arial" w:eastAsia="Arial" w:hAnsi="Arial"/>
                <w:sz w:val="18"/>
                <w:szCs w:val="18"/>
                <w:color w:val="0000EE"/>
                <w:w w:val="95"/>
              </w:rPr>
            </w:pPr>
            <w:hyperlink w:anchor="page7">
              <w:r>
                <w:rPr>
                  <w:rFonts w:ascii="Arial" w:cs="Arial" w:eastAsia="Arial" w:hAnsi="Arial"/>
                  <w:sz w:val="18"/>
                  <w:szCs w:val="18"/>
                  <w:color w:val="0000EE"/>
                  <w:w w:val="95"/>
                </w:rPr>
                <w:t>ITEM 3.</w:t>
              </w:r>
            </w:hyperlink>
          </w:p>
        </w:tc>
        <w:tc>
          <w:tcPr>
            <w:tcW w:w="720" w:type="dxa"/>
            <w:vAlign w:val="bottom"/>
            <w:gridSpan w:val="5"/>
          </w:tcPr>
          <w:p>
            <w:pPr>
              <w:spacing w:after="0"/>
              <w:rPr>
                <w:sz w:val="21"/>
                <w:szCs w:val="21"/>
                <w:color w:val="auto"/>
              </w:rPr>
            </w:pPr>
          </w:p>
        </w:tc>
        <w:tc>
          <w:tcPr>
            <w:tcW w:w="166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98"/>
              </w:rPr>
            </w:pPr>
            <w:hyperlink w:anchor="page7">
              <w:r>
                <w:rPr>
                  <w:rFonts w:ascii="Arial" w:cs="Arial" w:eastAsia="Arial" w:hAnsi="Arial"/>
                  <w:sz w:val="18"/>
                  <w:szCs w:val="18"/>
                  <w:color w:val="0000EE"/>
                  <w:w w:val="98"/>
                </w:rPr>
                <w:t>KEY INFORMATION</w:t>
              </w:r>
            </w:hyperlink>
          </w:p>
        </w:tc>
        <w:tc>
          <w:tcPr>
            <w:tcW w:w="2360" w:type="dxa"/>
            <w:vAlign w:val="bottom"/>
            <w:tcBorders>
              <w:top w:val="single" w:sz="8" w:color="0000EE"/>
            </w:tcBorders>
            <w:gridSpan w:val="10"/>
          </w:tcPr>
          <w:p>
            <w:pPr>
              <w:spacing w:after="0"/>
              <w:rPr>
                <w:sz w:val="21"/>
                <w:szCs w:val="21"/>
                <w:color w:val="auto"/>
              </w:rPr>
            </w:pPr>
          </w:p>
        </w:tc>
        <w:tc>
          <w:tcPr>
            <w:tcW w:w="4700" w:type="dxa"/>
            <w:vAlign w:val="bottom"/>
            <w:gridSpan w:val="12"/>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50"/>
        </w:trPr>
        <w:tc>
          <w:tcPr>
            <w:tcW w:w="620" w:type="dxa"/>
            <w:vAlign w:val="bottom"/>
            <w:tcBorders>
              <w:bottom w:val="single" w:sz="8" w:color="0000EE"/>
            </w:tcBorders>
          </w:tcPr>
          <w:p>
            <w:pPr>
              <w:spacing w:after="0"/>
              <w:rPr>
                <w:rFonts w:ascii="Arial" w:cs="Arial" w:eastAsia="Arial" w:hAnsi="Arial"/>
                <w:sz w:val="18"/>
                <w:szCs w:val="18"/>
                <w:color w:val="0000EE"/>
                <w:w w:val="95"/>
              </w:rPr>
            </w:pPr>
            <w:hyperlink w:anchor="page52">
              <w:r>
                <w:rPr>
                  <w:rFonts w:ascii="Arial" w:cs="Arial" w:eastAsia="Arial" w:hAnsi="Arial"/>
                  <w:sz w:val="18"/>
                  <w:szCs w:val="18"/>
                  <w:color w:val="0000EE"/>
                  <w:w w:val="95"/>
                </w:rPr>
                <w:t>ITEM 4.</w:t>
              </w:r>
            </w:hyperlink>
          </w:p>
        </w:tc>
        <w:tc>
          <w:tcPr>
            <w:tcW w:w="720" w:type="dxa"/>
            <w:vAlign w:val="bottom"/>
            <w:gridSpan w:val="5"/>
          </w:tcPr>
          <w:p>
            <w:pPr>
              <w:spacing w:after="0"/>
              <w:rPr>
                <w:sz w:val="21"/>
                <w:szCs w:val="21"/>
                <w:color w:val="auto"/>
              </w:rPr>
            </w:pPr>
          </w:p>
        </w:tc>
        <w:tc>
          <w:tcPr>
            <w:tcW w:w="2880" w:type="dxa"/>
            <w:vAlign w:val="bottom"/>
            <w:tcBorders>
              <w:bottom w:val="single" w:sz="8" w:color="0000EE"/>
            </w:tcBorders>
            <w:gridSpan w:val="11"/>
          </w:tcPr>
          <w:p>
            <w:pPr>
              <w:spacing w:after="0"/>
              <w:rPr>
                <w:rFonts w:ascii="Arial" w:cs="Arial" w:eastAsia="Arial" w:hAnsi="Arial"/>
                <w:sz w:val="18"/>
                <w:szCs w:val="18"/>
                <w:color w:val="0000EE"/>
                <w:w w:val="96"/>
              </w:rPr>
            </w:pPr>
            <w:hyperlink w:anchor="page52">
              <w:r>
                <w:rPr>
                  <w:rFonts w:ascii="Arial" w:cs="Arial" w:eastAsia="Arial" w:hAnsi="Arial"/>
                  <w:sz w:val="18"/>
                  <w:szCs w:val="18"/>
                  <w:color w:val="0000EE"/>
                  <w:w w:val="96"/>
                </w:rPr>
                <w:t>INFORMATION ON THE COMPANY</w:t>
              </w:r>
            </w:hyperlink>
          </w:p>
        </w:tc>
        <w:tc>
          <w:tcPr>
            <w:tcW w:w="5840" w:type="dxa"/>
            <w:vAlign w:val="bottom"/>
            <w:gridSpan w:val="15"/>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50"/>
        </w:trPr>
        <w:tc>
          <w:tcPr>
            <w:tcW w:w="1340" w:type="dxa"/>
            <w:vAlign w:val="bottom"/>
            <w:gridSpan w:val="6"/>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ITEM 4A.</w:t>
              </w:r>
            </w:hyperlink>
          </w:p>
        </w:tc>
        <w:tc>
          <w:tcPr>
            <w:tcW w:w="8720" w:type="dxa"/>
            <w:vAlign w:val="bottom"/>
            <w:gridSpan w:val="26"/>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UNRESOLVED STAFF COMMENTS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86">
              <w:r>
                <w:rPr>
                  <w:rFonts w:ascii="Arial" w:cs="Arial" w:eastAsia="Arial" w:hAnsi="Arial"/>
                  <w:sz w:val="18"/>
                  <w:szCs w:val="18"/>
                  <w:color w:val="0000EE"/>
                  <w:w w:val="95"/>
                </w:rPr>
                <w:t>ITEM 5.</w:t>
              </w:r>
            </w:hyperlink>
          </w:p>
        </w:tc>
        <w:tc>
          <w:tcPr>
            <w:tcW w:w="80" w:type="dxa"/>
            <w:vAlign w:val="bottom"/>
          </w:tcPr>
          <w:p>
            <w:pPr>
              <w:spacing w:after="0"/>
              <w:rPr>
                <w:sz w:val="21"/>
                <w:szCs w:val="21"/>
                <w:color w:val="auto"/>
              </w:rPr>
            </w:pPr>
          </w:p>
        </w:tc>
        <w:tc>
          <w:tcPr>
            <w:tcW w:w="640" w:type="dxa"/>
            <w:vAlign w:val="bottom"/>
            <w:gridSpan w:val="4"/>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86">
              <w:r>
                <w:rPr>
                  <w:rFonts w:ascii="Arial" w:cs="Arial" w:eastAsia="Arial" w:hAnsi="Arial"/>
                  <w:sz w:val="18"/>
                  <w:szCs w:val="18"/>
                  <w:color w:val="0000EE"/>
                </w:rPr>
                <w:t>OPERATING AND FINANCIAL REVIEW AND PROSPECTS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50"/>
        </w:trPr>
        <w:tc>
          <w:tcPr>
            <w:tcW w:w="620" w:type="dxa"/>
            <w:vAlign w:val="bottom"/>
            <w:tcBorders>
              <w:top w:val="single" w:sz="8" w:color="0000EE"/>
            </w:tcBorders>
          </w:tcPr>
          <w:p>
            <w:pPr>
              <w:spacing w:after="0"/>
              <w:rPr>
                <w:rFonts w:ascii="Arial" w:cs="Arial" w:eastAsia="Arial" w:hAnsi="Arial"/>
                <w:sz w:val="18"/>
                <w:szCs w:val="18"/>
                <w:color w:val="0000EE"/>
                <w:w w:val="95"/>
              </w:rPr>
            </w:pPr>
            <w:hyperlink w:anchor="page97">
              <w:r>
                <w:rPr>
                  <w:rFonts w:ascii="Arial" w:cs="Arial" w:eastAsia="Arial" w:hAnsi="Arial"/>
                  <w:sz w:val="18"/>
                  <w:szCs w:val="18"/>
                  <w:color w:val="0000EE"/>
                  <w:w w:val="95"/>
                </w:rPr>
                <w:t>ITEM 6.</w:t>
              </w:r>
            </w:hyperlink>
          </w:p>
        </w:tc>
        <w:tc>
          <w:tcPr>
            <w:tcW w:w="720" w:type="dxa"/>
            <w:vAlign w:val="bottom"/>
            <w:gridSpan w:val="5"/>
          </w:tcPr>
          <w:p>
            <w:pPr>
              <w:spacing w:after="0"/>
              <w:rPr>
                <w:sz w:val="21"/>
                <w:szCs w:val="21"/>
                <w:color w:val="auto"/>
              </w:rPr>
            </w:pPr>
          </w:p>
        </w:tc>
        <w:tc>
          <w:tcPr>
            <w:tcW w:w="4660" w:type="dxa"/>
            <w:vAlign w:val="bottom"/>
            <w:tcBorders>
              <w:top w:val="single" w:sz="8" w:color="0000EE"/>
            </w:tcBorders>
            <w:gridSpan w:val="16"/>
          </w:tcPr>
          <w:p>
            <w:pPr>
              <w:spacing w:after="0"/>
              <w:rPr>
                <w:rFonts w:ascii="Arial" w:cs="Arial" w:eastAsia="Arial" w:hAnsi="Arial"/>
                <w:sz w:val="18"/>
                <w:szCs w:val="18"/>
                <w:color w:val="0000EE"/>
                <w:w w:val="97"/>
              </w:rPr>
            </w:pPr>
            <w:hyperlink w:anchor="page97">
              <w:r>
                <w:rPr>
                  <w:rFonts w:ascii="Arial" w:cs="Arial" w:eastAsia="Arial" w:hAnsi="Arial"/>
                  <w:sz w:val="18"/>
                  <w:szCs w:val="18"/>
                  <w:color w:val="0000EE"/>
                  <w:w w:val="97"/>
                </w:rPr>
                <w:t>DIRECTORS, SENIOR MANAGEMENT AND EMPLOYEES</w:t>
              </w:r>
            </w:hyperlink>
          </w:p>
        </w:tc>
        <w:tc>
          <w:tcPr>
            <w:tcW w:w="4060" w:type="dxa"/>
            <w:vAlign w:val="bottom"/>
            <w:gridSpan w:val="10"/>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620" w:type="dxa"/>
            <w:vAlign w:val="bottom"/>
          </w:tcPr>
          <w:p>
            <w:pPr>
              <w:spacing w:after="0"/>
              <w:rPr>
                <w:rFonts w:ascii="Arial" w:cs="Arial" w:eastAsia="Arial" w:hAnsi="Arial"/>
                <w:sz w:val="18"/>
                <w:szCs w:val="18"/>
                <w:color w:val="0000EE"/>
                <w:w w:val="95"/>
              </w:rPr>
            </w:pPr>
            <w:hyperlink w:anchor="page120">
              <w:r>
                <w:rPr>
                  <w:rFonts w:ascii="Arial" w:cs="Arial" w:eastAsia="Arial" w:hAnsi="Arial"/>
                  <w:sz w:val="18"/>
                  <w:szCs w:val="18"/>
                  <w:color w:val="0000EE"/>
                  <w:w w:val="95"/>
                </w:rPr>
                <w:t>ITEM 7.</w:t>
              </w:r>
            </w:hyperlink>
          </w:p>
        </w:tc>
        <w:tc>
          <w:tcPr>
            <w:tcW w:w="720" w:type="dxa"/>
            <w:vAlign w:val="bottom"/>
            <w:gridSpan w:val="5"/>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20">
              <w:r>
                <w:rPr>
                  <w:rFonts w:ascii="Arial" w:cs="Arial" w:eastAsia="Arial" w:hAnsi="Arial"/>
                  <w:sz w:val="18"/>
                  <w:szCs w:val="18"/>
                  <w:color w:val="0000EE"/>
                </w:rPr>
                <w:t>MAJOR SHAREHOLDERS AND RELATED PARTY TRANSACTIONS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116</w:t>
            </w:r>
          </w:p>
        </w:tc>
      </w:tr>
      <w:tr>
        <w:trPr>
          <w:trHeight w:val="250"/>
        </w:trPr>
        <w:tc>
          <w:tcPr>
            <w:tcW w:w="620" w:type="dxa"/>
            <w:vAlign w:val="bottom"/>
            <w:tcBorders>
              <w:top w:val="single" w:sz="8" w:color="0000EE"/>
              <w:bottom w:val="single" w:sz="8" w:color="0000EE"/>
            </w:tcBorders>
          </w:tcPr>
          <w:p>
            <w:pPr>
              <w:spacing w:after="0"/>
              <w:rPr>
                <w:rFonts w:ascii="Arial" w:cs="Arial" w:eastAsia="Arial" w:hAnsi="Arial"/>
                <w:sz w:val="18"/>
                <w:szCs w:val="18"/>
                <w:color w:val="0000EE"/>
                <w:w w:val="95"/>
              </w:rPr>
            </w:pPr>
            <w:hyperlink w:anchor="page123">
              <w:r>
                <w:rPr>
                  <w:rFonts w:ascii="Arial" w:cs="Arial" w:eastAsia="Arial" w:hAnsi="Arial"/>
                  <w:sz w:val="18"/>
                  <w:szCs w:val="18"/>
                  <w:color w:val="0000EE"/>
                  <w:w w:val="95"/>
                </w:rPr>
                <w:t>ITEM 8.</w:t>
              </w:r>
            </w:hyperlink>
          </w:p>
        </w:tc>
        <w:tc>
          <w:tcPr>
            <w:tcW w:w="720" w:type="dxa"/>
            <w:vAlign w:val="bottom"/>
            <w:gridSpan w:val="5"/>
          </w:tcPr>
          <w:p>
            <w:pPr>
              <w:spacing w:after="0"/>
              <w:rPr>
                <w:sz w:val="21"/>
                <w:szCs w:val="21"/>
                <w:color w:val="auto"/>
              </w:rPr>
            </w:pPr>
          </w:p>
        </w:tc>
        <w:tc>
          <w:tcPr>
            <w:tcW w:w="226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99"/>
              </w:rPr>
            </w:pPr>
            <w:hyperlink w:anchor="page123">
              <w:r>
                <w:rPr>
                  <w:rFonts w:ascii="Arial" w:cs="Arial" w:eastAsia="Arial" w:hAnsi="Arial"/>
                  <w:sz w:val="18"/>
                  <w:szCs w:val="18"/>
                  <w:color w:val="0000EE"/>
                  <w:w w:val="99"/>
                </w:rPr>
                <w:t>FINANCIAL INFORMATION</w:t>
              </w:r>
            </w:hyperlink>
          </w:p>
        </w:tc>
        <w:tc>
          <w:tcPr>
            <w:tcW w:w="3120" w:type="dxa"/>
            <w:vAlign w:val="bottom"/>
            <w:tcBorders>
              <w:top w:val="single" w:sz="8" w:color="0000EE"/>
            </w:tcBorders>
            <w:gridSpan w:val="12"/>
          </w:tcPr>
          <w:p>
            <w:pPr>
              <w:spacing w:after="0"/>
              <w:rPr>
                <w:sz w:val="21"/>
                <w:szCs w:val="21"/>
                <w:color w:val="auto"/>
              </w:rPr>
            </w:pPr>
          </w:p>
        </w:tc>
        <w:tc>
          <w:tcPr>
            <w:tcW w:w="3340" w:type="dxa"/>
            <w:vAlign w:val="bottom"/>
            <w:gridSpan w:val="7"/>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119</w:t>
            </w:r>
          </w:p>
        </w:tc>
      </w:tr>
      <w:tr>
        <w:trPr>
          <w:trHeight w:val="250"/>
        </w:trPr>
        <w:tc>
          <w:tcPr>
            <w:tcW w:w="620" w:type="dxa"/>
            <w:vAlign w:val="bottom"/>
            <w:tcBorders>
              <w:bottom w:val="single" w:sz="8" w:color="0000EE"/>
            </w:tcBorders>
          </w:tcPr>
          <w:p>
            <w:pPr>
              <w:spacing w:after="0"/>
              <w:rPr>
                <w:rFonts w:ascii="Arial" w:cs="Arial" w:eastAsia="Arial" w:hAnsi="Arial"/>
                <w:sz w:val="18"/>
                <w:szCs w:val="18"/>
                <w:color w:val="0000EE"/>
                <w:w w:val="95"/>
              </w:rPr>
            </w:pPr>
            <w:hyperlink w:anchor="page123">
              <w:r>
                <w:rPr>
                  <w:rFonts w:ascii="Arial" w:cs="Arial" w:eastAsia="Arial" w:hAnsi="Arial"/>
                  <w:sz w:val="18"/>
                  <w:szCs w:val="18"/>
                  <w:color w:val="0000EE"/>
                  <w:w w:val="95"/>
                </w:rPr>
                <w:t>ITEM 9.</w:t>
              </w:r>
            </w:hyperlink>
          </w:p>
        </w:tc>
        <w:tc>
          <w:tcPr>
            <w:tcW w:w="720" w:type="dxa"/>
            <w:vAlign w:val="bottom"/>
            <w:gridSpan w:val="5"/>
          </w:tcPr>
          <w:p>
            <w:pPr>
              <w:spacing w:after="0"/>
              <w:rPr>
                <w:sz w:val="21"/>
                <w:szCs w:val="21"/>
                <w:color w:val="auto"/>
              </w:rPr>
            </w:pPr>
          </w:p>
        </w:tc>
        <w:tc>
          <w:tcPr>
            <w:tcW w:w="2140" w:type="dxa"/>
            <w:vAlign w:val="bottom"/>
            <w:tcBorders>
              <w:bottom w:val="single" w:sz="8" w:color="0000EE"/>
            </w:tcBorders>
            <w:gridSpan w:val="5"/>
          </w:tcPr>
          <w:p>
            <w:pPr>
              <w:spacing w:after="0"/>
              <w:rPr>
                <w:rFonts w:ascii="Arial" w:cs="Arial" w:eastAsia="Arial" w:hAnsi="Arial"/>
                <w:sz w:val="18"/>
                <w:szCs w:val="18"/>
                <w:color w:val="0000EE"/>
                <w:w w:val="96"/>
              </w:rPr>
            </w:pPr>
            <w:hyperlink w:anchor="page123">
              <w:r>
                <w:rPr>
                  <w:rFonts w:ascii="Arial" w:cs="Arial" w:eastAsia="Arial" w:hAnsi="Arial"/>
                  <w:sz w:val="18"/>
                  <w:szCs w:val="18"/>
                  <w:color w:val="0000EE"/>
                  <w:w w:val="96"/>
                </w:rPr>
                <w:t>THE OFFER AND LISTING</w:t>
              </w:r>
            </w:hyperlink>
          </w:p>
        </w:tc>
        <w:tc>
          <w:tcPr>
            <w:tcW w:w="6580" w:type="dxa"/>
            <w:vAlign w:val="bottom"/>
            <w:gridSpan w:val="21"/>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119</w:t>
            </w: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24">
              <w:r>
                <w:rPr>
                  <w:rFonts w:ascii="Arial" w:cs="Arial" w:eastAsia="Arial" w:hAnsi="Arial"/>
                  <w:sz w:val="18"/>
                  <w:szCs w:val="18"/>
                  <w:color w:val="0000EE"/>
                </w:rPr>
                <w:t>ITEM 10.</w:t>
              </w:r>
            </w:hyperlink>
          </w:p>
        </w:tc>
        <w:tc>
          <w:tcPr>
            <w:tcW w:w="8720" w:type="dxa"/>
            <w:vAlign w:val="bottom"/>
            <w:gridSpan w:val="26"/>
          </w:tcPr>
          <w:p>
            <w:pPr>
              <w:spacing w:after="0"/>
              <w:rPr>
                <w:rFonts w:ascii="Arial" w:cs="Arial" w:eastAsia="Arial" w:hAnsi="Arial"/>
                <w:sz w:val="18"/>
                <w:szCs w:val="18"/>
                <w:color w:val="0000EE"/>
              </w:rPr>
            </w:pPr>
            <w:hyperlink w:anchor="page124">
              <w:r>
                <w:rPr>
                  <w:rFonts w:ascii="Arial" w:cs="Arial" w:eastAsia="Arial" w:hAnsi="Arial"/>
                  <w:sz w:val="18"/>
                  <w:szCs w:val="18"/>
                  <w:color w:val="0000EE"/>
                </w:rPr>
                <w:t>ADDITIONAL INFORMATION</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120</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700" w:type="dxa"/>
            <w:vAlign w:val="bottom"/>
            <w:gridSpan w:val="2"/>
          </w:tcPr>
          <w:p>
            <w:pPr>
              <w:spacing w:after="0"/>
              <w:rPr>
                <w:rFonts w:ascii="Arial" w:cs="Arial" w:eastAsia="Arial" w:hAnsi="Arial"/>
                <w:sz w:val="18"/>
                <w:szCs w:val="18"/>
                <w:color w:val="0000EE"/>
                <w:w w:val="90"/>
              </w:rPr>
            </w:pPr>
            <w:hyperlink w:anchor="page142">
              <w:r>
                <w:rPr>
                  <w:rFonts w:ascii="Arial" w:cs="Arial" w:eastAsia="Arial" w:hAnsi="Arial"/>
                  <w:sz w:val="18"/>
                  <w:szCs w:val="18"/>
                  <w:color w:val="0000EE"/>
                  <w:w w:val="90"/>
                </w:rPr>
                <w:t>ITEM 11.</w:t>
              </w:r>
            </w:hyperlink>
          </w:p>
        </w:tc>
        <w:tc>
          <w:tcPr>
            <w:tcW w:w="640" w:type="dxa"/>
            <w:vAlign w:val="bottom"/>
            <w:gridSpan w:val="4"/>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42">
              <w:r>
                <w:rPr>
                  <w:rFonts w:ascii="Arial" w:cs="Arial" w:eastAsia="Arial" w:hAnsi="Arial"/>
                  <w:sz w:val="18"/>
                  <w:szCs w:val="18"/>
                  <w:color w:val="0000EE"/>
                </w:rPr>
                <w:t>QUANTITATIVE AND QUALITATIVE DISCLOSURES ABOUT MARKET RISK</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138</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3">
              <w:r>
                <w:rPr>
                  <w:rFonts w:ascii="Arial" w:cs="Arial" w:eastAsia="Arial" w:hAnsi="Arial"/>
                  <w:sz w:val="18"/>
                  <w:szCs w:val="18"/>
                  <w:color w:val="0000EE"/>
                </w:rPr>
                <w:t>ITEM 12.</w:t>
              </w:r>
            </w:hyperlink>
          </w:p>
        </w:tc>
        <w:tc>
          <w:tcPr>
            <w:tcW w:w="8720" w:type="dxa"/>
            <w:vAlign w:val="bottom"/>
            <w:gridSpan w:val="26"/>
          </w:tcPr>
          <w:p>
            <w:pPr>
              <w:spacing w:after="0"/>
              <w:rPr>
                <w:rFonts w:ascii="Arial" w:cs="Arial" w:eastAsia="Arial" w:hAnsi="Arial"/>
                <w:sz w:val="18"/>
                <w:szCs w:val="18"/>
                <w:color w:val="0000EE"/>
              </w:rPr>
            </w:pPr>
            <w:hyperlink w:anchor="page143">
              <w:r>
                <w:rPr>
                  <w:rFonts w:ascii="Arial" w:cs="Arial" w:eastAsia="Arial" w:hAnsi="Arial"/>
                  <w:sz w:val="18"/>
                  <w:szCs w:val="18"/>
                  <w:color w:val="0000EE"/>
                </w:rPr>
                <w:t>DESCRIPTION OF SECURITIES OTHER THAN EQUITY SECURITIES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139</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4">
              <w:r>
                <w:rPr>
                  <w:rFonts w:ascii="Arial" w:cs="Arial" w:eastAsia="Arial" w:hAnsi="Arial"/>
                  <w:sz w:val="18"/>
                  <w:szCs w:val="18"/>
                  <w:color w:val="0000EE"/>
                </w:rPr>
                <w:t>ITEM 13.</w:t>
              </w:r>
            </w:hyperlink>
          </w:p>
        </w:tc>
        <w:tc>
          <w:tcPr>
            <w:tcW w:w="8720" w:type="dxa"/>
            <w:vAlign w:val="bottom"/>
            <w:gridSpan w:val="26"/>
          </w:tcPr>
          <w:p>
            <w:pPr>
              <w:spacing w:after="0"/>
              <w:rPr>
                <w:rFonts w:ascii="Arial" w:cs="Arial" w:eastAsia="Arial" w:hAnsi="Arial"/>
                <w:sz w:val="18"/>
                <w:szCs w:val="18"/>
                <w:color w:val="0000EE"/>
              </w:rPr>
            </w:pPr>
            <w:hyperlink w:anchor="page144">
              <w:r>
                <w:rPr>
                  <w:rFonts w:ascii="Arial" w:cs="Arial" w:eastAsia="Arial" w:hAnsi="Arial"/>
                  <w:sz w:val="18"/>
                  <w:szCs w:val="18"/>
                  <w:color w:val="0000EE"/>
                </w:rPr>
                <w:t>DEFAULTS, DIVIDEND ARREARAGES AND DELINQUENCIES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140</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180" w:type="dxa"/>
            <w:vAlign w:val="bottom"/>
            <w:gridSpan w:val="5"/>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4">
              <w:r>
                <w:rPr>
                  <w:rFonts w:ascii="Arial" w:cs="Arial" w:eastAsia="Arial" w:hAnsi="Arial"/>
                  <w:sz w:val="18"/>
                  <w:szCs w:val="18"/>
                  <w:color w:val="0000EE"/>
                </w:rPr>
                <w:t>ITEM 14.</w:t>
              </w:r>
            </w:hyperlink>
          </w:p>
        </w:tc>
        <w:tc>
          <w:tcPr>
            <w:tcW w:w="8720" w:type="dxa"/>
            <w:vAlign w:val="bottom"/>
            <w:gridSpan w:val="26"/>
          </w:tcPr>
          <w:p>
            <w:pPr>
              <w:spacing w:after="0"/>
              <w:rPr>
                <w:rFonts w:ascii="Arial" w:cs="Arial" w:eastAsia="Arial" w:hAnsi="Arial"/>
                <w:sz w:val="18"/>
                <w:szCs w:val="18"/>
                <w:color w:val="0000EE"/>
              </w:rPr>
            </w:pPr>
            <w:hyperlink w:anchor="page144">
              <w:r>
                <w:rPr>
                  <w:rFonts w:ascii="Arial" w:cs="Arial" w:eastAsia="Arial" w:hAnsi="Arial"/>
                  <w:sz w:val="18"/>
                  <w:szCs w:val="18"/>
                  <w:color w:val="0000EE"/>
                </w:rPr>
                <w:t>MATERIAL MODIFICATIONS TO THE RIGHTS OF SECURITY HOLDERS AND USE OF PROCEEDS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140</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760" w:type="dxa"/>
            <w:vAlign w:val="bottom"/>
            <w:gridSpan w:val="4"/>
            <w:shd w:val="clear" w:color="auto" w:fill="0000EE"/>
          </w:tcPr>
          <w:p>
            <w:pPr>
              <w:spacing w:after="0" w:line="20" w:lineRule="exact"/>
              <w:rPr>
                <w:sz w:val="1"/>
                <w:szCs w:val="1"/>
                <w:color w:val="auto"/>
              </w:rPr>
            </w:pPr>
          </w:p>
        </w:tc>
        <w:tc>
          <w:tcPr>
            <w:tcW w:w="1480" w:type="dxa"/>
            <w:vAlign w:val="bottom"/>
            <w:gridSpan w:val="6"/>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4">
              <w:r>
                <w:rPr>
                  <w:rFonts w:ascii="Arial" w:cs="Arial" w:eastAsia="Arial" w:hAnsi="Arial"/>
                  <w:sz w:val="18"/>
                  <w:szCs w:val="18"/>
                  <w:color w:val="0000EE"/>
                </w:rPr>
                <w:t>ITEM 15.</w:t>
              </w:r>
            </w:hyperlink>
          </w:p>
        </w:tc>
        <w:tc>
          <w:tcPr>
            <w:tcW w:w="8720" w:type="dxa"/>
            <w:vAlign w:val="bottom"/>
            <w:gridSpan w:val="26"/>
          </w:tcPr>
          <w:p>
            <w:pPr>
              <w:spacing w:after="0"/>
              <w:rPr>
                <w:rFonts w:ascii="Arial" w:cs="Arial" w:eastAsia="Arial" w:hAnsi="Arial"/>
                <w:sz w:val="18"/>
                <w:szCs w:val="18"/>
                <w:color w:val="0000EE"/>
              </w:rPr>
            </w:pPr>
            <w:hyperlink w:anchor="page144">
              <w:r>
                <w:rPr>
                  <w:rFonts w:ascii="Arial" w:cs="Arial" w:eastAsia="Arial" w:hAnsi="Arial"/>
                  <w:sz w:val="18"/>
                  <w:szCs w:val="18"/>
                  <w:color w:val="0000EE"/>
                </w:rPr>
                <w:t>CONTROLS AND PROCEDURES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140</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1480" w:type="dxa"/>
            <w:vAlign w:val="bottom"/>
            <w:gridSpan w:val="6"/>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5">
              <w:r>
                <w:rPr>
                  <w:rFonts w:ascii="Arial" w:cs="Arial" w:eastAsia="Arial" w:hAnsi="Arial"/>
                  <w:sz w:val="18"/>
                  <w:szCs w:val="18"/>
                  <w:color w:val="0000EE"/>
                </w:rPr>
                <w:t>ITEM 16.</w:t>
              </w:r>
            </w:hyperlink>
          </w:p>
        </w:tc>
        <w:tc>
          <w:tcPr>
            <w:tcW w:w="8720" w:type="dxa"/>
            <w:vAlign w:val="bottom"/>
            <w:gridSpan w:val="26"/>
          </w:tcPr>
          <w:p>
            <w:pPr>
              <w:spacing w:after="0"/>
              <w:rPr>
                <w:rFonts w:ascii="Arial" w:cs="Arial" w:eastAsia="Arial" w:hAnsi="Arial"/>
                <w:sz w:val="18"/>
                <w:szCs w:val="18"/>
                <w:color w:val="0000EE"/>
              </w:rPr>
            </w:pPr>
            <w:hyperlink w:anchor="page145">
              <w:r>
                <w:rPr>
                  <w:rFonts w:ascii="Arial" w:cs="Arial" w:eastAsia="Arial" w:hAnsi="Arial"/>
                  <w:sz w:val="18"/>
                  <w:szCs w:val="18"/>
                  <w:color w:val="0000EE"/>
                </w:rPr>
                <w:t>[RESERVED]</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141</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0" w:type="dxa"/>
            <w:vAlign w:val="bottom"/>
            <w:gridSpan w:val="4"/>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1480" w:type="dxa"/>
            <w:vAlign w:val="bottom"/>
            <w:gridSpan w:val="6"/>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840" w:type="dxa"/>
            <w:vAlign w:val="bottom"/>
            <w:gridSpan w:val="4"/>
          </w:tcPr>
          <w:p>
            <w:pPr>
              <w:spacing w:after="0"/>
              <w:rPr>
                <w:rFonts w:ascii="Arial" w:cs="Arial" w:eastAsia="Arial" w:hAnsi="Arial"/>
                <w:sz w:val="18"/>
                <w:szCs w:val="18"/>
                <w:color w:val="0000EE"/>
                <w:w w:val="94"/>
              </w:rPr>
            </w:pPr>
            <w:hyperlink w:anchor="page145">
              <w:r>
                <w:rPr>
                  <w:rFonts w:ascii="Arial" w:cs="Arial" w:eastAsia="Arial" w:hAnsi="Arial"/>
                  <w:sz w:val="18"/>
                  <w:szCs w:val="18"/>
                  <w:color w:val="0000EE"/>
                  <w:w w:val="94"/>
                </w:rPr>
                <w:t>ITEM 16A.</w:t>
              </w:r>
            </w:hyperlink>
          </w:p>
        </w:tc>
        <w:tc>
          <w:tcPr>
            <w:tcW w:w="500" w:type="dxa"/>
            <w:vAlign w:val="bottom"/>
            <w:gridSpan w:val="2"/>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45">
              <w:r>
                <w:rPr>
                  <w:rFonts w:ascii="Arial" w:cs="Arial" w:eastAsia="Arial" w:hAnsi="Arial"/>
                  <w:sz w:val="18"/>
                  <w:szCs w:val="18"/>
                  <w:color w:val="0000EE"/>
                </w:rPr>
                <w:t>AUDIT COMMITTEE FINANCIAL EXPERT</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141</w:t>
            </w:r>
          </w:p>
        </w:tc>
      </w:tr>
      <w:tr>
        <w:trPr>
          <w:trHeight w:val="250"/>
        </w:trPr>
        <w:tc>
          <w:tcPr>
            <w:tcW w:w="840" w:type="dxa"/>
            <w:vAlign w:val="bottom"/>
            <w:tcBorders>
              <w:top w:val="single" w:sz="8" w:color="0000EE"/>
            </w:tcBorders>
            <w:gridSpan w:val="4"/>
          </w:tcPr>
          <w:p>
            <w:pPr>
              <w:spacing w:after="0"/>
              <w:rPr>
                <w:rFonts w:ascii="Arial" w:cs="Arial" w:eastAsia="Arial" w:hAnsi="Arial"/>
                <w:sz w:val="18"/>
                <w:szCs w:val="18"/>
                <w:color w:val="0000EE"/>
                <w:w w:val="94"/>
              </w:rPr>
            </w:pPr>
            <w:hyperlink w:anchor="page145">
              <w:r>
                <w:rPr>
                  <w:rFonts w:ascii="Arial" w:cs="Arial" w:eastAsia="Arial" w:hAnsi="Arial"/>
                  <w:sz w:val="18"/>
                  <w:szCs w:val="18"/>
                  <w:color w:val="0000EE"/>
                  <w:w w:val="94"/>
                </w:rPr>
                <w:t>ITEM 16B.</w:t>
              </w:r>
            </w:hyperlink>
          </w:p>
        </w:tc>
        <w:tc>
          <w:tcPr>
            <w:tcW w:w="500" w:type="dxa"/>
            <w:vAlign w:val="bottom"/>
            <w:gridSpan w:val="2"/>
          </w:tcPr>
          <w:p>
            <w:pPr>
              <w:spacing w:after="0"/>
              <w:rPr>
                <w:sz w:val="21"/>
                <w:szCs w:val="21"/>
                <w:color w:val="auto"/>
              </w:rPr>
            </w:pPr>
          </w:p>
        </w:tc>
        <w:tc>
          <w:tcPr>
            <w:tcW w:w="3400" w:type="dxa"/>
            <w:vAlign w:val="bottom"/>
            <w:tcBorders>
              <w:top w:val="single" w:sz="8" w:color="0000EE"/>
            </w:tcBorders>
            <w:gridSpan w:val="12"/>
          </w:tcPr>
          <w:p>
            <w:pPr>
              <w:spacing w:after="0"/>
              <w:rPr>
                <w:rFonts w:ascii="Arial" w:cs="Arial" w:eastAsia="Arial" w:hAnsi="Arial"/>
                <w:sz w:val="18"/>
                <w:szCs w:val="18"/>
                <w:color w:val="0000EE"/>
              </w:rPr>
            </w:pPr>
            <w:hyperlink w:anchor="page145">
              <w:r>
                <w:rPr>
                  <w:rFonts w:ascii="Arial" w:cs="Arial" w:eastAsia="Arial" w:hAnsi="Arial"/>
                  <w:sz w:val="18"/>
                  <w:szCs w:val="18"/>
                  <w:color w:val="0000EE"/>
                </w:rPr>
                <w:t>CODE OF ETHICS</w:t>
              </w:r>
            </w:hyperlink>
          </w:p>
        </w:tc>
        <w:tc>
          <w:tcPr>
            <w:tcW w:w="5320" w:type="dxa"/>
            <w:vAlign w:val="bottom"/>
            <w:gridSpan w:val="14"/>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141</w:t>
            </w:r>
          </w:p>
        </w:tc>
      </w:tr>
      <w:tr>
        <w:trPr>
          <w:trHeight w:val="20"/>
        </w:trPr>
        <w:tc>
          <w:tcPr>
            <w:tcW w:w="80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tcBorders>
              <w:left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560" w:type="dxa"/>
            <w:vAlign w:val="bottom"/>
            <w:gridSpan w:val="5"/>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1480" w:type="dxa"/>
            <w:vAlign w:val="bottom"/>
            <w:gridSpan w:val="6"/>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840" w:type="dxa"/>
            <w:vAlign w:val="bottom"/>
            <w:gridSpan w:val="4"/>
          </w:tcPr>
          <w:p>
            <w:pPr>
              <w:spacing w:after="0"/>
              <w:rPr>
                <w:rFonts w:ascii="Arial" w:cs="Arial" w:eastAsia="Arial" w:hAnsi="Arial"/>
                <w:sz w:val="18"/>
                <w:szCs w:val="18"/>
                <w:color w:val="0000EE"/>
                <w:w w:val="92"/>
              </w:rPr>
            </w:pPr>
            <w:hyperlink w:anchor="page146">
              <w:r>
                <w:rPr>
                  <w:rFonts w:ascii="Arial" w:cs="Arial" w:eastAsia="Arial" w:hAnsi="Arial"/>
                  <w:sz w:val="18"/>
                  <w:szCs w:val="18"/>
                  <w:color w:val="0000EE"/>
                  <w:w w:val="92"/>
                </w:rPr>
                <w:t>ITEM 16C.</w:t>
              </w:r>
            </w:hyperlink>
          </w:p>
        </w:tc>
        <w:tc>
          <w:tcPr>
            <w:tcW w:w="500" w:type="dxa"/>
            <w:vAlign w:val="bottom"/>
            <w:gridSpan w:val="2"/>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46">
              <w:r>
                <w:rPr>
                  <w:rFonts w:ascii="Arial" w:cs="Arial" w:eastAsia="Arial" w:hAnsi="Arial"/>
                  <w:sz w:val="18"/>
                  <w:szCs w:val="18"/>
                  <w:color w:val="0000EE"/>
                </w:rPr>
                <w:t>PRINCIPAL ACCOUNTANT FEES AND SERVICES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142</w:t>
            </w:r>
          </w:p>
        </w:tc>
      </w:tr>
      <w:tr>
        <w:trPr>
          <w:trHeight w:val="20"/>
        </w:trPr>
        <w:tc>
          <w:tcPr>
            <w:tcW w:w="80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tcBorders>
              <w:left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1560" w:type="dxa"/>
            <w:vAlign w:val="bottom"/>
            <w:gridSpan w:val="5"/>
            <w:shd w:val="clear" w:color="auto" w:fill="0000EE"/>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1480" w:type="dxa"/>
            <w:vAlign w:val="bottom"/>
            <w:gridSpan w:val="6"/>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840" w:type="dxa"/>
            <w:vAlign w:val="bottom"/>
            <w:gridSpan w:val="4"/>
          </w:tcPr>
          <w:p>
            <w:pPr>
              <w:spacing w:after="0"/>
              <w:rPr>
                <w:rFonts w:ascii="Arial" w:cs="Arial" w:eastAsia="Arial" w:hAnsi="Arial"/>
                <w:sz w:val="18"/>
                <w:szCs w:val="18"/>
                <w:color w:val="0000EE"/>
                <w:w w:val="92"/>
              </w:rPr>
            </w:pPr>
            <w:hyperlink w:anchor="page146">
              <w:r>
                <w:rPr>
                  <w:rFonts w:ascii="Arial" w:cs="Arial" w:eastAsia="Arial" w:hAnsi="Arial"/>
                  <w:sz w:val="18"/>
                  <w:szCs w:val="18"/>
                  <w:color w:val="0000EE"/>
                  <w:w w:val="92"/>
                </w:rPr>
                <w:t>ITEM 16D.</w:t>
              </w:r>
            </w:hyperlink>
          </w:p>
        </w:tc>
        <w:tc>
          <w:tcPr>
            <w:tcW w:w="500" w:type="dxa"/>
            <w:vAlign w:val="bottom"/>
            <w:gridSpan w:val="2"/>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46">
              <w:r>
                <w:rPr>
                  <w:rFonts w:ascii="Arial" w:cs="Arial" w:eastAsia="Arial" w:hAnsi="Arial"/>
                  <w:sz w:val="18"/>
                  <w:szCs w:val="18"/>
                  <w:color w:val="0000EE"/>
                </w:rPr>
                <w:t>EXEMPTIONS FROM THE LISTING STANDARDS FOR AUDIT COMMITTEES.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142</w:t>
            </w:r>
          </w:p>
        </w:tc>
      </w:tr>
      <w:tr>
        <w:trPr>
          <w:trHeight w:val="20"/>
        </w:trPr>
        <w:tc>
          <w:tcPr>
            <w:tcW w:w="80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320" w:type="dxa"/>
            <w:vAlign w:val="bottom"/>
            <w:gridSpan w:val="9"/>
            <w:shd w:val="clear" w:color="auto" w:fill="0000EE"/>
          </w:tcPr>
          <w:p>
            <w:pPr>
              <w:spacing w:after="0" w:line="20" w:lineRule="exact"/>
              <w:rPr>
                <w:sz w:val="1"/>
                <w:szCs w:val="1"/>
                <w:color w:val="auto"/>
              </w:rPr>
            </w:pPr>
          </w:p>
        </w:tc>
        <w:tc>
          <w:tcPr>
            <w:tcW w:w="1480" w:type="dxa"/>
            <w:vAlign w:val="bottom"/>
            <w:gridSpan w:val="6"/>
            <w:shd w:val="clear" w:color="auto" w:fill="0000EE"/>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52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840" w:type="dxa"/>
            <w:vAlign w:val="bottom"/>
            <w:gridSpan w:val="4"/>
          </w:tcPr>
          <w:p>
            <w:pPr>
              <w:spacing w:after="0"/>
              <w:rPr>
                <w:rFonts w:ascii="Arial" w:cs="Arial" w:eastAsia="Arial" w:hAnsi="Arial"/>
                <w:sz w:val="18"/>
                <w:szCs w:val="18"/>
                <w:color w:val="0000EE"/>
                <w:w w:val="94"/>
              </w:rPr>
            </w:pPr>
            <w:hyperlink w:anchor="page146">
              <w:r>
                <w:rPr>
                  <w:rFonts w:ascii="Arial" w:cs="Arial" w:eastAsia="Arial" w:hAnsi="Arial"/>
                  <w:sz w:val="18"/>
                  <w:szCs w:val="18"/>
                  <w:color w:val="0000EE"/>
                  <w:w w:val="94"/>
                </w:rPr>
                <w:t>ITEM 16E.</w:t>
              </w:r>
            </w:hyperlink>
          </w:p>
        </w:tc>
        <w:tc>
          <w:tcPr>
            <w:tcW w:w="500" w:type="dxa"/>
            <w:vAlign w:val="bottom"/>
            <w:gridSpan w:val="2"/>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46">
              <w:r>
                <w:rPr>
                  <w:rFonts w:ascii="Arial" w:cs="Arial" w:eastAsia="Arial" w:hAnsi="Arial"/>
                  <w:sz w:val="18"/>
                  <w:szCs w:val="18"/>
                  <w:color w:val="0000EE"/>
                </w:rPr>
                <w:t>PURCHASES OF EQUITY SECURITIES BY THE ISSUER AND AFFILIATED PURCHASERS.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142</w:t>
            </w:r>
          </w:p>
        </w:tc>
      </w:tr>
      <w:tr>
        <w:trPr>
          <w:trHeight w:val="250"/>
        </w:trPr>
        <w:tc>
          <w:tcPr>
            <w:tcW w:w="80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92"/>
              </w:rPr>
            </w:pPr>
            <w:hyperlink w:anchor="page146">
              <w:r>
                <w:rPr>
                  <w:rFonts w:ascii="Arial" w:cs="Arial" w:eastAsia="Arial" w:hAnsi="Arial"/>
                  <w:sz w:val="18"/>
                  <w:szCs w:val="18"/>
                  <w:color w:val="0000EE"/>
                  <w:w w:val="92"/>
                </w:rPr>
                <w:t>ITEM 16F.</w:t>
              </w:r>
            </w:hyperlink>
          </w:p>
        </w:tc>
        <w:tc>
          <w:tcPr>
            <w:tcW w:w="40" w:type="dxa"/>
            <w:vAlign w:val="bottom"/>
            <w:tcBorders>
              <w:top w:val="single" w:sz="8" w:color="0000EE"/>
            </w:tcBorders>
          </w:tcPr>
          <w:p>
            <w:pPr>
              <w:spacing w:after="0"/>
              <w:rPr>
                <w:sz w:val="21"/>
                <w:szCs w:val="21"/>
                <w:color w:val="auto"/>
              </w:rPr>
            </w:pPr>
          </w:p>
        </w:tc>
        <w:tc>
          <w:tcPr>
            <w:tcW w:w="500" w:type="dxa"/>
            <w:vAlign w:val="bottom"/>
            <w:gridSpan w:val="2"/>
          </w:tcPr>
          <w:p>
            <w:pPr>
              <w:spacing w:after="0"/>
              <w:rPr>
                <w:sz w:val="21"/>
                <w:szCs w:val="21"/>
                <w:color w:val="auto"/>
              </w:rPr>
            </w:pPr>
          </w:p>
        </w:tc>
        <w:tc>
          <w:tcPr>
            <w:tcW w:w="4720" w:type="dxa"/>
            <w:vAlign w:val="bottom"/>
            <w:tcBorders>
              <w:top w:val="single" w:sz="8" w:color="0000EE"/>
              <w:bottom w:val="single" w:sz="8" w:color="0000EE"/>
            </w:tcBorders>
            <w:gridSpan w:val="17"/>
          </w:tcPr>
          <w:p>
            <w:pPr>
              <w:spacing w:after="0"/>
              <w:rPr>
                <w:rFonts w:ascii="Arial" w:cs="Arial" w:eastAsia="Arial" w:hAnsi="Arial"/>
                <w:sz w:val="18"/>
                <w:szCs w:val="18"/>
                <w:color w:val="0000EE"/>
                <w:w w:val="96"/>
              </w:rPr>
            </w:pPr>
            <w:hyperlink w:anchor="page146">
              <w:r>
                <w:rPr>
                  <w:rFonts w:ascii="Arial" w:cs="Arial" w:eastAsia="Arial" w:hAnsi="Arial"/>
                  <w:sz w:val="18"/>
                  <w:szCs w:val="18"/>
                  <w:color w:val="0000EE"/>
                  <w:w w:val="96"/>
                </w:rPr>
                <w:t>CHANGE IN REGISTRANT’S CERTIFYING ACCOUNTANT.</w:t>
              </w:r>
            </w:hyperlink>
          </w:p>
        </w:tc>
        <w:tc>
          <w:tcPr>
            <w:tcW w:w="2480" w:type="dxa"/>
            <w:vAlign w:val="bottom"/>
            <w:tcBorders>
              <w:top w:val="single" w:sz="8" w:color="0000EE"/>
            </w:tcBorders>
            <w:gridSpan w:val="7"/>
          </w:tcPr>
          <w:p>
            <w:pPr>
              <w:spacing w:after="0"/>
              <w:rPr>
                <w:sz w:val="21"/>
                <w:szCs w:val="21"/>
                <w:color w:val="auto"/>
              </w:rPr>
            </w:pPr>
          </w:p>
        </w:tc>
        <w:tc>
          <w:tcPr>
            <w:tcW w:w="1520" w:type="dxa"/>
            <w:vAlign w:val="bottom"/>
            <w:gridSpan w:val="2"/>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142</w:t>
            </w:r>
          </w:p>
        </w:tc>
      </w:tr>
      <w:tr>
        <w:trPr>
          <w:trHeight w:val="250"/>
        </w:trPr>
        <w:tc>
          <w:tcPr>
            <w:tcW w:w="840" w:type="dxa"/>
            <w:vAlign w:val="bottom"/>
            <w:tcBorders>
              <w:bottom w:val="single" w:sz="8" w:color="0000EE"/>
            </w:tcBorders>
            <w:gridSpan w:val="4"/>
          </w:tcPr>
          <w:p>
            <w:pPr>
              <w:spacing w:after="0"/>
              <w:rPr>
                <w:rFonts w:ascii="Arial" w:cs="Arial" w:eastAsia="Arial" w:hAnsi="Arial"/>
                <w:sz w:val="18"/>
                <w:szCs w:val="18"/>
                <w:color w:val="0000EE"/>
                <w:w w:val="91"/>
              </w:rPr>
            </w:pPr>
            <w:hyperlink w:anchor="page146">
              <w:r>
                <w:rPr>
                  <w:rFonts w:ascii="Arial" w:cs="Arial" w:eastAsia="Arial" w:hAnsi="Arial"/>
                  <w:sz w:val="18"/>
                  <w:szCs w:val="18"/>
                  <w:color w:val="0000EE"/>
                  <w:w w:val="91"/>
                </w:rPr>
                <w:t>ITEM 16G.</w:t>
              </w:r>
            </w:hyperlink>
          </w:p>
        </w:tc>
        <w:tc>
          <w:tcPr>
            <w:tcW w:w="500" w:type="dxa"/>
            <w:vAlign w:val="bottom"/>
            <w:gridSpan w:val="2"/>
          </w:tcPr>
          <w:p>
            <w:pPr>
              <w:spacing w:after="0"/>
              <w:rPr>
                <w:sz w:val="21"/>
                <w:szCs w:val="21"/>
                <w:color w:val="auto"/>
              </w:rPr>
            </w:pPr>
          </w:p>
        </w:tc>
        <w:tc>
          <w:tcPr>
            <w:tcW w:w="2400" w:type="dxa"/>
            <w:vAlign w:val="bottom"/>
            <w:tcBorders>
              <w:bottom w:val="single" w:sz="8" w:color="0000EE"/>
            </w:tcBorders>
            <w:gridSpan w:val="8"/>
          </w:tcPr>
          <w:p>
            <w:pPr>
              <w:spacing w:after="0"/>
              <w:rPr>
                <w:rFonts w:ascii="Arial" w:cs="Arial" w:eastAsia="Arial" w:hAnsi="Arial"/>
                <w:sz w:val="18"/>
                <w:szCs w:val="18"/>
                <w:color w:val="0000EE"/>
                <w:w w:val="95"/>
              </w:rPr>
            </w:pPr>
            <w:hyperlink w:anchor="page146">
              <w:r>
                <w:rPr>
                  <w:rFonts w:ascii="Arial" w:cs="Arial" w:eastAsia="Arial" w:hAnsi="Arial"/>
                  <w:sz w:val="18"/>
                  <w:szCs w:val="18"/>
                  <w:color w:val="0000EE"/>
                  <w:w w:val="95"/>
                </w:rPr>
                <w:t>CORPORATE GOVERNANCE</w:t>
              </w:r>
            </w:hyperlink>
          </w:p>
        </w:tc>
        <w:tc>
          <w:tcPr>
            <w:tcW w:w="6320" w:type="dxa"/>
            <w:vAlign w:val="bottom"/>
            <w:gridSpan w:val="18"/>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142</w:t>
            </w:r>
          </w:p>
        </w:tc>
      </w:tr>
      <w:tr>
        <w:trPr>
          <w:trHeight w:val="250"/>
        </w:trPr>
        <w:tc>
          <w:tcPr>
            <w:tcW w:w="840" w:type="dxa"/>
            <w:vAlign w:val="bottom"/>
            <w:gridSpan w:val="4"/>
          </w:tcPr>
          <w:p>
            <w:pPr>
              <w:spacing w:after="0"/>
              <w:rPr>
                <w:rFonts w:ascii="Arial" w:cs="Arial" w:eastAsia="Arial" w:hAnsi="Arial"/>
                <w:sz w:val="18"/>
                <w:szCs w:val="18"/>
                <w:color w:val="0000EE"/>
                <w:w w:val="92"/>
              </w:rPr>
            </w:pPr>
            <w:hyperlink w:anchor="page147">
              <w:r>
                <w:rPr>
                  <w:rFonts w:ascii="Arial" w:cs="Arial" w:eastAsia="Arial" w:hAnsi="Arial"/>
                  <w:sz w:val="18"/>
                  <w:szCs w:val="18"/>
                  <w:color w:val="0000EE"/>
                  <w:w w:val="92"/>
                </w:rPr>
                <w:t>ITEM 16H.</w:t>
              </w:r>
            </w:hyperlink>
          </w:p>
        </w:tc>
        <w:tc>
          <w:tcPr>
            <w:tcW w:w="500" w:type="dxa"/>
            <w:vAlign w:val="bottom"/>
            <w:gridSpan w:val="2"/>
          </w:tcPr>
          <w:p>
            <w:pPr>
              <w:spacing w:after="0"/>
              <w:rPr>
                <w:sz w:val="21"/>
                <w:szCs w:val="21"/>
                <w:color w:val="auto"/>
              </w:rPr>
            </w:pPr>
          </w:p>
        </w:tc>
        <w:tc>
          <w:tcPr>
            <w:tcW w:w="8720" w:type="dxa"/>
            <w:vAlign w:val="bottom"/>
            <w:gridSpan w:val="26"/>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MINE SAFETY DISCLOSURE</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143</w:t>
            </w:r>
          </w:p>
        </w:tc>
      </w:tr>
      <w:tr>
        <w:trPr>
          <w:trHeight w:val="250"/>
        </w:trPr>
        <w:tc>
          <w:tcPr>
            <w:tcW w:w="840" w:type="dxa"/>
            <w:vAlign w:val="bottom"/>
            <w:tcBorders>
              <w:top w:val="single" w:sz="8" w:color="0000EE"/>
            </w:tcBorders>
            <w:gridSpan w:val="4"/>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ITEM 17.</w:t>
              </w:r>
            </w:hyperlink>
          </w:p>
        </w:tc>
        <w:tc>
          <w:tcPr>
            <w:tcW w:w="500" w:type="dxa"/>
            <w:vAlign w:val="bottom"/>
            <w:gridSpan w:val="2"/>
          </w:tcPr>
          <w:p>
            <w:pPr>
              <w:spacing w:after="0"/>
              <w:rPr>
                <w:sz w:val="21"/>
                <w:szCs w:val="21"/>
                <w:color w:val="auto"/>
              </w:rPr>
            </w:pPr>
          </w:p>
        </w:tc>
        <w:tc>
          <w:tcPr>
            <w:tcW w:w="2400" w:type="dxa"/>
            <w:vAlign w:val="bottom"/>
            <w:tcBorders>
              <w:top w:val="single" w:sz="8" w:color="0000EE"/>
            </w:tcBorders>
            <w:gridSpan w:val="8"/>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FINANCIAL STATEMENTS</w:t>
              </w:r>
            </w:hyperlink>
          </w:p>
        </w:tc>
        <w:tc>
          <w:tcPr>
            <w:tcW w:w="6320" w:type="dxa"/>
            <w:vAlign w:val="bottom"/>
            <w:gridSpan w:val="18"/>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143</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6560" w:type="dxa"/>
            <w:vAlign w:val="bottom"/>
            <w:gridSpan w:val="2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ITEM 18.</w:t>
              </w:r>
            </w:hyperlink>
          </w:p>
        </w:tc>
        <w:tc>
          <w:tcPr>
            <w:tcW w:w="8720" w:type="dxa"/>
            <w:vAlign w:val="bottom"/>
            <w:gridSpan w:val="26"/>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FINANCIAL STATEMENTS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143</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6560" w:type="dxa"/>
            <w:vAlign w:val="bottom"/>
            <w:gridSpan w:val="2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40" w:type="dxa"/>
            <w:vAlign w:val="bottom"/>
            <w:gridSpan w:val="6"/>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ITEM 19.</w:t>
              </w:r>
            </w:hyperlink>
          </w:p>
        </w:tc>
        <w:tc>
          <w:tcPr>
            <w:tcW w:w="8720" w:type="dxa"/>
            <w:vAlign w:val="bottom"/>
            <w:gridSpan w:val="26"/>
          </w:tcPr>
          <w:p>
            <w:pPr>
              <w:spacing w:after="0"/>
              <w:rPr>
                <w:rFonts w:ascii="Arial" w:cs="Arial" w:eastAsia="Arial" w:hAnsi="Arial"/>
                <w:sz w:val="18"/>
                <w:szCs w:val="18"/>
                <w:color w:val="0000EE"/>
              </w:rPr>
            </w:pPr>
            <w:hyperlink w:anchor="page147">
              <w:r>
                <w:rPr>
                  <w:rFonts w:ascii="Arial" w:cs="Arial" w:eastAsia="Arial" w:hAnsi="Arial"/>
                  <w:sz w:val="18"/>
                  <w:szCs w:val="18"/>
                  <w:color w:val="0000EE"/>
                </w:rPr>
                <w:t>EXHIBITS</w:t>
              </w:r>
            </w:hyperlink>
          </w:p>
        </w:tc>
        <w:tc>
          <w:tcPr>
            <w:tcW w:w="1120" w:type="dxa"/>
            <w:vAlign w:val="bottom"/>
          </w:tcPr>
          <w:p>
            <w:pPr>
              <w:jc w:val="right"/>
              <w:spacing w:after="0"/>
              <w:rPr>
                <w:sz w:val="20"/>
                <w:szCs w:val="20"/>
                <w:color w:val="auto"/>
              </w:rPr>
            </w:pPr>
            <w:r>
              <w:rPr>
                <w:rFonts w:ascii="Arial" w:cs="Arial" w:eastAsia="Arial" w:hAnsi="Arial"/>
                <w:sz w:val="18"/>
                <w:szCs w:val="18"/>
                <w:color w:val="auto"/>
              </w:rPr>
              <w:t>143</w:t>
            </w:r>
          </w:p>
        </w:tc>
      </w:tr>
      <w:tr>
        <w:trPr>
          <w:trHeight w:val="20"/>
        </w:trPr>
        <w:tc>
          <w:tcPr>
            <w:tcW w:w="700" w:type="dxa"/>
            <w:vAlign w:val="bottom"/>
            <w:gridSpan w:val="2"/>
            <w:shd w:val="clear" w:color="auto" w:fill="0000EE"/>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0"/>
        </w:trPr>
        <w:tc>
          <w:tcPr>
            <w:tcW w:w="1320" w:type="dxa"/>
            <w:vAlign w:val="bottom"/>
            <w:tcBorders>
              <w:bottom w:val="single" w:sz="8" w:color="0000EE"/>
            </w:tcBorders>
            <w:gridSpan w:val="5"/>
          </w:tcPr>
          <w:p>
            <w:pPr>
              <w:spacing w:after="0"/>
              <w:rPr>
                <w:rFonts w:ascii="Arial" w:cs="Arial" w:eastAsia="Arial" w:hAnsi="Arial"/>
                <w:sz w:val="18"/>
                <w:szCs w:val="18"/>
                <w:color w:val="0000EE"/>
                <w:w w:val="99"/>
              </w:rPr>
            </w:pPr>
            <w:hyperlink w:anchor="page148">
              <w:r>
                <w:rPr>
                  <w:rFonts w:ascii="Arial" w:cs="Arial" w:eastAsia="Arial" w:hAnsi="Arial"/>
                  <w:sz w:val="18"/>
                  <w:szCs w:val="18"/>
                  <w:color w:val="0000EE"/>
                  <w:w w:val="99"/>
                </w:rPr>
                <w:t>EXHIBIT INDEX</w:t>
              </w:r>
            </w:hyperlink>
          </w:p>
        </w:tc>
        <w:tc>
          <w:tcPr>
            <w:tcW w:w="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144</w:t>
            </w:r>
          </w:p>
        </w:tc>
      </w:tr>
    </w:tbl>
    <w:p>
      <w:pPr>
        <w:spacing w:after="0" w:line="200" w:lineRule="exact"/>
        <w:rPr>
          <w:sz w:val="20"/>
          <w:szCs w:val="20"/>
          <w:color w:val="auto"/>
        </w:rPr>
      </w:pPr>
    </w:p>
    <w:p>
      <w:pPr>
        <w:spacing w:after="0" w:line="278"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41275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396" w:right="359" w:bottom="1440" w:gutter="0" w:footer="0" w:header="0"/>
        </w:sectPr>
      </w:pPr>
    </w:p>
    <w:bookmarkStart w:id="4" w:name="page5"/>
    <w:bookmarkEnd w:id="4"/>
    <w:p>
      <w:pPr>
        <w:jc w:val="center"/>
        <w:spacing w:after="0"/>
        <w:rPr>
          <w:sz w:val="20"/>
          <w:szCs w:val="20"/>
          <w:color w:val="auto"/>
        </w:rPr>
      </w:pPr>
      <w:r>
        <w:rPr>
          <w:rFonts w:ascii="Arial" w:cs="Arial" w:eastAsia="Arial" w:hAnsi="Arial"/>
          <w:sz w:val="22"/>
          <w:szCs w:val="22"/>
          <w:b w:val="1"/>
          <w:bCs w:val="1"/>
          <w:color w:val="auto"/>
        </w:rPr>
        <w:t>INTRODUCTION</w:t>
      </w:r>
    </w:p>
    <w:p>
      <w:pPr>
        <w:spacing w:after="0" w:line="293"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annual report are translated using the rate of NIS 3.456, NIS 3.748 and NIS 3.467 to $1.00, based on the exchange rates reported by the Bank of Israel on December 31, 2019, December 31, 2018 and December 31, 2017, respectively.</w:t>
      </w:r>
    </w:p>
    <w:p>
      <w:pPr>
        <w:spacing w:after="0" w:line="201"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20"/>
          <w:szCs w:val="20"/>
          <w:color w:val="auto"/>
        </w:rPr>
        <w:t>All references to the term “branded product candidates” refers to Twyneo</w:t>
      </w:r>
      <w:r>
        <w:rPr>
          <w:rFonts w:ascii="Arial" w:cs="Arial" w:eastAsia="Arial" w:hAnsi="Arial"/>
          <w:sz w:val="32"/>
          <w:szCs w:val="32"/>
          <w:color w:val="auto"/>
          <w:vertAlign w:val="superscript"/>
        </w:rPr>
        <w:t>®</w:t>
      </w:r>
      <w:r>
        <w:rPr>
          <w:rFonts w:ascii="Arial" w:cs="Arial" w:eastAsia="Arial" w:hAnsi="Arial"/>
          <w:sz w:val="20"/>
          <w:szCs w:val="20"/>
          <w:color w:val="auto"/>
        </w:rPr>
        <w:t>, a novel, once-daily, non-antibiotic topical cream that we are developing for the treatment of acne vulgaris, or acne; Epsolay</w:t>
      </w:r>
      <w:r>
        <w:rPr>
          <w:rFonts w:ascii="Arial" w:cs="Arial" w:eastAsia="Arial" w:hAnsi="Arial"/>
          <w:sz w:val="32"/>
          <w:szCs w:val="32"/>
          <w:color w:val="auto"/>
          <w:vertAlign w:val="superscript"/>
        </w:rPr>
        <w:t>®</w:t>
      </w:r>
      <w:r>
        <w:rPr>
          <w:rFonts w:ascii="Arial" w:cs="Arial" w:eastAsia="Arial" w:hAnsi="Arial"/>
          <w:sz w:val="20"/>
          <w:szCs w:val="20"/>
          <w:color w:val="auto"/>
        </w:rPr>
        <w:t>, a once-daily topical cream containing 5% encapsulated benzoyl peroxide that we are developing for the treatment for subtype II rosacea; SGT-210, a potential treatment of palmoplantar keratoderma, or PPK, and non-melanoma skin cancer; tapinarof, an AhR agonist; and roflumilast, a PDE4 inhibitor. Tapinarof, and roflumilast are each as a potential treatment of psoriasis and other dermatological indications., All references to the term “product candidates” include both branded product candidate and generic product candidates.</w:t>
      </w:r>
    </w:p>
    <w:p>
      <w:pPr>
        <w:spacing w:after="0" w:line="268"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Solely for convenience, the trademarks, service marks, and trade names referred to in this annual report are without the ® and ™ symbols, but such references are not intended to indicate, in any way, that we will not assert, to the fullest extent under applicable law, our rights or the rights of the applicable licensors to these trademarks, service marks and trade names. This annual report contains additional trademarks, service marks and trade names of others, which are the property of their respective owners. All trademarks, service marks and trade names appearing in this annual report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210"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This annual report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w:t>
      </w:r>
    </w:p>
    <w:p>
      <w:pPr>
        <w:spacing w:after="0" w:line="2" w:lineRule="exact"/>
        <w:rPr>
          <w:sz w:val="20"/>
          <w:szCs w:val="20"/>
          <w:color w:val="auto"/>
        </w:rPr>
      </w:pPr>
    </w:p>
    <w:p>
      <w:pPr>
        <w:jc w:val="both"/>
        <w:ind w:firstLine="8"/>
        <w:spacing w:after="0" w:line="324" w:lineRule="auto"/>
        <w:tabs>
          <w:tab w:leader="none" w:pos="292" w:val="left"/>
        </w:tabs>
        <w:numPr>
          <w:ilvl w:val="0"/>
          <w:numId w:val="5"/>
        </w:numPr>
        <w:rPr>
          <w:rFonts w:ascii="Arial" w:cs="Arial" w:eastAsia="Arial" w:hAnsi="Arial"/>
          <w:sz w:val="19"/>
          <w:szCs w:val="19"/>
          <w:color w:val="auto"/>
        </w:rPr>
      </w:pPr>
      <w:r>
        <w:rPr>
          <w:rFonts w:ascii="Arial" w:cs="Arial" w:eastAsia="Arial" w:hAnsi="Arial"/>
          <w:sz w:val="19"/>
          <w:szCs w:val="19"/>
          <w:color w:val="auto"/>
        </w:rPr>
        <w:t>the markets are defined differently, (ii) the underlying information was gathered by different methods, and (iii) different assumptions were applied in compiling the data. Accordingly, the market statistics included in this annual report should be viewed with caution. We believe that information from these industry publications included in this annual report is reliable.</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5" w:name="page6"/>
    <w:bookmarkEnd w:id="5"/>
    <w:p>
      <w:pPr>
        <w:jc w:val="both"/>
        <w:ind w:firstLine="648"/>
        <w:spacing w:after="0" w:line="305" w:lineRule="auto"/>
        <w:rPr>
          <w:sz w:val="20"/>
          <w:szCs w:val="20"/>
          <w:color w:val="auto"/>
        </w:rPr>
      </w:pPr>
      <w:r>
        <w:rPr>
          <w:rFonts w:ascii="Arial" w:cs="Arial" w:eastAsia="Arial" w:hAnsi="Arial"/>
          <w:sz w:val="19"/>
          <w:szCs w:val="19"/>
          <w:color w:val="auto"/>
        </w:rPr>
        <w:t>We make forward-looking statements in this annual report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202" w:lineRule="exact"/>
        <w:rPr>
          <w:sz w:val="20"/>
          <w:szCs w:val="20"/>
          <w:color w:val="auto"/>
        </w:rPr>
      </w:pPr>
    </w:p>
    <w:p>
      <w:pPr>
        <w:ind w:left="860" w:right="20" w:hanging="488"/>
        <w:spacing w:after="0" w:line="277" w:lineRule="auto"/>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complete the development of, and obtain market approval for, our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find suitable co-development, contract manufacturing and marketing partners;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commercialize and launch our pharmaceutical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302" w:lineRule="exact"/>
        <w:rPr>
          <w:rFonts w:ascii="Arial" w:cs="Arial" w:eastAsia="Arial" w:hAnsi="Arial"/>
          <w:sz w:val="16"/>
          <w:szCs w:val="16"/>
          <w:color w:val="auto"/>
        </w:rPr>
      </w:pPr>
    </w:p>
    <w:p>
      <w:pPr>
        <w:ind w:left="860" w:hanging="488"/>
        <w:spacing w:after="0" w:line="277" w:lineRule="auto"/>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impact of pandemics such as Novel Coronavirus Disease 2019, or COVID-19, on our business and financial condition;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285" w:lineRule="exact"/>
        <w:rPr>
          <w:sz w:val="20"/>
          <w:szCs w:val="20"/>
          <w:color w:val="auto"/>
        </w:rPr>
      </w:pPr>
    </w:p>
    <w:p>
      <w:pPr>
        <w:jc w:val="both"/>
        <w:spacing w:after="0" w:line="276" w:lineRule="auto"/>
        <w:rPr>
          <w:sz w:val="20"/>
          <w:szCs w:val="20"/>
          <w:color w:val="auto"/>
        </w:rPr>
      </w:pPr>
      <w:r>
        <w:rPr>
          <w:rFonts w:ascii="Arial" w:cs="Arial" w:eastAsia="Arial" w:hAnsi="Arial"/>
          <w:sz w:val="21"/>
          <w:szCs w:val="21"/>
          <w:color w:val="auto"/>
        </w:rPr>
        <w:t>You should review carefully the risks and uncertainties described under the heading “Risk Factors” in this annual report for a discussion of these and other risks that relate to our business and investing in our ordinary shares. The forward-looking statements contained in this annual report are expressly qualified in their entirety by this cautionary statement. Except as required by law, we undertake no obligation to update publicly any forward-looking statements after the date of this annual report to conform these statements to actual results or to changes in our expectations.</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6" w:name="page7"/>
    <w:bookmarkEnd w:id="6"/>
    <w:p>
      <w:pPr>
        <w:spacing w:after="0"/>
        <w:tabs>
          <w:tab w:leader="none" w:pos="1380" w:val="left"/>
        </w:tabs>
        <w:rPr>
          <w:sz w:val="20"/>
          <w:szCs w:val="20"/>
          <w:color w:val="auto"/>
        </w:rPr>
      </w:pPr>
      <w:r>
        <w:rPr>
          <w:rFonts w:ascii="Arial" w:cs="Arial" w:eastAsia="Arial" w:hAnsi="Arial"/>
          <w:sz w:val="22"/>
          <w:szCs w:val="22"/>
          <w:b w:val="1"/>
          <w:bCs w:val="1"/>
          <w:color w:val="auto"/>
        </w:rPr>
        <w:t>ITEM 1.</w:t>
      </w:r>
      <w:r>
        <w:rPr>
          <w:sz w:val="20"/>
          <w:szCs w:val="20"/>
          <w:color w:val="auto"/>
        </w:rPr>
        <w:tab/>
      </w:r>
      <w:r>
        <w:rPr>
          <w:rFonts w:ascii="Arial" w:cs="Arial" w:eastAsia="Arial" w:hAnsi="Arial"/>
          <w:sz w:val="21"/>
          <w:szCs w:val="21"/>
          <w:b w:val="1"/>
          <w:bCs w:val="1"/>
          <w:color w:val="auto"/>
        </w:rPr>
        <w:t>IDENTITY OF DIRECTORS, SENIOR MANAGEMENT AND ADVISERS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2.</w:t>
      </w:r>
      <w:r>
        <w:rPr>
          <w:sz w:val="20"/>
          <w:szCs w:val="20"/>
          <w:color w:val="auto"/>
        </w:rPr>
        <w:tab/>
      </w:r>
      <w:r>
        <w:rPr>
          <w:rFonts w:ascii="Arial" w:cs="Arial" w:eastAsia="Arial" w:hAnsi="Arial"/>
          <w:sz w:val="21"/>
          <w:szCs w:val="21"/>
          <w:b w:val="1"/>
          <w:bCs w:val="1"/>
          <w:color w:val="auto"/>
        </w:rPr>
        <w:t>OFFER STATISTICS AND EXPECTED TIMETABLE</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KEY INFORMATION</w:t>
      </w:r>
    </w:p>
    <w:p>
      <w:pPr>
        <w:spacing w:after="0" w:line="287" w:lineRule="exact"/>
        <w:rPr>
          <w:sz w:val="20"/>
          <w:szCs w:val="20"/>
          <w:color w:val="auto"/>
        </w:rPr>
      </w:pPr>
    </w:p>
    <w:p>
      <w:pPr>
        <w:ind w:left="860" w:hanging="852"/>
        <w:spacing w:after="0"/>
        <w:tabs>
          <w:tab w:leader="none" w:pos="860" w:val="left"/>
        </w:tabs>
        <w:numPr>
          <w:ilvl w:val="0"/>
          <w:numId w:val="7"/>
        </w:numPr>
        <w:rPr>
          <w:rFonts w:ascii="Arial" w:cs="Arial" w:eastAsia="Arial" w:hAnsi="Arial"/>
          <w:sz w:val="22"/>
          <w:szCs w:val="22"/>
          <w:b w:val="1"/>
          <w:bCs w:val="1"/>
          <w:color w:val="auto"/>
        </w:rPr>
      </w:pPr>
      <w:r>
        <w:rPr>
          <w:rFonts w:ascii="Arial" w:cs="Arial" w:eastAsia="Arial" w:hAnsi="Arial"/>
          <w:sz w:val="22"/>
          <w:szCs w:val="22"/>
          <w:b w:val="1"/>
          <w:bCs w:val="1"/>
          <w:color w:val="auto"/>
        </w:rPr>
        <w:t>Selected Financial Data</w:t>
      </w:r>
    </w:p>
    <w:p>
      <w:pPr>
        <w:spacing w:after="0" w:line="293"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The following table sets forth our selected historical financial data, which is derived from our audited financial statements, which have been prepared in accordance with U.S. GAAP. The selected consolidated balance sheet data as of December 31, 2018 and 2019 and our selected statement of operations data for the years ended December 31, 2017, 2018 and 2019 is derived from our audited consolidated financial statements included elsewhere in this annual report. The selected financial data as of December 31, 2015, December 31, 2016 and December 31, 2017 and our selected statement of operations data for the years ended December 31, 2015 and December 31, 2016 have been derived from our audited financial statements not included in this annual report. Our historical results are not necessarily indicative of the results that should be expected in the future. You should read this selected financial data in conjunction with, and it is qualified in its entirety by, our historical financial information and other information provided in this annual report including “Item 5. Operating and Financial Review and Prospects” and our audited financial statements and related notes appearing elsewhere in this annual report.</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700" w:type="dxa"/>
            <w:vAlign w:val="bottom"/>
            <w:gridSpan w:val="6"/>
          </w:tcPr>
          <w:p>
            <w:pPr>
              <w:jc w:val="right"/>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46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2015</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gridSpan w:val="2"/>
          </w:tcPr>
          <w:p>
            <w:pPr>
              <w:jc w:val="right"/>
              <w:spacing w:after="0"/>
              <w:rPr>
                <w:sz w:val="20"/>
                <w:szCs w:val="20"/>
                <w:color w:val="auto"/>
              </w:rPr>
            </w:pPr>
            <w:r>
              <w:rPr>
                <w:rFonts w:ascii="Arial" w:cs="Arial" w:eastAsia="Arial" w:hAnsi="Arial"/>
                <w:sz w:val="18"/>
                <w:szCs w:val="18"/>
                <w:b w:val="1"/>
                <w:bCs w:val="1"/>
                <w:color w:val="auto"/>
                <w:w w:val="91"/>
              </w:rPr>
              <w:t>(in thousands,</w:t>
            </w:r>
          </w:p>
        </w:tc>
        <w:tc>
          <w:tcPr>
            <w:tcW w:w="1340" w:type="dxa"/>
            <w:vAlign w:val="bottom"/>
            <w:gridSpan w:val="3"/>
          </w:tcPr>
          <w:p>
            <w:pPr>
              <w:jc w:val="right"/>
              <w:spacing w:after="0"/>
              <w:rPr>
                <w:sz w:val="20"/>
                <w:szCs w:val="20"/>
                <w:color w:val="auto"/>
              </w:rPr>
            </w:pPr>
            <w:r>
              <w:rPr>
                <w:rFonts w:ascii="Arial" w:cs="Arial" w:eastAsia="Arial" w:hAnsi="Arial"/>
                <w:sz w:val="18"/>
                <w:szCs w:val="18"/>
                <w:b w:val="1"/>
                <w:bCs w:val="1"/>
                <w:color w:val="auto"/>
                <w:w w:val="89"/>
              </w:rPr>
              <w:t>except share and</w:t>
            </w:r>
          </w:p>
        </w:tc>
        <w:tc>
          <w:tcPr>
            <w:tcW w:w="1320" w:type="dxa"/>
            <w:vAlign w:val="bottom"/>
            <w:gridSpan w:val="3"/>
          </w:tcPr>
          <w:p>
            <w:pPr>
              <w:jc w:val="right"/>
              <w:ind w:right="30"/>
              <w:spacing w:after="0"/>
              <w:rPr>
                <w:sz w:val="20"/>
                <w:szCs w:val="20"/>
                <w:color w:val="auto"/>
              </w:rPr>
            </w:pPr>
            <w:r>
              <w:rPr>
                <w:rFonts w:ascii="Arial" w:cs="Arial" w:eastAsia="Arial" w:hAnsi="Arial"/>
                <w:sz w:val="18"/>
                <w:szCs w:val="18"/>
                <w:b w:val="1"/>
                <w:bCs w:val="1"/>
                <w:color w:val="auto"/>
                <w:w w:val="91"/>
              </w:rPr>
              <w:t>per share data)</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Statement of Operations Data:</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Collaboration Revenues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5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130"/>
              <w:spacing w:after="0"/>
              <w:rPr>
                <w:sz w:val="20"/>
                <w:szCs w:val="20"/>
                <w:color w:val="auto"/>
              </w:rPr>
            </w:pPr>
            <w:r>
              <w:rPr>
                <w:rFonts w:ascii="Arial" w:cs="Arial" w:eastAsia="Arial" w:hAnsi="Arial"/>
                <w:sz w:val="18"/>
                <w:szCs w:val="18"/>
                <w:color w:val="auto"/>
              </w:rPr>
              <w:t>174</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129</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22,904</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7,184</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17,023</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25,805</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28,146</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40,578</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240" w:type="dxa"/>
            <w:vAlign w:val="bottom"/>
          </w:tcPr>
          <w:p>
            <w:pPr>
              <w:spacing w:after="0"/>
              <w:rPr>
                <w:sz w:val="18"/>
                <w:szCs w:val="18"/>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2,463</w:t>
            </w:r>
          </w:p>
        </w:tc>
        <w:tc>
          <w:tcPr>
            <w:tcW w:w="240" w:type="dxa"/>
            <w:vAlign w:val="bottom"/>
          </w:tcPr>
          <w:p>
            <w:pPr>
              <w:spacing w:after="0"/>
              <w:rPr>
                <w:sz w:val="18"/>
                <w:szCs w:val="18"/>
                <w:color w:val="auto"/>
              </w:rPr>
            </w:pPr>
          </w:p>
        </w:tc>
        <w:tc>
          <w:tcPr>
            <w:tcW w:w="1140" w:type="dxa"/>
            <w:vAlign w:val="bottom"/>
            <w:gridSpan w:val="2"/>
          </w:tcPr>
          <w:p>
            <w:pPr>
              <w:jc w:val="right"/>
              <w:ind w:right="150"/>
              <w:spacing w:after="0"/>
              <w:rPr>
                <w:sz w:val="20"/>
                <w:szCs w:val="20"/>
                <w:color w:val="auto"/>
              </w:rPr>
            </w:pPr>
            <w:r>
              <w:rPr>
                <w:rFonts w:ascii="Arial" w:cs="Arial" w:eastAsia="Arial" w:hAnsi="Arial"/>
                <w:sz w:val="18"/>
                <w:szCs w:val="18"/>
                <w:color w:val="auto"/>
              </w:rPr>
              <w:t>3,733</w:t>
            </w:r>
          </w:p>
        </w:tc>
        <w:tc>
          <w:tcPr>
            <w:tcW w:w="240" w:type="dxa"/>
            <w:vAlign w:val="bottom"/>
          </w:tcPr>
          <w:p>
            <w:pPr>
              <w:spacing w:after="0"/>
              <w:rPr>
                <w:sz w:val="18"/>
                <w:szCs w:val="18"/>
                <w:color w:val="auto"/>
              </w:rPr>
            </w:pPr>
          </w:p>
        </w:tc>
        <w:tc>
          <w:tcPr>
            <w:tcW w:w="1080" w:type="dxa"/>
            <w:vAlign w:val="bottom"/>
            <w:gridSpan w:val="2"/>
          </w:tcPr>
          <w:p>
            <w:pPr>
              <w:jc w:val="right"/>
              <w:ind w:right="130"/>
              <w:spacing w:after="0"/>
              <w:rPr>
                <w:sz w:val="20"/>
                <w:szCs w:val="20"/>
                <w:color w:val="auto"/>
              </w:rPr>
            </w:pPr>
            <w:r>
              <w:rPr>
                <w:rFonts w:ascii="Arial" w:cs="Arial" w:eastAsia="Arial" w:hAnsi="Arial"/>
                <w:sz w:val="18"/>
                <w:szCs w:val="18"/>
                <w:color w:val="auto"/>
              </w:rPr>
              <w:t>6,002</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5,504</w:t>
            </w: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8,276</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loss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9,647</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20,756</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31,633</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33,521</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25,950</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Financial expenses (income), net</w:t>
            </w:r>
          </w:p>
        </w:tc>
        <w:tc>
          <w:tcPr>
            <w:tcW w:w="240" w:type="dxa"/>
            <w:vAlign w:val="bottom"/>
          </w:tcPr>
          <w:p>
            <w:pPr>
              <w:spacing w:after="0"/>
              <w:rPr>
                <w:sz w:val="18"/>
                <w:szCs w:val="18"/>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18"/>
                <w:szCs w:val="18"/>
                <w:color w:val="auto"/>
              </w:rPr>
            </w:pPr>
          </w:p>
        </w:tc>
        <w:tc>
          <w:tcPr>
            <w:tcW w:w="1140" w:type="dxa"/>
            <w:vAlign w:val="bottom"/>
            <w:gridSpan w:val="2"/>
          </w:tcPr>
          <w:p>
            <w:pPr>
              <w:jc w:val="right"/>
              <w:ind w:right="150"/>
              <w:spacing w:after="0"/>
              <w:rPr>
                <w:sz w:val="20"/>
                <w:szCs w:val="20"/>
                <w:color w:val="auto"/>
              </w:rPr>
            </w:pPr>
            <w:r>
              <w:rPr>
                <w:rFonts w:ascii="Arial" w:cs="Arial" w:eastAsia="Arial" w:hAnsi="Arial"/>
                <w:sz w:val="18"/>
                <w:szCs w:val="18"/>
                <w:color w:val="auto"/>
              </w:rPr>
              <w:t>15</w:t>
            </w:r>
          </w:p>
        </w:tc>
        <w:tc>
          <w:tcPr>
            <w:tcW w:w="240" w:type="dxa"/>
            <w:vAlign w:val="bottom"/>
          </w:tcPr>
          <w:p>
            <w:pPr>
              <w:spacing w:after="0"/>
              <w:rPr>
                <w:sz w:val="18"/>
                <w:szCs w:val="18"/>
                <w:color w:val="auto"/>
              </w:rPr>
            </w:pPr>
          </w:p>
        </w:tc>
        <w:tc>
          <w:tcPr>
            <w:tcW w:w="1080" w:type="dxa"/>
            <w:vAlign w:val="bottom"/>
            <w:gridSpan w:val="2"/>
          </w:tcPr>
          <w:p>
            <w:pPr>
              <w:jc w:val="right"/>
              <w:ind w:right="70"/>
              <w:spacing w:after="0"/>
              <w:rPr>
                <w:sz w:val="20"/>
                <w:szCs w:val="20"/>
                <w:color w:val="auto"/>
              </w:rPr>
            </w:pPr>
            <w:r>
              <w:rPr>
                <w:rFonts w:ascii="Arial" w:cs="Arial" w:eastAsia="Arial" w:hAnsi="Arial"/>
                <w:sz w:val="18"/>
                <w:szCs w:val="18"/>
                <w:color w:val="auto"/>
              </w:rPr>
              <w:t>(65)</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(1,318)</w:t>
            </w:r>
          </w:p>
        </w:tc>
        <w:tc>
          <w:tcPr>
            <w:tcW w:w="2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(1,374)</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Loss before income taxes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9,660</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20,771</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31,568</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32,203</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24,576</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Income taxes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33</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Loss for the year</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9,660</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20,771</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31,568</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32,203</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24,609</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Basic and diluted loss per ordinary share*</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2.76</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50"/>
              <w:spacing w:after="0"/>
              <w:rPr>
                <w:sz w:val="20"/>
                <w:szCs w:val="20"/>
                <w:color w:val="auto"/>
              </w:rPr>
            </w:pPr>
            <w:r>
              <w:rPr>
                <w:rFonts w:ascii="Arial" w:cs="Arial" w:eastAsia="Arial" w:hAnsi="Arial"/>
                <w:sz w:val="18"/>
                <w:szCs w:val="18"/>
                <w:color w:val="auto"/>
              </w:rPr>
              <w:t>3.30</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130"/>
              <w:spacing w:after="0"/>
              <w:rPr>
                <w:sz w:val="20"/>
                <w:szCs w:val="20"/>
                <w:color w:val="auto"/>
              </w:rPr>
            </w:pPr>
            <w:r>
              <w:rPr>
                <w:rFonts w:ascii="Arial" w:cs="Arial" w:eastAsia="Arial" w:hAnsi="Arial"/>
                <w:sz w:val="18"/>
                <w:szCs w:val="18"/>
                <w:color w:val="auto"/>
              </w:rPr>
              <w:t>5.02</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1.80</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1.26</w:t>
            </w:r>
          </w:p>
        </w:tc>
      </w:tr>
      <w:tr>
        <w:trPr>
          <w:trHeight w:val="202"/>
        </w:trPr>
        <w:tc>
          <w:tcPr>
            <w:tcW w:w="4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6"/>
              </w:rPr>
              <w:t>Weighted average number of ordinary shares outstanding –</w:t>
            </w: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basic and diluted*</w:t>
            </w:r>
          </w:p>
        </w:tc>
        <w:tc>
          <w:tcPr>
            <w:tcW w:w="24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3,494,579</w:t>
            </w:r>
          </w:p>
        </w:tc>
        <w:tc>
          <w:tcPr>
            <w:tcW w:w="24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3,494,579</w:t>
            </w: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6,290,244</w:t>
            </w: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3"/>
              </w:rPr>
              <w:t>17,867,589</w:t>
            </w:r>
          </w:p>
        </w:tc>
        <w:tc>
          <w:tcPr>
            <w:tcW w:w="200" w:type="dxa"/>
            <w:vAlign w:val="bottom"/>
            <w:shd w:val="clear" w:color="auto" w:fill="CCEEFF"/>
          </w:tcPr>
          <w:p>
            <w:pPr>
              <w:spacing w:after="0"/>
              <w:rPr>
                <w:sz w:val="20"/>
                <w:szCs w:val="20"/>
                <w:color w:val="auto"/>
              </w:rPr>
            </w:pP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9"/>
              </w:rPr>
              <w:t>19,534,562</w:t>
            </w:r>
          </w:p>
        </w:tc>
      </w:tr>
    </w:tbl>
    <w:p>
      <w:pPr>
        <w:spacing w:after="0" w:line="262" w:lineRule="exact"/>
        <w:rPr>
          <w:sz w:val="20"/>
          <w:szCs w:val="20"/>
          <w:color w:val="auto"/>
        </w:rPr>
      </w:pPr>
    </w:p>
    <w:p>
      <w:pPr>
        <w:ind w:right="120" w:firstLine="8"/>
        <w:spacing w:after="0" w:line="262" w:lineRule="auto"/>
        <w:tabs>
          <w:tab w:leader="none" w:pos="162" w:val="left"/>
        </w:tabs>
        <w:numPr>
          <w:ilvl w:val="0"/>
          <w:numId w:val="8"/>
        </w:numPr>
        <w:rPr>
          <w:rFonts w:ascii="Arial" w:cs="Arial" w:eastAsia="Arial" w:hAnsi="Arial"/>
          <w:sz w:val="22"/>
          <w:szCs w:val="22"/>
          <w:color w:val="auto"/>
        </w:rPr>
      </w:pPr>
      <w:r>
        <w:rPr>
          <w:rFonts w:ascii="Arial" w:cs="Arial" w:eastAsia="Arial" w:hAnsi="Arial"/>
          <w:sz w:val="22"/>
          <w:szCs w:val="22"/>
          <w:color w:val="auto"/>
        </w:rPr>
        <w:t>On January 19, 2018, we effected a 1-for-1.8 share split of our ordinary shares by way of an issuance of bonus shares. Unless otherwise indicated, except for our authorized capital, all information in this annual report relating to the number of our ordinary shares and loss per ordinary share in this annual report have been adjusted, on a retroactive basis, to reflect this 1-for-1.8 share split.</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560" w:type="dxa"/>
            <w:vAlign w:val="bottom"/>
            <w:gridSpan w:val="5"/>
          </w:tcPr>
          <w:p>
            <w:pPr>
              <w:jc w:val="right"/>
              <w:ind w:right="40"/>
              <w:spacing w:after="0"/>
              <w:rPr>
                <w:sz w:val="20"/>
                <w:szCs w:val="20"/>
                <w:color w:val="auto"/>
              </w:rPr>
            </w:pPr>
            <w:r>
              <w:rPr>
                <w:rFonts w:ascii="Arial" w:cs="Arial" w:eastAsia="Arial" w:hAnsi="Arial"/>
                <w:sz w:val="18"/>
                <w:szCs w:val="18"/>
                <w:b w:val="1"/>
                <w:bCs w:val="1"/>
                <w:color w:val="auto"/>
                <w:w w:val="89"/>
              </w:rPr>
              <w:t>As of December 31,</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46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2015</w:t>
            </w:r>
          </w:p>
        </w:tc>
        <w:tc>
          <w:tcPr>
            <w:tcW w:w="2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b w:val="1"/>
                <w:bCs w:val="1"/>
                <w:color w:val="auto"/>
              </w:rPr>
              <w:t>Balance Sheet Data:</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spacing w:after="0"/>
              <w:rPr>
                <w:sz w:val="20"/>
                <w:szCs w:val="20"/>
                <w:color w:val="auto"/>
              </w:rPr>
            </w:pPr>
            <w:r>
              <w:rPr>
                <w:rFonts w:ascii="Arial" w:cs="Arial" w:eastAsia="Arial" w:hAnsi="Arial"/>
                <w:sz w:val="18"/>
                <w:szCs w:val="18"/>
                <w:b w:val="1"/>
                <w:bCs w:val="1"/>
                <w:color w:val="auto"/>
                <w:w w:val="87"/>
              </w:rPr>
              <w:t>(in thousands)</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5,895</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7,001</w:t>
            </w:r>
          </w:p>
        </w:tc>
        <w:tc>
          <w:tcPr>
            <w:tcW w:w="34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5,024</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5,325</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9,412</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Total Assets</w:t>
            </w:r>
          </w:p>
        </w:tc>
        <w:tc>
          <w:tcPr>
            <w:tcW w:w="240" w:type="dxa"/>
            <w:vAlign w:val="bottom"/>
          </w:tcPr>
          <w:p>
            <w:pPr>
              <w:spacing w:after="0"/>
              <w:rPr>
                <w:sz w:val="18"/>
                <w:szCs w:val="18"/>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8,244</w:t>
            </w:r>
          </w:p>
        </w:tc>
        <w:tc>
          <w:tcPr>
            <w:tcW w:w="240" w:type="dxa"/>
            <w:vAlign w:val="bottom"/>
          </w:tcPr>
          <w:p>
            <w:pPr>
              <w:spacing w:after="0"/>
              <w:rPr>
                <w:sz w:val="18"/>
                <w:szCs w:val="18"/>
                <w:color w:val="auto"/>
              </w:rPr>
            </w:pPr>
          </w:p>
        </w:tc>
        <w:tc>
          <w:tcPr>
            <w:tcW w:w="1040" w:type="dxa"/>
            <w:vAlign w:val="bottom"/>
            <w:gridSpan w:val="2"/>
          </w:tcPr>
          <w:p>
            <w:pPr>
              <w:jc w:val="right"/>
              <w:ind w:right="50"/>
              <w:spacing w:after="0"/>
              <w:rPr>
                <w:sz w:val="20"/>
                <w:szCs w:val="20"/>
                <w:color w:val="auto"/>
              </w:rPr>
            </w:pPr>
            <w:r>
              <w:rPr>
                <w:rFonts w:ascii="Arial" w:cs="Arial" w:eastAsia="Arial" w:hAnsi="Arial"/>
                <w:sz w:val="18"/>
                <w:szCs w:val="18"/>
                <w:color w:val="auto"/>
              </w:rPr>
              <w:t>10,985</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15,315</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69,682</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61,301</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19,762</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42,322</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68,014</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5,773</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8,836</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Accumulated deficit</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(42,922)</w:t>
            </w:r>
          </w:p>
        </w:tc>
        <w:tc>
          <w:tcPr>
            <w:tcW w:w="24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(63,693)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(95,261)</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(127,464)</w:t>
            </w:r>
          </w:p>
        </w:tc>
        <w:tc>
          <w:tcPr>
            <w:tcW w:w="24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(152,073)</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Total shareholders’ equity (capital deficiency)</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(11,518)</w:t>
            </w:r>
          </w:p>
        </w:tc>
        <w:tc>
          <w:tcPr>
            <w:tcW w:w="2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(31,337)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(52,699)</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63,909</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52,465</w:t>
            </w:r>
          </w:p>
        </w:tc>
      </w:tr>
    </w:tbl>
    <w:p>
      <w:pPr>
        <w:spacing w:after="0" w:line="256" w:lineRule="exact"/>
        <w:rPr>
          <w:sz w:val="20"/>
          <w:szCs w:val="20"/>
          <w:color w:val="auto"/>
        </w:rPr>
      </w:pPr>
    </w:p>
    <w:p>
      <w:pPr>
        <w:ind w:left="800" w:hanging="792"/>
        <w:spacing w:after="0"/>
        <w:tabs>
          <w:tab w:leader="none" w:pos="800" w:val="left"/>
        </w:tabs>
        <w:numPr>
          <w:ilvl w:val="0"/>
          <w:numId w:val="9"/>
        </w:numPr>
        <w:rPr>
          <w:rFonts w:ascii="Arial" w:cs="Arial" w:eastAsia="Arial" w:hAnsi="Arial"/>
          <w:sz w:val="22"/>
          <w:szCs w:val="22"/>
          <w:b w:val="1"/>
          <w:bCs w:val="1"/>
          <w:color w:val="auto"/>
        </w:rPr>
      </w:pPr>
      <w:r>
        <w:rPr>
          <w:rFonts w:ascii="Arial" w:cs="Arial" w:eastAsia="Arial" w:hAnsi="Arial"/>
          <w:sz w:val="22"/>
          <w:szCs w:val="22"/>
          <w:b w:val="1"/>
          <w:bCs w:val="1"/>
          <w:color w:val="auto"/>
        </w:rPr>
        <w:t>Capitalization and Indebtedness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800" w:val="left"/>
        </w:tabs>
        <w:rPr>
          <w:sz w:val="20"/>
          <w:szCs w:val="20"/>
          <w:color w:val="auto"/>
        </w:rPr>
      </w:pPr>
      <w:r>
        <w:rPr>
          <w:rFonts w:ascii="Arial" w:cs="Arial" w:eastAsia="Arial" w:hAnsi="Arial"/>
          <w:sz w:val="22"/>
          <w:szCs w:val="22"/>
          <w:b w:val="1"/>
          <w:bCs w:val="1"/>
          <w:color w:val="auto"/>
        </w:rPr>
        <w:t>C</w:t>
      </w:r>
      <w:r>
        <w:rPr>
          <w:rFonts w:ascii="Arial" w:cs="Arial" w:eastAsia="Arial" w:hAnsi="Arial"/>
          <w:sz w:val="22"/>
          <w:szCs w:val="22"/>
          <w:color w:val="auto"/>
        </w:rPr>
        <w:t>.</w:t>
      </w:r>
      <w:r>
        <w:rPr>
          <w:sz w:val="20"/>
          <w:szCs w:val="20"/>
          <w:color w:val="auto"/>
        </w:rPr>
        <w:tab/>
      </w:r>
      <w:r>
        <w:rPr>
          <w:rFonts w:ascii="Arial" w:cs="Arial" w:eastAsia="Arial" w:hAnsi="Arial"/>
          <w:sz w:val="19"/>
          <w:szCs w:val="19"/>
          <w:b w:val="1"/>
          <w:bCs w:val="1"/>
          <w:color w:val="auto"/>
        </w:rPr>
        <w:t>Reasons for the Offer and Use of Proceeds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820" w:hanging="812"/>
        <w:spacing w:after="0"/>
        <w:tabs>
          <w:tab w:leader="none" w:pos="820" w:val="left"/>
        </w:tabs>
        <w:numPr>
          <w:ilvl w:val="0"/>
          <w:numId w:val="10"/>
        </w:numPr>
        <w:rPr>
          <w:rFonts w:ascii="Arial" w:cs="Arial" w:eastAsia="Arial" w:hAnsi="Arial"/>
          <w:sz w:val="22"/>
          <w:szCs w:val="22"/>
          <w:b w:val="1"/>
          <w:bCs w:val="1"/>
          <w:color w:val="auto"/>
        </w:rPr>
      </w:pPr>
      <w:r>
        <w:rPr>
          <w:rFonts w:ascii="Arial" w:cs="Arial" w:eastAsia="Arial" w:hAnsi="Arial"/>
          <w:sz w:val="22"/>
          <w:szCs w:val="22"/>
          <w:b w:val="1"/>
          <w:bCs w:val="1"/>
          <w:color w:val="auto"/>
        </w:rPr>
        <w:t>Risk Factors</w:t>
      </w:r>
    </w:p>
    <w:p>
      <w:pPr>
        <w:spacing w:after="0" w:line="29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i w:val="1"/>
          <w:iCs w:val="1"/>
          <w:color w:val="auto"/>
        </w:rPr>
        <w:t>You should carefully consider the risks we describe below, in addition to the other information set forth elsewhere in this annual report, including our financial statements and the related notes beginning on page F-1, before deciding to invest in our ordinary shares (the “Ordinary Shares”). The risks and uncertainties described below in this annual report on Form/ 20-F for the year ended December 31, 2019 are not the only risks facing us. We may face additional risks and uncertainties not currently known to us or that we currently deem to be immaterial. Any of the risks described below or incorporated by reference in this Form 20-F, and any such additional risks, could materially adversely affect our business, financial condition or results of operations. In such case, you may lose all or part of your investment.</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Our Business and Industry</w:t>
      </w:r>
    </w:p>
    <w:p>
      <w:pPr>
        <w:spacing w:after="0" w:line="293" w:lineRule="exact"/>
        <w:rPr>
          <w:sz w:val="20"/>
          <w:szCs w:val="20"/>
          <w:color w:val="auto"/>
        </w:rPr>
      </w:pPr>
    </w:p>
    <w:p>
      <w:pPr>
        <w:ind w:right="380"/>
        <w:spacing w:after="0" w:line="276" w:lineRule="auto"/>
        <w:rPr>
          <w:sz w:val="20"/>
          <w:szCs w:val="20"/>
          <w:color w:val="auto"/>
        </w:rPr>
      </w:pPr>
      <w:r>
        <w:rPr>
          <w:rFonts w:ascii="Arial" w:cs="Arial" w:eastAsia="Arial" w:hAnsi="Arial"/>
          <w:sz w:val="22"/>
          <w:szCs w:val="22"/>
          <w:b w:val="1"/>
          <w:bCs w:val="1"/>
          <w:i w:val="1"/>
          <w:iCs w:val="1"/>
          <w:color w:val="auto"/>
        </w:rPr>
        <w:t>We are a clinical stage company and have incurred significant losses since our inception. We expect to incur losses for the foreseeable future and may never achieve or maintain profitability.</w:t>
      </w:r>
    </w:p>
    <w:p>
      <w:pPr>
        <w:spacing w:after="0" w:line="228"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We are a clinical stage pharmaceutical company with a limited operating history. We have incurred net losses since our formation in 1997. In particular, we incurred net losses of $31.6 million in 2017, $32.2 million in 2018, and $24.6 million in 2019. As of December 31, 2019, we had an accumulated deficit of $152.1 million. Our losses have resulted principally from expenses incurred in research and development of our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202" w:lineRule="exact"/>
        <w:rPr>
          <w:sz w:val="20"/>
          <w:szCs w:val="20"/>
          <w:color w:val="auto"/>
        </w:rPr>
      </w:pPr>
    </w:p>
    <w:p>
      <w:pPr>
        <w:ind w:left="860" w:hanging="488"/>
        <w:spacing w:after="0"/>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seek marketing approval and conduct pre-commercialization and launch activities for Twyneo® and Epsolay®;</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conduct Phase I proof of concept clinical studies of SGT-210, and continue the research and development of future branded product candidates;</w:t>
      </w:r>
    </w:p>
    <w:p>
      <w:pPr>
        <w:spacing w:after="0" w:line="302" w:lineRule="exact"/>
        <w:rPr>
          <w:rFonts w:ascii="Arial" w:cs="Arial" w:eastAsia="Arial" w:hAnsi="Arial"/>
          <w:sz w:val="16"/>
          <w:szCs w:val="16"/>
          <w:color w:val="auto"/>
        </w:rPr>
      </w:pPr>
    </w:p>
    <w:p>
      <w:pPr>
        <w:ind w:left="860" w:hanging="488"/>
        <w:spacing w:after="0"/>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seek regulatory approvals for any product candidate that successfully completes clinical development;</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potentially establish a sales, marketing and distribution infrastructure and commercial manufacturing capabilities to commercialize any product candidates for which we may obtain regulatory approval;</w:t>
      </w:r>
    </w:p>
    <w:p>
      <w:pPr>
        <w:sectPr>
          <w:pgSz w:w="11900" w:h="16838" w:orient="portrait"/>
          <w:cols w:equalWidth="0" w:num="1">
            <w:col w:w="11240"/>
          </w:cols>
          <w:pgMar w:left="320" w:top="391" w:right="339" w:bottom="1440" w:gutter="0" w:footer="0" w:header="0"/>
        </w:sectPr>
      </w:pP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1" w:right="339" w:bottom="1440" w:gutter="0" w:footer="0" w:header="0"/>
          <w:type w:val="continuous"/>
        </w:sectPr>
      </w:pPr>
    </w:p>
    <w:bookmarkStart w:id="8" w:name="page9"/>
    <w:bookmarkEnd w:id="8"/>
    <w:p>
      <w:pPr>
        <w:ind w:left="880" w:hanging="494"/>
        <w:spacing w:after="0" w:line="277" w:lineRule="auto"/>
        <w:tabs>
          <w:tab w:leader="none" w:pos="880" w:val="left"/>
        </w:tabs>
        <w:numPr>
          <w:ilvl w:val="1"/>
          <w:numId w:val="12"/>
        </w:numPr>
        <w:rPr>
          <w:rFonts w:ascii="Arial" w:cs="Arial" w:eastAsia="Arial" w:hAnsi="Arial"/>
          <w:sz w:val="18"/>
          <w:szCs w:val="18"/>
          <w:color w:val="auto"/>
        </w:rPr>
      </w:pPr>
      <w:r>
        <w:rPr>
          <w:rFonts w:ascii="Arial" w:cs="Arial" w:eastAsia="Arial" w:hAnsi="Arial"/>
          <w:sz w:val="18"/>
          <w:szCs w:val="18"/>
          <w:color w:val="auto"/>
        </w:rPr>
        <w:t>continue the development, bioequivalence and other studies required for abbreviated new drug application, or “ANDA", submissions for our generic product candidates;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seek to enhance our technology platform;</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seek new drug candidates and expand our disease portfolio;</w:t>
      </w:r>
    </w:p>
    <w:p>
      <w:pPr>
        <w:spacing w:after="0" w:line="279"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add clinical, scientific, operational, financial and management information systems and personnel, including personnel to support our product development; and</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experience any delays or encounter any issues with any of the above, including but not limited to failed studies, complex results, safety issues or other regulatory challenges.</w:t>
      </w:r>
    </w:p>
    <w:p>
      <w:pPr>
        <w:spacing w:after="0" w:line="23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20"/>
          <w:szCs w:val="20"/>
          <w:color w:val="auto"/>
        </w:rPr>
        <w:t>We have financed our operations primarily through public offerings in the U.S., private placements of equity securities and loans from our controlling shareholder. To date, we have devoted a significant portion of our financial resources and efforts to developing the first generic version of Zovirax</w:t>
      </w:r>
      <w:r>
        <w:rPr>
          <w:rFonts w:ascii="Arial" w:cs="Arial" w:eastAsia="Arial" w:hAnsi="Arial"/>
          <w:sz w:val="32"/>
          <w:szCs w:val="32"/>
          <w:color w:val="auto"/>
          <w:vertAlign w:val="superscript"/>
        </w:rPr>
        <w:t>®</w:t>
      </w:r>
      <w:r>
        <w:rPr>
          <w:rFonts w:ascii="Arial" w:cs="Arial" w:eastAsia="Arial" w:hAnsi="Arial"/>
          <w:sz w:val="20"/>
          <w:szCs w:val="20"/>
          <w:color w:val="auto"/>
        </w:rPr>
        <w:t xml:space="preserve"> (acyclovir) cream, 5%, developing our product candidates and conducting pre-clinical studies and our clinical trials for Twyneo®, Epsolay®, ivermectin cream, 1% and 5-fluorouracil cream, 5%. Other than the first generic version of Zovirax</w:t>
      </w:r>
      <w:r>
        <w:rPr>
          <w:rFonts w:ascii="Arial" w:cs="Arial" w:eastAsia="Arial" w:hAnsi="Arial"/>
          <w:sz w:val="32"/>
          <w:szCs w:val="32"/>
          <w:color w:val="auto"/>
          <w:vertAlign w:val="superscript"/>
        </w:rPr>
        <w:t>®</w:t>
      </w:r>
      <w:r>
        <w:rPr>
          <w:rFonts w:ascii="Arial" w:cs="Arial" w:eastAsia="Arial" w:hAnsi="Arial"/>
          <w:sz w:val="20"/>
          <w:szCs w:val="20"/>
          <w:color w:val="auto"/>
        </w:rPr>
        <w:t xml:space="preserve"> (acyclovir) cream, 5%, we have not completed development of any of our product candidates.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259"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Because of the numerous risks and uncertainties associated with pharmaceutical products, we are unable to accurately predict the timing or amount of increased expenses or when, or if, we will be able to achieve profitability. If we are required by the Food and Drug Administration ("FDA") or other regulatory authorities to perform studies in addition to those we currently anticipate, or if there are any delays in completing our clinical trials, our expenses could increase and revenue could be further delayed.</w:t>
      </w:r>
    </w:p>
    <w:p>
      <w:pPr>
        <w:spacing w:after="0" w:line="244"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196" w:lineRule="exact"/>
        <w:rPr>
          <w:sz w:val="20"/>
          <w:szCs w:val="20"/>
          <w:color w:val="auto"/>
        </w:rPr>
      </w:pPr>
    </w:p>
    <w:p>
      <w:pPr>
        <w:jc w:val="both"/>
        <w:ind w:right="20"/>
        <w:spacing w:after="0" w:line="266" w:lineRule="auto"/>
        <w:rPr>
          <w:sz w:val="20"/>
          <w:szCs w:val="20"/>
          <w:color w:val="auto"/>
        </w:rPr>
      </w:pPr>
      <w:r>
        <w:rPr>
          <w:rFonts w:ascii="Arial" w:cs="Arial" w:eastAsia="Arial" w:hAnsi="Arial"/>
          <w:sz w:val="22"/>
          <w:szCs w:val="22"/>
          <w:b w:val="1"/>
          <w:bCs w:val="1"/>
          <w:i w:val="1"/>
          <w:iCs w:val="1"/>
          <w:color w:val="auto"/>
        </w:rPr>
        <w:t>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23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Conducting pre-clinical studies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seek marketing approval and conduct pre-commercialization and launch activities for Twyneo® and Epsolay®, conduct Phase I proof of concept clinical studies of SGT-210 and advance our other product candidates. In addition, our product candidates, if approved, may not achieve commercial success. Substantial revenue, if any, will be derived from sales of products that we do not expect to be commercially available for a number of years, if at all. If we obtain marketing approval for Twyneo® or Epsolay® or any other product candidates that we develop, we expect to incur significant commercialization expenses related to product sales, marketing, distribution and manufacturing. We also expect an increase in our expenses associated with creating additional infrastructure to support operations as a public company. . We have based this estimate on assumptions that may prove to be wrong, and we could use our capital resources sooner than we currently expect. Our future capital requirements will depend on many factors, including:</w:t>
      </w:r>
    </w:p>
    <w:p>
      <w:pPr>
        <w:spacing w:after="0" w:line="232" w:lineRule="exact"/>
        <w:rPr>
          <w:sz w:val="20"/>
          <w:szCs w:val="20"/>
          <w:color w:val="auto"/>
        </w:rPr>
      </w:pPr>
    </w:p>
    <w:p>
      <w:pPr>
        <w:ind w:left="860" w:hanging="488"/>
        <w:spacing w:after="0"/>
        <w:tabs>
          <w:tab w:leader="none" w:pos="8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timing and success for obtaining marketing approval for Twyneo® and Epsolay®;</w:t>
      </w:r>
    </w:p>
    <w:p>
      <w:pPr>
        <w:sectPr>
          <w:pgSz w:w="11900" w:h="16838" w:orient="portrait"/>
          <w:cols w:equalWidth="0" w:num="1">
            <w:col w:w="11240"/>
          </w:cols>
          <w:pgMar w:left="320" w:top="125" w:right="339" w:bottom="664"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664" w:gutter="0" w:footer="0" w:header="0"/>
          <w:type w:val="continuous"/>
        </w:sectPr>
      </w:pPr>
    </w:p>
    <w:bookmarkStart w:id="9" w:name="page10"/>
    <w:bookmarkEnd w:id="9"/>
    <w:p>
      <w:pPr>
        <w:ind w:left="860" w:hanging="488"/>
        <w:spacing w:after="0"/>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progress and results of our development activities for SGT-210, tapinarof, and roflumilast;</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scope, progress, results and costs of development, laboratory testing and clinical trials for our generic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 of manufacturing clinical supplies and exhibition batches of our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timing and outcome of regulatory reviews of any of our product candidates;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costs and timing of future commercialization activities, including manufacturing, marketing, sales and distribution, for any of our product candidates for which we receive marketing approval;</w:t>
      </w:r>
    </w:p>
    <w:p>
      <w:pPr>
        <w:spacing w:after="0" w:line="224" w:lineRule="exact"/>
        <w:rPr>
          <w:rFonts w:ascii="Arial" w:cs="Arial" w:eastAsia="Arial" w:hAnsi="Arial"/>
          <w:sz w:val="18"/>
          <w:szCs w:val="18"/>
          <w:color w:val="auto"/>
        </w:rPr>
      </w:pPr>
    </w:p>
    <w:p>
      <w:pPr>
        <w:ind w:left="860" w:hanging="488"/>
        <w:spacing w:after="0" w:line="308" w:lineRule="auto"/>
        <w:tabs>
          <w:tab w:leader="none" w:pos="8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200" w:lineRule="exact"/>
        <w:rPr>
          <w:rFonts w:ascii="Arial" w:cs="Arial" w:eastAsia="Arial" w:hAnsi="Arial"/>
          <w:sz w:val="17"/>
          <w:szCs w:val="17"/>
          <w:color w:val="auto"/>
        </w:rPr>
      </w:pPr>
    </w:p>
    <w:p>
      <w:pPr>
        <w:ind w:left="860" w:hanging="488"/>
        <w:spacing w:after="0"/>
        <w:tabs>
          <w:tab w:leader="none" w:pos="8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amount of revenue, if any, received from commercial sales of our product candidates for which we receive marketing approval; and</w:t>
      </w:r>
    </w:p>
    <w:p>
      <w:pPr>
        <w:spacing w:after="0" w:line="290" w:lineRule="exact"/>
        <w:rPr>
          <w:rFonts w:ascii="Arial" w:cs="Arial" w:eastAsia="Arial" w:hAnsi="Arial"/>
          <w:sz w:val="17"/>
          <w:szCs w:val="17"/>
          <w:color w:val="auto"/>
        </w:rPr>
      </w:pPr>
    </w:p>
    <w:p>
      <w:pPr>
        <w:ind w:left="860" w:hanging="488"/>
        <w:spacing w:after="0" w:line="277" w:lineRule="auto"/>
        <w:tabs>
          <w:tab w:leader="none" w:pos="8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extent to which we acquire or invest in businesses, product candidates and technologies, including entering into licensing or collaboration arrangements for any of our product candidates.</w:t>
      </w:r>
    </w:p>
    <w:p>
      <w:pPr>
        <w:spacing w:after="0" w:line="231"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In order to continue our future operations, we will need to raise additional capital until becoming profitable. If we are unable to raise sufficient additional capital, we could be forced to curtail our planned operations and the pursuit of our growth strategy.</w:t>
      </w:r>
    </w:p>
    <w:p>
      <w:pPr>
        <w:spacing w:after="0" w:line="239"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We are largely dependent on the success of our branded product candidates for the treatment of topical dermatological conditions.</w:t>
      </w:r>
    </w:p>
    <w:p>
      <w:pPr>
        <w:spacing w:after="0" w:line="228"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We have invested a majority of our efforts and financial resources in the research and development of Twyneo® for the treatment of acne and Epsolay® for the treatment of subtype II rosacea. We are currently investing a majority of our efforts and resources in the conduct of pre-commercialization and launch activities for Twyneo® and Epsolay®. The success of our business depends largely on our ability to fund, execute and complete the development of, obtain regulatory approval for and successfully commercialize our branded product candidates in the United States in a timely manner.</w:t>
      </w:r>
    </w:p>
    <w:p>
      <w:pPr>
        <w:spacing w:after="0" w:line="20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have not obtained regulatory approval for most of our product candidates in the United States or any other country.</w:t>
      </w:r>
    </w:p>
    <w:p>
      <w:pPr>
        <w:spacing w:after="0" w:line="322"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Other than the first generic version of Zovirax® (acyclovir) cream, 5% for which Perrigo, our collaborator, received final FDA approval in February 2019, we do not currently have any product candidates that have obtained regulatory approval for sale in the United States or any other country, and we cannot guarantee that our other product candidates will ever obtain such approvals. Our business is substantially dependent on our ability to complete the development of, obtain regulatory approval for and successfully commercialize product candidates in a timely manner. We cannot commercialize our product candidates in the United States without first obtaining regulatory approval to market each product candidate from the FDA. Similarly, we cannot commercialize product candidates outside of the United States without obtaining regulatory approval from comparable foreign regulatory authorities.</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0" w:name="page11"/>
    <w:bookmarkEnd w:id="10"/>
    <w:p>
      <w:pPr>
        <w:jc w:val="both"/>
        <w:ind w:firstLine="648"/>
        <w:spacing w:after="0" w:line="297" w:lineRule="auto"/>
        <w:rPr>
          <w:sz w:val="20"/>
          <w:szCs w:val="20"/>
          <w:color w:val="auto"/>
        </w:rPr>
      </w:pPr>
      <w:r>
        <w:rPr>
          <w:rFonts w:ascii="Arial" w:cs="Arial" w:eastAsia="Arial" w:hAnsi="Arial"/>
          <w:sz w:val="19"/>
          <w:szCs w:val="19"/>
          <w:color w:val="auto"/>
        </w:rPr>
        <w:t>Before obtaining regulatory approvals for the commercial sale of any product candidate for a target indication, we must demonstrate in pre-clinical studies and well-controlled clinical trials that the product candidate is safe and effective for use for its target indication and that the related manufacturing facilities, processes and controls are adequate. In the United States, we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We intend to submit NDAs that are subject to the requirements of section 505(b)</w:t>
      </w:r>
    </w:p>
    <w:p>
      <w:pPr>
        <w:spacing w:after="0" w:line="2" w:lineRule="exact"/>
        <w:rPr>
          <w:sz w:val="20"/>
          <w:szCs w:val="20"/>
          <w:color w:val="auto"/>
        </w:rPr>
      </w:pPr>
    </w:p>
    <w:p>
      <w:pPr>
        <w:jc w:val="both"/>
        <w:ind w:firstLine="8"/>
        <w:spacing w:after="0" w:line="258" w:lineRule="auto"/>
        <w:tabs>
          <w:tab w:leader="none" w:pos="319" w:val="left"/>
        </w:tabs>
        <w:numPr>
          <w:ilvl w:val="0"/>
          <w:numId w:val="15"/>
        </w:numPr>
        <w:rPr>
          <w:rFonts w:ascii="Arial" w:cs="Arial" w:eastAsia="Arial" w:hAnsi="Arial"/>
          <w:sz w:val="22"/>
          <w:szCs w:val="22"/>
          <w:color w:val="auto"/>
        </w:rPr>
      </w:pPr>
      <w:r>
        <w:rPr>
          <w:rFonts w:ascii="Arial" w:cs="Arial" w:eastAsia="Arial" w:hAnsi="Arial"/>
          <w:sz w:val="22"/>
          <w:szCs w:val="22"/>
          <w:color w:val="auto"/>
        </w:rPr>
        <w:t>of the Federal Food, Drug and Cosmetic Act, or FDCA, which will allow us to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manufacturing facilities to ensure that the facilities can manufacture each product candidate that is the subject of an NDA, in compliance with current good manufacturing practice, or “cGMP” requirements, and may inspect our clinical trial sites to ensure that the clinical trials conducted at the inspected site were performed in accordance with good clinical practices, or "GCP", and our clinical protocols.</w:t>
      </w:r>
    </w:p>
    <w:p>
      <w:pPr>
        <w:spacing w:after="0" w:line="252"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Approval to market and distribute drugs that are shown to be equivalent to proprietary drugs previously approved by the FDA through its NDA process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w:t>
      </w:r>
    </w:p>
    <w:p>
      <w:pPr>
        <w:spacing w:after="0" w:line="23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Obtaining approval of an NDA or an ANDA is a lengthy, expensive and uncertain process, and approval is never guaranteed. Upon submission of an NDA or ANDA,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approval, the FDA may require that we conduct additional clinical trials or pre-clinical studies or take other actions before it will reconsider our application. If the FDA requires additional studies or data,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233"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1" w:name="page12"/>
    <w:bookmarkEnd w:id="11"/>
    <w:p>
      <w:pPr>
        <w:jc w:val="both"/>
        <w:spacing w:after="0" w:line="358" w:lineRule="auto"/>
        <w:rPr>
          <w:sz w:val="20"/>
          <w:szCs w:val="20"/>
          <w:color w:val="auto"/>
        </w:rPr>
      </w:pPr>
      <w:r>
        <w:rPr>
          <w:rFonts w:ascii="Arial" w:cs="Arial" w:eastAsia="Arial" w:hAnsi="Arial"/>
          <w:sz w:val="19"/>
          <w:szCs w:val="19"/>
          <w:b w:val="1"/>
          <w:bCs w:val="1"/>
          <w:i w:val="1"/>
          <w:iCs w:val="1"/>
          <w:color w:val="auto"/>
        </w:rPr>
        <w:t>Our business will be highly dependent on market perception of us and the safety and quality of our product candidates. Our business or products could be subject to negative publicity, which could have a material adverse effect on our business.</w:t>
      </w:r>
    </w:p>
    <w:p>
      <w:pPr>
        <w:spacing w:after="0" w:line="15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Market perception of our business is very important, especially market perception of the safety and quality of our product candidates. If any of our product candidates, if approved, or similar products that other companies distribute, or third-party products from which our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246"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Additionally, continuing and increasingly sophisticated studies of the proper utilization, safety and efficacy of pharmaceutical products are being conducted by the industry, government 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196"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We have a limited operating history in the dermatological prescription drug space which may make it difficult to evaluate the success of our business to date and to assess our future viability.</w:t>
      </w:r>
    </w:p>
    <w:p>
      <w:pPr>
        <w:spacing w:after="0" w:line="22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We have a limited operating history in the dermatological prescription drug space and have focused much of our efforts, to date, on the research and development of our branded and generic product candidates, rather than commercialization. As such,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225" w:lineRule="exact"/>
        <w:rPr>
          <w:sz w:val="20"/>
          <w:szCs w:val="20"/>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not have adequate financial or other resources;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we may not be able to manufacture our product candidates in commercial quantities, in an adequate quality or at an acceptable cost;</w:t>
      </w:r>
    </w:p>
    <w:p>
      <w:pPr>
        <w:spacing w:after="0" w:line="290" w:lineRule="exact"/>
        <w:rPr>
          <w:rFonts w:ascii="Arial" w:cs="Arial" w:eastAsia="Arial" w:hAnsi="Arial"/>
          <w:sz w:val="17"/>
          <w:szCs w:val="17"/>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not be able to establish adequate sales, marketing and distribution channels;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not be able to find suitable co-development, contract manufacturing or marketing partners;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healthcare professionals and patients may not accept our product candidates;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not be aware of possible complications from the continued use of our product candidates since we have limited clinical experience with respect to the actual use of our product candidates;</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changes in the market, new alliances between existing market participants and the entrance of new market participants may interfere with our market penetration efforts;</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third-party payors may not agree to reimburse patients for any or all of the purchase price of our product candidates, which may adversely affect patients’ willingness to purchase our product candidates;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uncertainty as to market demand may result in inefficient pricing of our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face third-party claims of intellectual property infringement;</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fail to obtain and maintain regulatory approvals for our product candidates in our target markets or may face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we are dependent upon the results of ongoing clinical trials relating to our product candidates and the products of our competitors; and</w:t>
      </w:r>
    </w:p>
    <w:p>
      <w:pPr>
        <w:spacing w:after="0" w:line="290" w:lineRule="exact"/>
        <w:rPr>
          <w:rFonts w:ascii="Arial" w:cs="Arial" w:eastAsia="Arial" w:hAnsi="Arial"/>
          <w:sz w:val="17"/>
          <w:szCs w:val="17"/>
          <w:color w:val="auto"/>
        </w:rPr>
      </w:pPr>
    </w:p>
    <w:p>
      <w:pPr>
        <w:ind w:left="860" w:hanging="488"/>
        <w:spacing w:after="0"/>
        <w:tabs>
          <w:tab w:leader="none" w:pos="8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we may become involved in lawsuits pertaining to our clinical trials.</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2" w:name="page13"/>
    <w:bookmarkEnd w:id="12"/>
    <w:p>
      <w:pPr>
        <w:jc w:val="both"/>
        <w:ind w:firstLine="648"/>
        <w:spacing w:after="0" w:line="327" w:lineRule="auto"/>
        <w:rPr>
          <w:sz w:val="20"/>
          <w:szCs w:val="20"/>
          <w:color w:val="auto"/>
        </w:rPr>
      </w:pPr>
      <w:r>
        <w:rPr>
          <w:rFonts w:ascii="Arial" w:cs="Arial" w:eastAsia="Arial" w:hAnsi="Arial"/>
          <w:sz w:val="19"/>
          <w:szCs w:val="19"/>
          <w:color w:val="auto"/>
        </w:rPr>
        <w:t>The occurrence of any one or more of these events may limit our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Raising additional capital may cause dilution to our shareholders, restrict our operations or require us to relinquish rights to our technologies or product candidates.</w:t>
      </w:r>
    </w:p>
    <w:p>
      <w:pPr>
        <w:spacing w:after="0" w:line="22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24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46"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Even if we are able to generate revenues from our operations in the future, our revenues and operating income could fluctuate significantly.</w:t>
      </w:r>
    </w:p>
    <w:p>
      <w:pPr>
        <w:spacing w:after="0" w:line="22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Even if we are able to generate future revenues, our operating income, and results may vary significantly from year-to-year and quarter-to-quarter. Variations may result from, among other factors:</w:t>
      </w:r>
    </w:p>
    <w:p>
      <w:pPr>
        <w:spacing w:after="0" w:line="222" w:lineRule="exact"/>
        <w:rPr>
          <w:sz w:val="20"/>
          <w:szCs w:val="20"/>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timing of FDA or any other regulatory authority approvals;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timing of process validation for particular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timing of product launches and market acceptance of such products launched;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the amount we spend to research, develop, acquire, license or promote new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outcome of our research, development and clinical trial programs;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serious or unexpected health or safety concerns related to our product candidates or the branded product candidates we have genericized;</w:t>
      </w:r>
    </w:p>
    <w:p>
      <w:pPr>
        <w:spacing w:after="0" w:line="302" w:lineRule="exact"/>
        <w:rPr>
          <w:rFonts w:ascii="Arial" w:cs="Arial" w:eastAsia="Arial" w:hAnsi="Arial"/>
          <w:sz w:val="16"/>
          <w:szCs w:val="16"/>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introduction of new products by others that render our product candidates obsolete or noncompetitive;</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ability to maintain selling prices and gross margins on our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ability to comply with complex governmental regulations applicable to many aspects of our business;</w:t>
      </w: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3" w:name="page14"/>
    <w:bookmarkEnd w:id="13"/>
    <w:p>
      <w:pPr>
        <w:ind w:left="860" w:hanging="488"/>
        <w:spacing w:after="0" w:line="277" w:lineRule="auto"/>
        <w:tabs>
          <w:tab w:leader="none" w:pos="8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coverage and reimbursement policies of health plans and other health insurers, including changes to Medicare, Medicaid and similar government healthcare programs;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increases in the cost of raw materials used to manufacture our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manufacturing and supply interruptions, including product rejections or recalls due to failure to comply with manufacturing specifications;</w:t>
      </w:r>
    </w:p>
    <w:p>
      <w:pPr>
        <w:spacing w:after="0" w:line="290" w:lineRule="exact"/>
        <w:rPr>
          <w:rFonts w:ascii="Arial" w:cs="Arial" w:eastAsia="Arial" w:hAnsi="Arial"/>
          <w:sz w:val="17"/>
          <w:szCs w:val="17"/>
          <w:color w:val="auto"/>
        </w:rPr>
      </w:pPr>
    </w:p>
    <w:p>
      <w:pPr>
        <w:ind w:left="860" w:hanging="488"/>
        <w:spacing w:after="0"/>
        <w:tabs>
          <w:tab w:leader="none" w:pos="8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timing of revenue recognition related to our collaboration agreements;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ability to protect our intellectual property and avoid infringing the intellectual property of others;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outcome and cost of possible litigation over patents with third parties.</w:t>
      </w:r>
    </w:p>
    <w:p>
      <w:pPr>
        <w:spacing w:after="0" w:line="285"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Our business and operations would suffer in the event of computer system failures, cyber-attacks or deficiencies in our cyber-security.</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If such an event were to occur and cause interruptions in our operations,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211"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may incur substantial expenses as a result of the limited nature of our disaster recovery and business continuity plan.</w:t>
      </w:r>
    </w:p>
    <w:p>
      <w:pPr>
        <w:spacing w:after="0" w:line="322"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We have implemented a business continuity plan to prevent the collapse of critical business processes to a large extent or to enable the resumption of critical business processes in case a natural disaster, public health emergency, such as the global pandemic of Novel Coronavirus Disease 2019, or COVID-19, or other serious event occurs. However, depending on the severity of the situation, it may be difficult or in certain cases impossible for us to continue our business for a significant period of time. Our contingency plans for disaster recovery and business continuity may prove inadequate in the event of a serious disaster or similar event and we may incur substantial costs that could have a material adverse effect on our business.</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4" w:name="page15"/>
    <w:bookmarkEnd w:id="14"/>
    <w:p>
      <w:pPr>
        <w:spacing w:after="0"/>
        <w:rPr>
          <w:sz w:val="20"/>
          <w:szCs w:val="20"/>
          <w:color w:val="auto"/>
        </w:rPr>
      </w:pPr>
      <w:r>
        <w:rPr>
          <w:rFonts w:ascii="Arial" w:cs="Arial" w:eastAsia="Arial" w:hAnsi="Arial"/>
          <w:sz w:val="22"/>
          <w:szCs w:val="22"/>
          <w:b w:val="1"/>
          <w:bCs w:val="1"/>
          <w:color w:val="auto"/>
        </w:rPr>
        <w:t>Risks Related to Development and Clinical Testing of Our Product Candidates</w:t>
      </w:r>
    </w:p>
    <w:p>
      <w:pPr>
        <w:spacing w:after="0" w:line="293"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239"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Clinical testing, of both innovative and generic products, and the submission of new drug applications under the Section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late-stage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 Additionally, if one or more of our product candidates receives marketing approval, and we or others later identify undesirable side effects caused by such products, a number of potentially significant negative consequences could result, including:</w:t>
      </w:r>
    </w:p>
    <w:p>
      <w:pPr>
        <w:spacing w:after="0" w:line="200" w:lineRule="exact"/>
        <w:rPr>
          <w:sz w:val="20"/>
          <w:szCs w:val="20"/>
          <w:color w:val="auto"/>
        </w:rPr>
      </w:pPr>
    </w:p>
    <w:p>
      <w:pPr>
        <w:spacing w:after="0" w:line="284" w:lineRule="exact"/>
        <w:rPr>
          <w:sz w:val="20"/>
          <w:szCs w:val="20"/>
          <w:color w:val="auto"/>
        </w:rPr>
      </w:pPr>
    </w:p>
    <w:p>
      <w:pPr>
        <w:ind w:left="860" w:hanging="488"/>
        <w:spacing w:after="0"/>
        <w:tabs>
          <w:tab w:leader="none" w:pos="8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regulatory authorities may require additional warnings on the label;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279" w:lineRule="exact"/>
        <w:rPr>
          <w:rFonts w:ascii="Arial" w:cs="Arial" w:eastAsia="Arial" w:hAnsi="Arial"/>
          <w:sz w:val="18"/>
          <w:szCs w:val="18"/>
          <w:color w:val="auto"/>
        </w:rPr>
      </w:pPr>
    </w:p>
    <w:p>
      <w:pPr>
        <w:ind w:left="860" w:hanging="488"/>
        <w:spacing w:after="0" w:line="308" w:lineRule="auto"/>
        <w:tabs>
          <w:tab w:leader="none" w:pos="8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we may be required to implement a risk evaluation and mitigation strategy, or “REMS,” which may include a medication guide or patient package insert, a communication plan to educate healthcare providers of the drug’s risks, or other elements to assure safe use;</w:t>
      </w:r>
    </w:p>
    <w:p>
      <w:pPr>
        <w:spacing w:after="0" w:line="200" w:lineRule="exact"/>
        <w:rPr>
          <w:rFonts w:ascii="Arial" w:cs="Arial" w:eastAsia="Arial" w:hAnsi="Arial"/>
          <w:sz w:val="17"/>
          <w:szCs w:val="17"/>
          <w:color w:val="auto"/>
        </w:rPr>
      </w:pPr>
    </w:p>
    <w:p>
      <w:pPr>
        <w:ind w:left="860" w:hanging="488"/>
        <w:spacing w:after="0"/>
        <w:tabs>
          <w:tab w:leader="none" w:pos="8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reputation may suffer.</w:t>
      </w:r>
    </w:p>
    <w:p>
      <w:pPr>
        <w:spacing w:after="0" w:line="28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Any of these events could prevent us from achieving or maintaining market acceptance of the particular product candidate, if approved, and could significantly harm our business, results of operations and prospects. Our future clinical trial results may not be successful.</w:t>
      </w:r>
    </w:p>
    <w:p>
      <w:pPr>
        <w:spacing w:after="0" w:line="23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233" w:lineRule="exact"/>
        <w:rPr>
          <w:sz w:val="20"/>
          <w:szCs w:val="20"/>
          <w:color w:val="auto"/>
        </w:rPr>
      </w:pPr>
    </w:p>
    <w:p>
      <w:pPr>
        <w:ind w:left="860" w:hanging="488"/>
        <w:spacing w:after="0"/>
        <w:tabs>
          <w:tab w:leader="none" w:pos="8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obtaining regulatory approval to commence a trial;</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5" w:name="page16"/>
    <w:bookmarkEnd w:id="15"/>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obtaining institutional review board, or IRB, approval at each site;</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recruiting suitable patients to participate in a trial;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having patients complete a trial or return for post-treatment follow-up;</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clinical sites deviating from FDA regulations, including GCPs, or the study protocol, or dropping out of a trial;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adding new clinical trial sites;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manufacturing sufficient quantities of a product candidate for use in clinical trials;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damage to clinical supplies of a product candidate caused during storage and/or transportation.</w:t>
      </w:r>
    </w:p>
    <w:p>
      <w:pPr>
        <w:spacing w:after="0" w:line="285"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Furthermore, we rely on CROs and clinical trial sites to ensure the proper and timely conduct of our clinical trials and while we have agreements governing their committed activities, we have limited influence over their actual performance.</w:t>
      </w:r>
    </w:p>
    <w:p>
      <w:pPr>
        <w:spacing w:after="0" w:line="158"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We may also encounter delays if a clinical trial is suspended or terminated by us, by the IRBs of the institutions in which such trials are being conducted, by any Data Safety Monitoring Board for such trial,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20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Moreover, changes in regulatory requirements and guidance or unanticipated events during our clinical trials may occur, as a result of which we may need to amend clinical trial protocols. Amendments may require us to resubmit our clinical trial protocols for review and approval, which may adversely affect the cost, timing and successful completion of a clinical trial. If we experience delays in the completion of, or if we terminate, any of our clinical trials, the commercial prospects for our affected product candidates would be harmed and our ability to generate product revenue would be delayed, possibly materially.</w:t>
      </w:r>
    </w:p>
    <w:p>
      <w:pPr>
        <w:spacing w:after="0" w:line="204"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Any delays in completing our clinical trials will increase our costs, slow down our product candidates’ development and regulatory review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244"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2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It is possible that none of our existing product candidates or any product candidates we may seek to develop in the future will ever obtain regulatory approval.</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16" w:name="page17"/>
    <w:bookmarkEnd w:id="16"/>
    <w:p>
      <w:pPr>
        <w:ind w:left="660"/>
        <w:spacing w:after="0"/>
        <w:rPr>
          <w:sz w:val="20"/>
          <w:szCs w:val="20"/>
          <w:color w:val="auto"/>
        </w:rPr>
      </w:pPr>
      <w:r>
        <w:rPr>
          <w:rFonts w:ascii="Arial" w:cs="Arial" w:eastAsia="Arial" w:hAnsi="Arial"/>
          <w:sz w:val="22"/>
          <w:szCs w:val="22"/>
          <w:color w:val="auto"/>
        </w:rPr>
        <w:t>Our product candidates could fail to receive regulatory approval for many reasons, including the following:</w:t>
      </w:r>
    </w:p>
    <w:p>
      <w:pPr>
        <w:spacing w:after="0" w:line="281" w:lineRule="exact"/>
        <w:rPr>
          <w:sz w:val="20"/>
          <w:szCs w:val="20"/>
          <w:color w:val="auto"/>
        </w:rPr>
      </w:pPr>
    </w:p>
    <w:p>
      <w:pPr>
        <w:ind w:left="860" w:hanging="488"/>
        <w:spacing w:after="0"/>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disagree with the design or implementation of our clinical trials;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may be unable to demonstrate to the satisfaction of the FDA or comparable foreign regulatory authorities that a product candidate is safe and effective for its proposed indication;</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results of clinical trials may not meet the level of statistical significance required by the FDA or comparable foreign regulatory authorities for approval;</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 may be unable to demonstrate that a product candidate’s clinical and other benefits outweigh its safety risks;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FDA or comparable foreign regulatory authorities may disagree with our interpretation of data from pre-clinical studies or clinical trials;</w:t>
      </w:r>
    </w:p>
    <w:p>
      <w:pPr>
        <w:spacing w:after="0" w:line="290" w:lineRule="exact"/>
        <w:rPr>
          <w:rFonts w:ascii="Arial" w:cs="Arial" w:eastAsia="Arial" w:hAnsi="Arial"/>
          <w:sz w:val="17"/>
          <w:szCs w:val="17"/>
          <w:color w:val="auto"/>
        </w:rPr>
      </w:pPr>
    </w:p>
    <w:p>
      <w:pPr>
        <w:ind w:left="860" w:right="20" w:hanging="488"/>
        <w:spacing w:after="0" w:line="277" w:lineRule="auto"/>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data collected from clinical trials of our product candidates may not be sufficient to support the submission of an NDA or other submission or to obtain regulatory approval in the United States or elsewhere;</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FDA or comparable foreign regulatory authorities may fail to approve the manufacturing processes or facilities of third-party manufacturers with which we contract for clinical and commercial supplies; or</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approval policies or regulations of the FDA or comparable foreign regulatory authorities may significantly change in a manner rendering our clinical data insufficient for approval.</w:t>
      </w:r>
    </w:p>
    <w:p>
      <w:pPr>
        <w:spacing w:after="0" w:line="231"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23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20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We have limited experience using the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Even if we successfully obtain regulatory approvals to market one or more of our product candidates, our revenue will be dependent, to a significant extent, upon the size of the markets in the territories for which we gain regulatory approval. If the markets for patients or indications that we are targeting are not as significant as we estimate, we may not generate significant revenue from sales of such products, if approved.</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7" w:name="page18"/>
    <w:bookmarkEnd w:id="17"/>
    <w:p>
      <w:pPr>
        <w:jc w:val="both"/>
        <w:spacing w:after="0" w:line="284" w:lineRule="auto"/>
        <w:rPr>
          <w:sz w:val="20"/>
          <w:szCs w:val="20"/>
          <w:color w:val="auto"/>
        </w:rPr>
      </w:pPr>
      <w:r>
        <w:rPr>
          <w:rFonts w:ascii="Arial" w:cs="Arial" w:eastAsia="Arial" w:hAnsi="Arial"/>
          <w:sz w:val="21"/>
          <w:szCs w:val="21"/>
          <w:b w:val="1"/>
          <w:bCs w:val="1"/>
          <w:i w:val="1"/>
          <w:iCs w:val="1"/>
          <w:color w:val="auto"/>
        </w:rPr>
        <w:t>Adverse side effects or other safety risks associated with our product candidates could delay or preclude approval, cause us to suspend or discontinue clinical trials, abandon product candidates, limit the commercial profile of an approved label, or result in significant negative consequences following marketing approval, if any.</w:t>
      </w:r>
    </w:p>
    <w:p>
      <w:pPr>
        <w:spacing w:after="0" w:line="223"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1"/>
          <w:szCs w:val="21"/>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Twyneo® and Epsolay</w:t>
      </w:r>
      <w:r>
        <w:rPr>
          <w:rFonts w:ascii="Arial" w:cs="Arial" w:eastAsia="Arial" w:hAnsi="Arial"/>
          <w:sz w:val="34"/>
          <w:szCs w:val="34"/>
          <w:color w:val="auto"/>
          <w:vertAlign w:val="superscript"/>
        </w:rPr>
        <w:t>®</w:t>
      </w:r>
      <w:r>
        <w:rPr>
          <w:rFonts w:ascii="Arial" w:cs="Arial" w:eastAsia="Arial" w:hAnsi="Arial"/>
          <w:sz w:val="21"/>
          <w:szCs w:val="21"/>
          <w:color w:val="auto"/>
        </w:rPr>
        <w:t xml:space="preserve"> have experienced drug-related side effects including moderate local site irritation such as dryness, erythema, scaling, pruritus, itching, stinging and burning. Results of our clinical trials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elect or are required to delay, suspend or terminate any clinical trial for any 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260"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We may find it difficult to enroll patients in our clinical trials, and patients could discontinue their participation in our clinical trials, which could delay or prevent clinical trials for our product candidates.</w:t>
      </w:r>
    </w:p>
    <w:p>
      <w:pPr>
        <w:spacing w:after="0" w:line="228"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Identifying and qualifying patients to participate in clinical trials for our product candidates is critical to our success. The timing of our clinical trials depends on the speed at which we can recruit patients to participate in testing our product candidates. If patients are unwilling to participate in our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potential product candidates may be delayed. These delays could result in increased costs, delays in advancing our product candidates development, delays in testing the effectiveness of our technology or termination of the clinical trials altogether.</w:t>
      </w:r>
    </w:p>
    <w:p>
      <w:pPr>
        <w:spacing w:after="0" w:line="210"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Patient enrollment is a significant factor in the timing of clinical trials. We may not be able to recruit and enroll a sufficient number of patients, which would impact our ability to complete our clinical trials in a timely manner. Patient enrollment may be affected by numerous factors, including:</w:t>
      </w:r>
    </w:p>
    <w:p>
      <w:pPr>
        <w:spacing w:after="0" w:line="233" w:lineRule="exact"/>
        <w:rPr>
          <w:sz w:val="20"/>
          <w:szCs w:val="20"/>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severity of the disease under investigation;</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size and nature of the patient population;</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eligibility criteria for the trial;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design of the trial protocol;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perceived risks and benefits of the product candidate under study;</w:t>
      </w:r>
    </w:p>
    <w:p>
      <w:pPr>
        <w:spacing w:after="0" w:line="279"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proximity to and availability of clinical trial sites for prospective patients;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availability of competing therapies and clinical trials;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ability to monitor patients adequately during and after treatment.</w:t>
      </w:r>
    </w:p>
    <w:p>
      <w:pPr>
        <w:spacing w:after="0" w:line="28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We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104 patients, or 12.12% of patients enrolled in our Twyneo® Phase III clinical trial, did not complete the study protocol. The most common reasons for subjects not completing the study were the withdrawal of informed consent (41 subjects), loss to follow-up (36 subjects) and adverse events (16 subjects). The discontinuation of patients in any one of our trials may cause us to delay or abandon our clinical trial or cause the results from that trial not to be positive or sufficient to support a filing for regulatory approval of the applicable product candidate.</w:t>
      </w:r>
    </w:p>
    <w:p>
      <w:pPr>
        <w:sectPr>
          <w:pgSz w:w="11900" w:h="16838" w:orient="portrait"/>
          <w:cols w:equalWidth="0" w:num="1">
            <w:col w:w="11240"/>
          </w:cols>
          <w:pgMar w:left="320" w:top="132" w:right="339" w:bottom="0" w:gutter="0" w:footer="0" w:header="0"/>
        </w:sectPr>
      </w:pP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0" w:gutter="0" w:footer="0" w:header="0"/>
          <w:type w:val="continuous"/>
        </w:sectPr>
      </w:pPr>
    </w:p>
    <w:bookmarkStart w:id="18" w:name="page19"/>
    <w:bookmarkEnd w:id="18"/>
    <w:p>
      <w:pPr>
        <w:jc w:val="both"/>
        <w:spacing w:after="0" w:line="276" w:lineRule="auto"/>
        <w:rPr>
          <w:sz w:val="20"/>
          <w:szCs w:val="20"/>
          <w:color w:val="auto"/>
        </w:rPr>
      </w:pPr>
      <w:r>
        <w:rPr>
          <w:rFonts w:ascii="Arial" w:cs="Arial" w:eastAsia="Arial" w:hAnsi="Arial"/>
          <w:sz w:val="22"/>
          <w:szCs w:val="22"/>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228"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237" w:lineRule="exact"/>
        <w:rPr>
          <w:sz w:val="20"/>
          <w:szCs w:val="20"/>
          <w:color w:val="auto"/>
        </w:rPr>
      </w:pPr>
    </w:p>
    <w:p>
      <w:pPr>
        <w:jc w:val="both"/>
        <w:spacing w:after="0" w:line="311" w:lineRule="auto"/>
        <w:rPr>
          <w:sz w:val="20"/>
          <w:szCs w:val="20"/>
          <w:color w:val="auto"/>
        </w:rPr>
      </w:pPr>
      <w:r>
        <w:rPr>
          <w:rFonts w:ascii="Arial" w:cs="Arial" w:eastAsia="Arial" w:hAnsi="Arial"/>
          <w:sz w:val="19"/>
          <w:szCs w:val="19"/>
          <w:b w:val="1"/>
          <w:bCs w:val="1"/>
          <w:i w:val="1"/>
          <w:iCs w:val="1"/>
          <w:color w:val="auto"/>
        </w:rPr>
        <w:t>If the FDA does not conclude that our product candidates for which we intend to seek approval under Section 505(b)(2) of the Federal Food, Drug, and Cosmetic Act satisfy the requirements of the Section 505(b)(2) regulatory approval pathway, or if the requirements for such product candidates under Section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204"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We are developing product candidates for which we intend to seek FDA approval through the Section 505(b)(2) regulatory pathway. The Drug Price Competition and Patent Term Restoration Act of 1984, also known as the Hatch-Waxman Amendments, added Section 505(b)(2) to the FDCA. Section 505(b)(2) permits the filing of an NDA where at least some of the information required for approval comes from studies that were not conducted by or for the applicant and for which the applicant has not obtained a right of reference. 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223"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In addition, notwithstanding the approval of a number of products by the FDA under Section 505(b)(2) over the last few years, certain brand-name pharmaceutical companies and others have objected to the FDA’s interpretation of Section 505(b)(2). If the FDA’s interpretation of Section 505(b)(2) is successfully challenged, the FDA may change its 505(b)(2) policies and practices, which could delay or even prevent the FDA from approving any NDA that we submit under Section 505(b)(2). In addition, the pharmaceutical industry is highly competitive, and Section 505(b)(2) NDAs are subject to special requirements designed to protect the patent rights of sponsors of previously approved drugs that are referenced in a Section 505(b)(2) NDA. These requirements may give rise to patent litigation and mandatory delays in approval of our NDAs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 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505(b)(2) regulatory pathway, there is no guarantee this would ultimately lead to accelerated product development or earlier approval.</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9" w:name="page20"/>
    <w:bookmarkEnd w:id="19"/>
    <w:p>
      <w:pPr>
        <w:jc w:val="both"/>
        <w:spacing w:after="0" w:line="266" w:lineRule="auto"/>
        <w:rPr>
          <w:sz w:val="20"/>
          <w:szCs w:val="20"/>
          <w:color w:val="auto"/>
        </w:rPr>
      </w:pPr>
      <w:r>
        <w:rPr>
          <w:rFonts w:ascii="Arial" w:cs="Arial" w:eastAsia="Arial" w:hAnsi="Arial"/>
          <w:sz w:val="22"/>
          <w:szCs w:val="22"/>
          <w:b w:val="1"/>
          <w:bCs w:val="1"/>
          <w:i w:val="1"/>
          <w:iCs w:val="1"/>
          <w:color w:val="auto"/>
        </w:rPr>
        <w:t>Even if our branded product candidates or our generic product candidates receive marketing approval, we may continue to face future developmental and regulatory difficulties. In addition, we will be subject to ongoing obligations and continued regulatory review.</w:t>
      </w:r>
    </w:p>
    <w:p>
      <w:pPr>
        <w:spacing w:after="0" w:line="23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Even if we complete clinical testing and receive approval of any of our branded or generic product candidates, the FDA may grant approval contingent on the performance of additional post-approval clinical trials, risk mitigation requirements such as the implementation of a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204"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The FDA also may approve branded product candidates or any of our generic product candidates for a more limited indication or a narrower patient population than we initially request, or may not approve the labeling that we believe is necessary or desirable for the successful commercialization of our product candidates. Furthermore,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200" w:lineRule="exact"/>
        <w:rPr>
          <w:sz w:val="20"/>
          <w:szCs w:val="20"/>
          <w:color w:val="auto"/>
        </w:rPr>
      </w:pPr>
    </w:p>
    <w:p>
      <w:pPr>
        <w:spacing w:after="0" w:line="27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If we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233" w:lineRule="exact"/>
        <w:rPr>
          <w:sz w:val="20"/>
          <w:szCs w:val="20"/>
          <w:color w:val="auto"/>
        </w:rPr>
      </w:pPr>
    </w:p>
    <w:p>
      <w:pPr>
        <w:ind w:left="860" w:hanging="488"/>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could suspend or impose restrictions on operations, including costly new manufacturing requirements;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could refuse to approve pending applications or supplements to applications;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could suspend any ongoing clinical trials;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could suspend or withdraw marketing approval;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could seek an injunction or impose civil or criminal penalties or monetary fines;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FDA could ban or restrict imports and exports;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FDA could issue warning letters or untitled letters or similar enforcement actions alleging noncompliance with regulatory requirements; or</w:t>
      </w:r>
    </w:p>
    <w:p>
      <w:pPr>
        <w:spacing w:after="0" w:line="302" w:lineRule="exact"/>
        <w:rPr>
          <w:rFonts w:ascii="Arial" w:cs="Arial" w:eastAsia="Arial" w:hAnsi="Arial"/>
          <w:sz w:val="16"/>
          <w:szCs w:val="16"/>
          <w:color w:val="auto"/>
        </w:rPr>
      </w:pPr>
    </w:p>
    <w:p>
      <w:pPr>
        <w:ind w:left="860" w:hanging="488"/>
        <w:spacing w:after="0" w:line="308" w:lineRule="auto"/>
        <w:tabs>
          <w:tab w:leader="none" w:pos="8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20" w:name="page21"/>
    <w:bookmarkEnd w:id="20"/>
    <w:p>
      <w:pPr>
        <w:jc w:val="both"/>
        <w:ind w:firstLine="648"/>
        <w:spacing w:after="0" w:line="302" w:lineRule="auto"/>
        <w:rPr>
          <w:sz w:val="20"/>
          <w:szCs w:val="20"/>
          <w:color w:val="auto"/>
        </w:rPr>
      </w:pPr>
      <w:r>
        <w:rPr>
          <w:rFonts w:ascii="Arial" w:cs="Arial" w:eastAsia="Arial" w:hAnsi="Arial"/>
          <w:sz w:val="19"/>
          <w:szCs w:val="19"/>
          <w:color w:val="auto"/>
        </w:rPr>
        <w:t>In addition, if our branded product candidates or any of our other product candidates are approved, our product labeling, advertising and promotional materials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If we receive marketing approval for any of our branded product candidates or any of our generic product candidates, physicians may nevertheless prescribe the products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211"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Moreover, the FDA’s policies may change and additional government regulations may be enacted that could prevent, limit or delay marketing approval, and the sale and promotion of our branded product candidates or any of our other product candidates, if approved. If we are slow or unable to adapt to changes in existing requirements or the adoption of new requirements or policies, or if we are not able to maintain regulatory compliance, we may lose any marketing approval that we may have obtained, which would adversely affect our business, prospects and ability to achieve or sustain profitability. In addition, costs arising out of any regulatory developments could be time-consuming and expensive and could divert management resources and attention and, consequently, could adversely affect our business operations and financial performance.</w:t>
      </w:r>
    </w:p>
    <w:p>
      <w:pPr>
        <w:spacing w:after="0" w:line="210"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We also cannot predict the likelihood, nature or extent of government regulation that may arise from future legislation or administrative or executive action, either in the United States or abroad. For example, certain policies of the Trump administration may impact our business and industry. The Trump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If these executive actions impose constraints on the FDA’s ability to engage in oversight and implementation activities in the normal course, our business may be negatively impacted.</w:t>
      </w:r>
    </w:p>
    <w:p>
      <w:pPr>
        <w:spacing w:after="0" w:line="210" w:lineRule="exact"/>
        <w:rPr>
          <w:sz w:val="20"/>
          <w:szCs w:val="20"/>
          <w:color w:val="auto"/>
        </w:rPr>
      </w:pPr>
    </w:p>
    <w:p>
      <w:pPr>
        <w:jc w:val="both"/>
        <w:spacing w:after="0" w:line="352" w:lineRule="auto"/>
        <w:rPr>
          <w:sz w:val="20"/>
          <w:szCs w:val="20"/>
          <w:color w:val="auto"/>
        </w:rPr>
      </w:pPr>
      <w:r>
        <w:rPr>
          <w:rFonts w:ascii="Arial" w:cs="Arial" w:eastAsia="Arial" w:hAnsi="Arial"/>
          <w:sz w:val="18"/>
          <w:szCs w:val="18"/>
          <w:b w:val="1"/>
          <w:bCs w:val="1"/>
          <w:i w:val="1"/>
          <w:iCs w:val="1"/>
          <w:color w:val="auto"/>
        </w:rPr>
        <w:t>Disruptions at the FDA and other government agencies caused by funding shortages or global health concerns could hinder their ability to hire, retain or deploy key leadership and other personnel, or otherwise prevent new or modified products from being developed, approved or commercialized in a timely manner or at all, which could negatively impact our business.</w:t>
      </w:r>
    </w:p>
    <w:p>
      <w:pPr>
        <w:spacing w:after="0" w:line="169" w:lineRule="exact"/>
        <w:rPr>
          <w:sz w:val="20"/>
          <w:szCs w:val="20"/>
          <w:color w:val="auto"/>
        </w:rPr>
      </w:pPr>
    </w:p>
    <w:p>
      <w:pPr>
        <w:jc w:val="both"/>
        <w:ind w:firstLine="646"/>
        <w:spacing w:after="0" w:line="271" w:lineRule="auto"/>
        <w:rPr>
          <w:sz w:val="20"/>
          <w:szCs w:val="20"/>
          <w:color w:val="auto"/>
        </w:rPr>
      </w:pPr>
      <w:r>
        <w:rPr>
          <w:rFonts w:ascii="Arial" w:cs="Arial" w:eastAsia="Arial" w:hAnsi="Arial"/>
          <w:sz w:val="21"/>
          <w:szCs w:val="21"/>
          <w:color w:val="auto"/>
        </w:rPr>
        <w:t>The ability of the FDA to review and approve new products can be affected by a variety of factors, including government budget and funding levels, statutory, regulatory, and policy changes, the FDA’s ability to hire and retain key personnel and accept the payment of user fees, and other events that may otherwise affect the FDA’s ability to perform routine functions. Average review times at the agency have fluctuated in recent years as a result. In addition, government funding of other government agencies that fund research and development activities is subject to the political process, which is inherently fluid and unpredictable. Disruptions at the FDA and other agencies may also slow the time necessary for new biologics or modifications to approved biologics to be reviewed and/or approved by necessary government agencies, which would adversely affect our business. For example, over the last several years, including for 35 days beginning on December 22, 2018, the U.S. government has shut down several times and certain regulatory agencies, such as the FDA, have had to furlough critical FDA employees and stop critical activities.</w:t>
      </w:r>
    </w:p>
    <w:p>
      <w:pPr>
        <w:spacing w:after="0" w:line="24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Separately, in response to the global pandemic of COVID-19 on March 10, 2020 the FDA announced its intention to postpone most foreign inspections of manufacturing facilities and products through April 2020, and regulatory authorities outside the United States may adopt similar restrictions or other policy measures in response to the COVID-19 pandemic. If a prolonged government shutdown occurs, or if global health concerns continue to prevent the FDA or other regulatory authorities from conducting their regular inspections, reviews, or other regulatory activities, it could significantly impact the ability of the FDA or other regulatory authorities to timely review and process our regulatory submissions, which could have a material adverse effect on our business.</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21" w:name="page22"/>
    <w:bookmarkEnd w:id="21"/>
    <w:p>
      <w:pPr>
        <w:jc w:val="both"/>
        <w:spacing w:after="0" w:line="358" w:lineRule="auto"/>
        <w:rPr>
          <w:sz w:val="20"/>
          <w:szCs w:val="20"/>
          <w:color w:val="auto"/>
        </w:rPr>
      </w:pPr>
      <w:r>
        <w:rPr>
          <w:rFonts w:ascii="Arial" w:cs="Arial" w:eastAsia="Arial" w:hAnsi="Arial"/>
          <w:sz w:val="19"/>
          <w:szCs w:val="19"/>
          <w:b w:val="1"/>
          <w:bCs w:val="1"/>
          <w:i w:val="1"/>
          <w:iCs w:val="1"/>
          <w:color w:val="auto"/>
        </w:rPr>
        <w:t>Even if our branded product candidates or our other product candidates receive regulatory approval, they may fail to achieve the broad degree of physician adoption and market acceptance necessary for commercial success.</w:t>
      </w:r>
    </w:p>
    <w:p>
      <w:pPr>
        <w:spacing w:after="0" w:line="158"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Even if we obtain FDA approvals for our branded product candidates or any of our generic product candidates, the commercial success of such products will depend significantly on their broad adoption by dermatologists, pediatricians and other physicians for approved indications and other therapeutic or aesthetic indications that we may seek to pursue if approved.</w:t>
      </w:r>
    </w:p>
    <w:p>
      <w:pPr>
        <w:spacing w:after="0" w:line="1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degree and rate of physician and patient adoption of our branded product candidates and any of our generic product candidates, if approved, will depend on a number of factors, including:</w:t>
      </w:r>
    </w:p>
    <w:p>
      <w:pPr>
        <w:spacing w:after="0" w:line="222" w:lineRule="exact"/>
        <w:rPr>
          <w:sz w:val="20"/>
          <w:szCs w:val="20"/>
          <w:color w:val="auto"/>
        </w:rPr>
      </w:pPr>
    </w:p>
    <w:p>
      <w:pPr>
        <w:ind w:left="860" w:hanging="488"/>
        <w:spacing w:after="0"/>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clinical indications for which the product is approved;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safety and efficacy of our product as compared to existing therapies for those indications;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prevalence and severity of adverse side effects;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patient satisfaction with the results and administration of our product and overall treatment experience, including relative convenience, ease of use and avoidance of, or reduction in, adverse side effects;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patient demand for the treatment of acne and rosacea or other indications;</w:t>
      </w:r>
    </w:p>
    <w:p>
      <w:pPr>
        <w:spacing w:after="0" w:line="279"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cost of treatment in relation to alternative treatments, the extent to which these costs are reimbursed by third-party payors, and patients’ willingness to pay for our product candidates; and</w:t>
      </w:r>
    </w:p>
    <w:p>
      <w:pPr>
        <w:spacing w:after="0" w:line="224" w:lineRule="exact"/>
        <w:rPr>
          <w:rFonts w:ascii="Arial" w:cs="Arial" w:eastAsia="Arial" w:hAnsi="Arial"/>
          <w:sz w:val="18"/>
          <w:szCs w:val="18"/>
          <w:color w:val="auto"/>
        </w:rPr>
      </w:pPr>
    </w:p>
    <w:p>
      <w:pPr>
        <w:jc w:val="both"/>
        <w:ind w:left="860" w:hanging="488"/>
        <w:spacing w:after="0" w:line="263" w:lineRule="auto"/>
        <w:tabs>
          <w:tab w:leader="none" w:pos="8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244" w:lineRule="exact"/>
        <w:rPr>
          <w:sz w:val="20"/>
          <w:szCs w:val="20"/>
          <w:color w:val="auto"/>
        </w:rPr>
      </w:pPr>
    </w:p>
    <w:p>
      <w:pPr>
        <w:jc w:val="both"/>
        <w:ind w:right="20"/>
        <w:spacing w:after="0" w:line="301" w:lineRule="auto"/>
        <w:rPr>
          <w:sz w:val="20"/>
          <w:szCs w:val="20"/>
          <w:color w:val="auto"/>
        </w:rPr>
      </w:pPr>
      <w:r>
        <w:rPr>
          <w:rFonts w:ascii="Arial" w:cs="Arial" w:eastAsia="Arial" w:hAnsi="Arial"/>
          <w:sz w:val="21"/>
          <w:szCs w:val="21"/>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204"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We conduct research and development primarily to enable us to manufacture and market topical dermatological creams containing drugs in accordance with FDA regulations as well as other regulatory authorities. We spent approximately $25.8 million, $28.1 million and $40.6 million on research and development activities during the years ended December 31, 2017, 2018 and 2019, respectively. We are required to obtain FDA approval before marketing our product candidates in the United States. The FDA approval process is costly, time consuming and inherently risky.</w:t>
      </w:r>
    </w:p>
    <w:p>
      <w:pPr>
        <w:spacing w:after="0" w:line="231"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22" w:name="page23"/>
    <w:bookmarkEnd w:id="22"/>
    <w:p>
      <w:pPr>
        <w:jc w:val="both"/>
        <w:ind w:right="20"/>
        <w:spacing w:after="0" w:line="266" w:lineRule="auto"/>
        <w:rPr>
          <w:sz w:val="20"/>
          <w:szCs w:val="20"/>
          <w:color w:val="auto"/>
        </w:rPr>
      </w:pPr>
      <w:r>
        <w:rPr>
          <w:rFonts w:ascii="Arial" w:cs="Arial" w:eastAsia="Arial" w:hAnsi="Arial"/>
          <w:sz w:val="22"/>
          <w:szCs w:val="22"/>
          <w:b w:val="1"/>
          <w:bCs w:val="1"/>
          <w:i w:val="1"/>
          <w:iCs w:val="1"/>
          <w:color w:val="auto"/>
        </w:rPr>
        <w:t>Our clinical trials for our branded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2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Our clinical trials for branded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 with our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246"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our branded product candidates,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our product candidates, if approved.</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We may be subject to risk as a result of international manufacturing operations.</w:t>
      </w:r>
    </w:p>
    <w:p>
      <w:pPr>
        <w:spacing w:after="0" w:line="287" w:lineRule="exact"/>
        <w:rPr>
          <w:sz w:val="20"/>
          <w:szCs w:val="20"/>
          <w:color w:val="auto"/>
        </w:rPr>
      </w:pPr>
    </w:p>
    <w:p>
      <w:pPr>
        <w:jc w:val="both"/>
        <w:ind w:firstLine="646"/>
        <w:spacing w:after="0" w:line="274" w:lineRule="auto"/>
        <w:rPr>
          <w:sz w:val="20"/>
          <w:szCs w:val="20"/>
          <w:color w:val="auto"/>
        </w:rPr>
      </w:pPr>
      <w:r>
        <w:rPr>
          <w:rFonts w:ascii="Arial" w:cs="Arial" w:eastAsia="Arial" w:hAnsi="Arial"/>
          <w:sz w:val="21"/>
          <w:szCs w:val="21"/>
          <w:color w:val="auto"/>
        </w:rPr>
        <w:t>Certain of our product candidates may be manufactured, warehoused and/or tested at third-party facilities located in the U.S., Canada, New Zealand, and India, in addition to our facility in Israel, and therefore our operations are subject to risks inherent in doing business internationally. Such risks include the adverse effects on operations from corruption, war, public health crises, such as pandemics and epidemics, international terrorism, civil disturbances, political instability, governmental activities, deprivation of contract and property rights and currency valuation changes. Any of these changes could have a material adverse effect on our reputation, business, financial condition or results of operations.</w:t>
      </w:r>
    </w:p>
    <w:p>
      <w:pPr>
        <w:spacing w:after="0" w:line="236"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Pandemics such as the novel coronavirus (COVID-19) could have an adverse impact on our business and our financial condition.</w:t>
      </w:r>
    </w:p>
    <w:p>
      <w:pPr>
        <w:spacing w:after="0" w:line="228" w:lineRule="exact"/>
        <w:rPr>
          <w:sz w:val="20"/>
          <w:szCs w:val="20"/>
          <w:color w:val="auto"/>
        </w:rPr>
      </w:pPr>
    </w:p>
    <w:p>
      <w:pPr>
        <w:jc w:val="both"/>
        <w:ind w:left="20" w:firstLine="646"/>
        <w:spacing w:after="0" w:line="302" w:lineRule="auto"/>
        <w:rPr>
          <w:sz w:val="20"/>
          <w:szCs w:val="20"/>
          <w:color w:val="auto"/>
        </w:rPr>
      </w:pPr>
      <w:r>
        <w:rPr>
          <w:rFonts w:ascii="Arial" w:cs="Arial" w:eastAsia="Arial" w:hAnsi="Arial"/>
          <w:sz w:val="19"/>
          <w:szCs w:val="19"/>
          <w:color w:val="auto"/>
        </w:rPr>
        <w:t>In December 2019, COVID-19 was identified in Wuhan, China. This virus continues to spread globally and, as of March 2020, has spread to over 50 countries, including the United States and Israel. Any outbreak of contagious diseases, or other adverse public health developments, could have a material adverse effect on our business operations. These could include disruptions or restrictions on our ability to travel, pursue collaborations and other business transactions, oversee the activities of our third-party manufacturers and suppliers, conduct clinical trials, make shipments of materials, as well as be impacted by the temporary closure of the facilities of suppliers and clinical trial sites. Any disruption of suppliers, clinical trial sites or access to patients would likely impact our clinical trial enrollment progress and rates as well as our ability to access capital through the financial markets. Moreover, the coronavirus outbreak has begun to have indeterminable adverse effects on general commercial activity and the world economy, and our business and results of operations could be adversely affected to the extent that this coronavirus or any other epidemic harms the global economy generally. The extent to which the coronavirus impacts our business will depend on future developments, which are highly uncertain and cannot be predicted, including new information which may emerge concerning the severity of the coronavirus and the actions to contain the coronavirus or treat its impact, among others.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23" w:name="page24"/>
    <w:bookmarkEnd w:id="23"/>
    <w:p>
      <w:pPr>
        <w:jc w:val="both"/>
        <w:spacing w:after="0" w:line="358" w:lineRule="auto"/>
        <w:rPr>
          <w:sz w:val="20"/>
          <w:szCs w:val="20"/>
          <w:color w:val="auto"/>
        </w:rPr>
      </w:pPr>
      <w:r>
        <w:rPr>
          <w:rFonts w:ascii="Arial" w:cs="Arial" w:eastAsia="Arial" w:hAnsi="Arial"/>
          <w:sz w:val="19"/>
          <w:szCs w:val="19"/>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15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In the future, we may acquire or in-license additional product candidates and technologies. Any product candidate or technologies we in-license or acquire will likely require additional development efforts prior to commercial sale, including extensive pre-clinical studies, clinical trials, or both, and approval by the FDA or other applicable foreign regulatory authorities, if any. All product candidates are prone to risks of failure inherent in pharmaceutical product development, including the possibility that the product candidate, or product developed based on in-licensed technology, will not be shown to be sufficiently safe and effective for approval by regulatory authorities. If intellectual property related to product candidates or technologies we in-license or our own know-how is not adequate, we may not be able to commercialize the affected product candidates even after expending resources on their development. In addition, we may not be able to manufacture economically or successfully commercialize any product candidate that we develop based on acquired or in-licensed technology that is granted regulatory approval, and such product candidates may not gain wide acceptance or be competitive in the marketplace. Moreover, integrating any newly acquired or in-licensed product candidates could be expensive and time-consuming. If we cannot effectively manage these aspects of our business strategy, our business may not succeed.</w:t>
      </w:r>
    </w:p>
    <w:p>
      <w:pPr>
        <w:spacing w:after="0" w:line="211"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The time necessary to develop generic API or drug products may adversely affect whether, and the extent to which, we receive a return on our capital.</w:t>
      </w:r>
    </w:p>
    <w:p>
      <w:pPr>
        <w:spacing w:after="0" w:line="22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The development process, including drug formulation where applicable, testing, and FDA review and approval for generic drug products often takes 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 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23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Regulatory Matters</w:t>
      </w:r>
    </w:p>
    <w:p>
      <w:pPr>
        <w:spacing w:after="0" w:line="293"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If we do not comply with laws regulating the protection of the environment and health and human safety, our business could be adversely affected.</w:t>
      </w:r>
    </w:p>
    <w:p>
      <w:pPr>
        <w:spacing w:after="0" w:line="22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24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ectPr>
          <w:pgSz w:w="11900" w:h="16838" w:orient="portrait"/>
          <w:cols w:equalWidth="0" w:num="1">
            <w:col w:w="11240"/>
          </w:cols>
          <w:pgMar w:left="320" w:top="402" w:right="339" w:bottom="1440" w:gutter="0" w:footer="0" w:header="0"/>
        </w:sectPr>
      </w:pP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type w:val="continuous"/>
        </w:sectPr>
      </w:pPr>
    </w:p>
    <w:bookmarkStart w:id="24" w:name="page25"/>
    <w:bookmarkEnd w:id="24"/>
    <w:p>
      <w:pPr>
        <w:spacing w:after="0"/>
        <w:rPr>
          <w:sz w:val="20"/>
          <w:szCs w:val="20"/>
          <w:color w:val="auto"/>
        </w:rPr>
      </w:pPr>
      <w:r>
        <w:rPr>
          <w:rFonts w:ascii="Arial" w:cs="Arial" w:eastAsia="Arial" w:hAnsi="Arial"/>
          <w:sz w:val="22"/>
          <w:szCs w:val="22"/>
          <w:b w:val="1"/>
          <w:bCs w:val="1"/>
          <w:i w:val="1"/>
          <w:iCs w:val="1"/>
          <w:color w:val="auto"/>
        </w:rPr>
        <w:t>Healthcare reform in the United States may harm our future business.</w:t>
      </w:r>
    </w:p>
    <w:p>
      <w:pPr>
        <w:spacing w:after="0" w:line="2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Healthcare costs in the United States have risen significantly over the past decade. In March 2010, the “Patient Protection and Affordable Care Act,” as amended by the “Health Care and Education Reconciliation Act,” collectively referred to as the "Affordable Care Act",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Affordable Care Act also included a number of changes which may impact our product candidates, if approved:</w:t>
      </w:r>
    </w:p>
    <w:p>
      <w:pPr>
        <w:spacing w:after="0" w:line="201" w:lineRule="exact"/>
        <w:rPr>
          <w:sz w:val="20"/>
          <w:szCs w:val="20"/>
          <w:color w:val="auto"/>
        </w:rPr>
      </w:pPr>
    </w:p>
    <w:p>
      <w:pPr>
        <w:jc w:val="both"/>
        <w:ind w:left="860" w:hanging="488"/>
        <w:spacing w:after="0" w:line="311" w:lineRule="auto"/>
        <w:tabs>
          <w:tab w:leader="none" w:pos="8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202" w:lineRule="exact"/>
        <w:rPr>
          <w:rFonts w:ascii="Arial" w:cs="Arial" w:eastAsia="Arial" w:hAnsi="Arial"/>
          <w:sz w:val="16"/>
          <w:szCs w:val="16"/>
          <w:color w:val="auto"/>
        </w:rPr>
      </w:pPr>
    </w:p>
    <w:p>
      <w:pPr>
        <w:ind w:left="860" w:hanging="488"/>
        <w:spacing w:after="0" w:line="277" w:lineRule="auto"/>
        <w:tabs>
          <w:tab w:leader="none" w:pos="8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imposition of annual fees upon manufacturers or importers of branded prescription drugs, which fees will be in amounts determined by the Secretary of Treasury based upon market share and other data;</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providing a discount on brand-name prescriptions filled in the Medicare Part D coverage gap as a condition for the manufacturers’ outpatient drugs to be covered under Medicare Part D;</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imposing increased penalties for the violation of fraud and abuse laws and funding for anti-fraud activities;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creating a new pathway for approval of biosimilar biological products and granting an exclusivity period of 12 years for branded drug manufacturers of biological products before biosimilar products can be approved for marketing in the United States; and</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expanding the definition of “covered entities” that purchase certain outpatient drugs in the 340B Drug Pricing Program of Section 340B of the Public Health Service Act.</w:t>
      </w:r>
    </w:p>
    <w:p>
      <w:pPr>
        <w:spacing w:after="0" w:line="231"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While the Affordable Care Act may have increased the number of patients who have insurance coverage for our product candidates, if approved by the FDA, the Affordable Care Act also restructured payments to Medicare managed care plans and reduced reimbursement to many institutional providers. Accordingly, the change in the Medicaid rebate levels, the additional fees imposed upon us if we market branded drugs, other compliance obligations, and the reduced reimbursement levels to institutional providers may result in a loss of revenue and could adversely affect our business. In addition, the Affordable Care Act contemplates the promulgation of significant future regulatory action which may also further affect our business.</w:t>
      </w:r>
    </w:p>
    <w:p>
      <w:pPr>
        <w:spacing w:after="0" w:line="20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Since its enactment, there have been judicial and Congressional challenges to certain aspects of the Affordable Care Act. By way of example, the Tax Cuts and Jobs Act (the “Tax Act”) was enacted, which, among other things, removes penalties for not complying with the Affordable Care Act’s individual mandate to carry health insurance. On December 14, 2018, a U.S. District Court Judge in the Northern District of Texas, ruled that the individual mandate is a critical and inseverable feature of the Affordable Care Act, and therefore, because it was repealed as part of the Tax Act, the remaining provisions of the Affordable Care Act are invalid as well. On December 18, 2019, the U.S. Court of Appeals for the 5th Circuit upheld the District Court's decision that the individual mandate was unconstitutional but remanded the case back to the District Court to determine whether the remaining provisions of the Affordable Care Act are invalid as well. It is unclear how these decisions, subsequent appeals, or other efforts to challenge, repeal or replace the Affordable Care Act will impact the law or and our business or financial condition.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25" w:name="page26"/>
    <w:bookmarkEnd w:id="25"/>
    <w:p>
      <w:pPr>
        <w:jc w:val="both"/>
        <w:ind w:firstLine="648"/>
        <w:spacing w:after="0" w:line="300" w:lineRule="auto"/>
        <w:rPr>
          <w:sz w:val="20"/>
          <w:szCs w:val="20"/>
          <w:color w:val="auto"/>
        </w:rPr>
      </w:pPr>
      <w:r>
        <w:rPr>
          <w:rFonts w:ascii="Arial" w:cs="Arial" w:eastAsia="Arial" w:hAnsi="Arial"/>
          <w:sz w:val="19"/>
          <w:szCs w:val="19"/>
          <w:color w:val="auto"/>
        </w:rPr>
        <w:t>Moreover, other legislative changes have been proposed and adopted since the Affordable Care Act was enacted. For example, the Budget Control Act of 2011 resulted in aggregate reductions to Medicare payments to providers of 2% per fiscal year, which went into effect on April 1, 2013, and will remain in effect through 2025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and enacted legislation designed to, among other things, bring more transparency to product pricing, review the relationship between pricing and manufacturer patient programs and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our product candidates, if approved, or additional pricing pressure.</w:t>
      </w:r>
    </w:p>
    <w:p>
      <w:pPr>
        <w:spacing w:after="0" w:line="21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Commercialization of Our Product Candidates</w:t>
      </w:r>
    </w:p>
    <w:p>
      <w:pPr>
        <w:spacing w:after="0" w:line="293" w:lineRule="exact"/>
        <w:rPr>
          <w:sz w:val="20"/>
          <w:szCs w:val="20"/>
          <w:color w:val="auto"/>
        </w:rPr>
      </w:pPr>
    </w:p>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Our continued growth is dependent on our ability to successfully develop and commercialize new product candidates in a timely manner.</w:t>
      </w:r>
    </w:p>
    <w:p>
      <w:pPr>
        <w:spacing w:after="0" w:line="22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Our financial results depend upon our ability to introduce and commercialize additional product candidates in a timely manner. Generally, revenue from new products is highest immediately following launch and then declines over time, as new competitors enter the market. Furthermore, the greatest revenue is generally experienced by the company that is able to bring its product to the market first. Our growth is therefore dependent upon our ability to successfully introduce and commercialize new product candidates.</w:t>
      </w:r>
    </w:p>
    <w:p>
      <w:pPr>
        <w:spacing w:after="0" w:line="245"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The FDA and other regulatory authorities may not approve our product applications at all or in a timely fashion for our product candidates under development. Additionally, we may not successfully complete our development efforts for other reasons, such as poor results in clinical trials or a lack of funding to complete the required trials. Even if the FDA approves our product candidates, we may not be able to market them successfully or profitably. Our future results of operations will depend significantly upon our ability to timely develop, receive FDA approval for, and market new pharmaceutical product candidates or otherwise develop new product candidates or acquire the rights to other products.</w:t>
      </w:r>
    </w:p>
    <w:p>
      <w:pPr>
        <w:spacing w:after="0" w:line="236"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Our product candidates, if approved, will face significant competition and our failure to compete effectively may prevent us from achieving significant market penetration and expansion.</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Twyneo® and Epsolay®, if approved, will face significant competition from other approved products, including topical drugs, topical anti-acne drugs such as Acanya, Ziana, Epiduo, Epiduo Forte, Benzaclin, Aczone, Onexton, Differin, Arazlo, Aklief and Amzeeq, and topical drugs for the treatment of rosacea such as Metrogel, Finacea, Soolantra and Finacea, oral drugs such as Solodyn, Doryx, Dynacin, Oracea and Minocin. If approved, Twyneo® and Epsolay® may also compete with non-prescription anti-acne products, as well as unapproved and off-label treatments. In addition, if approved, Twyneo®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200" w:lineRule="exact"/>
        <w:rPr>
          <w:sz w:val="20"/>
          <w:szCs w:val="20"/>
          <w:color w:val="auto"/>
        </w:rPr>
      </w:pPr>
    </w:p>
    <w:p>
      <w:pPr>
        <w:spacing w:after="0" w:line="281"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ectPr>
          <w:pgSz w:w="11900" w:h="16838" w:orient="portrait"/>
          <w:cols w:equalWidth="0" w:num="1">
            <w:col w:w="11240"/>
          </w:cols>
          <w:pgMar w:left="320" w:top="132" w:right="339" w:bottom="101" w:gutter="0" w:footer="0" w:header="0"/>
        </w:sect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01" w:gutter="0" w:footer="0" w:header="0"/>
          <w:type w:val="continuous"/>
        </w:sectPr>
      </w:pPr>
    </w:p>
    <w:bookmarkStart w:id="26" w:name="page27"/>
    <w:bookmarkEnd w:id="26"/>
    <w:p>
      <w:pPr>
        <w:jc w:val="both"/>
        <w:ind w:firstLine="648"/>
        <w:spacing w:after="0" w:line="261" w:lineRule="auto"/>
        <w:rPr>
          <w:sz w:val="20"/>
          <w:szCs w:val="20"/>
          <w:color w:val="auto"/>
        </w:rPr>
      </w:pPr>
      <w:r>
        <w:rPr>
          <w:rFonts w:ascii="Arial" w:cs="Arial" w:eastAsia="Arial" w:hAnsi="Arial"/>
          <w:sz w:val="22"/>
          <w:szCs w:val="22"/>
          <w:color w:val="auto"/>
        </w:rPr>
        <w:t>In addition, even if we are able to commercialize our product candidates, we may not be able to price them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product candidates successfully.</w:t>
      </w:r>
    </w:p>
    <w:p>
      <w:pPr>
        <w:spacing w:after="0" w:line="244"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We believe that our principal competitors are Bausch Health, Inc., Galderma S.A., Almirall, LLC, LEO Pharma A/S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96"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In addition to the above listed competitors, some of our product candidates might face internal competition with other product candidates of ours, for the same markets and patient populations, due to overlap in the required treatment and/or symptoms. For example, Epsolay® may compete with ivermectin cream, 1%, for treatment of rosacea.</w:t>
      </w:r>
    </w:p>
    <w:p>
      <w:pPr>
        <w:spacing w:after="0" w:line="223" w:lineRule="exact"/>
        <w:rPr>
          <w:sz w:val="20"/>
          <w:szCs w:val="20"/>
          <w:color w:val="auto"/>
        </w:rPr>
      </w:pPr>
    </w:p>
    <w:p>
      <w:pPr>
        <w:jc w:val="both"/>
        <w:ind w:firstLine="727"/>
        <w:spacing w:after="0" w:line="301" w:lineRule="auto"/>
        <w:rPr>
          <w:sz w:val="20"/>
          <w:szCs w:val="20"/>
          <w:color w:val="auto"/>
        </w:rPr>
      </w:pPr>
      <w:r>
        <w:rPr>
          <w:rFonts w:ascii="Arial" w:cs="Arial" w:eastAsia="Arial" w:hAnsi="Arial"/>
          <w:sz w:val="19"/>
          <w:szCs w:val="19"/>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For example, on December 30, 2016, Actavis Ltd. submitted an ANDA for ivermectin, 1%, cream, and, as a potential “first applicant,” may qualify for 180-day generic marketing exclusivity. Accordingly, the FDA may be prohibited from approving any other generic ivermectin, 1%, cream product for 180 days from the date of the Actavis Ltd. ANDA approval, such that we would not be able to commercialize this product until after Actavis Ltd.’s exclusivity period expires. Thus, we expect, in accordance with the standard practices in the industry, to face immediate competition when we introduce a generic product into the market.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first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214"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In addition to the competition we face from other generic manufacturers, we face competition from brand-name manufacturers related to our generic product candidates. Branded pharmaceutical companies may sell their branded products as “authorized generics,” where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ANDAs or reduce generic competition by, for example, obtaining new patents on drugs whose original patent protection is about to expire, filing patent infringement suits that could delay FDA approval of generics, developing new versions of their products to obtain FDA market exclusivity, filing citizen petitions contesting FDA approvals of generics such as on alleged health and safety grounds, developing “next generation” versions of products that reduce demand for the generic versions we are developing, changing product claims and labeling, and seeking approval to market as OTC branded products.</w:t>
      </w:r>
    </w:p>
    <w:p>
      <w:pPr>
        <w:spacing w:after="0" w:line="212"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three-year period of exclusivity. Recent litigation against the FDA has affirmed the FDA’s interpretation of the scope of three-year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three-year exclusivity.</w:t>
      </w:r>
    </w:p>
    <w:p>
      <w:pPr>
        <w:sectPr>
          <w:pgSz w:w="11900" w:h="16838" w:orient="portrait"/>
          <w:cols w:equalWidth="0" w:num="1">
            <w:col w:w="11240"/>
          </w:cols>
          <w:pgMar w:left="320" w:top="132" w:right="339" w:bottom="1440" w:gutter="0" w:footer="0" w:header="0"/>
        </w:sectPr>
      </w:pP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27" w:name="page28"/>
    <w:bookmarkEnd w:id="27"/>
    <w:p>
      <w:pPr>
        <w:jc w:val="both"/>
        <w:spacing w:after="0" w:line="276" w:lineRule="auto"/>
        <w:rPr>
          <w:sz w:val="20"/>
          <w:szCs w:val="20"/>
          <w:color w:val="auto"/>
        </w:rPr>
      </w:pPr>
      <w:r>
        <w:rPr>
          <w:rFonts w:ascii="Arial" w:cs="Arial" w:eastAsia="Arial" w:hAnsi="Arial"/>
          <w:sz w:val="22"/>
          <w:szCs w:val="22"/>
          <w:b w:val="1"/>
          <w:bCs w:val="1"/>
          <w:i w:val="1"/>
          <w:iCs w:val="1"/>
          <w:color w:val="auto"/>
        </w:rPr>
        <w:t>Other pharmaceutical companies may develop competing products for acne, rosacea and other indications we are pursuing and enter the market ahead of us.</w:t>
      </w:r>
    </w:p>
    <w:p>
      <w:pPr>
        <w:spacing w:after="0" w:line="22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Other pharmaceutical companies are engaged in developing, patenting, manufacturing and marketing healthcare products that compete with those that we are developing. These potential 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244"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210"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245" w:lineRule="exact"/>
        <w:rPr>
          <w:sz w:val="20"/>
          <w:szCs w:val="20"/>
          <w:color w:val="auto"/>
        </w:rPr>
      </w:pPr>
    </w:p>
    <w:p>
      <w:pPr>
        <w:jc w:val="both"/>
        <w:spacing w:after="0" w:line="284" w:lineRule="auto"/>
        <w:rPr>
          <w:sz w:val="20"/>
          <w:szCs w:val="20"/>
          <w:color w:val="auto"/>
        </w:rPr>
      </w:pPr>
      <w:r>
        <w:rPr>
          <w:rFonts w:ascii="Arial" w:cs="Arial" w:eastAsia="Arial" w:hAnsi="Arial"/>
          <w:sz w:val="21"/>
          <w:szCs w:val="21"/>
          <w:b w:val="1"/>
          <w:bCs w:val="1"/>
          <w:i w:val="1"/>
          <w:iCs w:val="1"/>
          <w:color w:val="auto"/>
        </w:rPr>
        <w:t>We currently have limited marketing capabilities and no sales organization. If we are unable to establish sales and marketing capabilities on our own or through third parties, we will be unable to successfully commercialize Twyneo®, Epsolay® or any other of our other product candidates, if approved, or generate product revenues.</w:t>
      </w:r>
    </w:p>
    <w:p>
      <w:pPr>
        <w:spacing w:after="0" w:line="22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We currently have limited marketing capabilities and no sales organization. To commercialize Twyneo®, Epsolay® or any other of our other product candidates, if approved, in the United States and other jurisdictions we may seek to enter, we must build our marketing, sales, distribution, managerial and other non-technical capabilities or make arrangements with third parties to perform these services, and we may not be successful in doing so. For instance, if Twyneo® and Epsolay® receive regulatory approval from the FDA, we intend to market them in the United States through a specialized internal sales force or a combination of our internal sales force and distributors, which will be expensive and time-consuming. Alternatively, we may choose to collaborate with third parties that have direct sales forces and established distribution systems, either to augment our own sales force and distribution systems or in lieu of our own sales force and distribution systems. If we are unable to enter into such arrangements on acceptable terms or at all, we may not be able to successfully commercialize Twyneo®, Epsolay® or any of our other product candidates.</w:t>
      </w:r>
    </w:p>
    <w:p>
      <w:pPr>
        <w:spacing w:after="0" w:line="243"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There are significant risks involved in building and managing a sales organization, including our ability to hire, retain and incentivize qualified individuals, generate sufficient sales leads, provide adequate training to sales and marketing personnel and effectively manage a geographically dispersed sales and marketing team. Any failure or delay in the development of our internal sales, marketing and distribution capabilities would adversely impact the commercialization of our product candidates.</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28" w:name="page29"/>
    <w:bookmarkEnd w:id="28"/>
    <w:p>
      <w:pPr>
        <w:jc w:val="both"/>
        <w:ind w:firstLine="648"/>
        <w:spacing w:after="0" w:line="266" w:lineRule="auto"/>
        <w:rPr>
          <w:sz w:val="20"/>
          <w:szCs w:val="20"/>
          <w:color w:val="auto"/>
        </w:rPr>
      </w:pPr>
      <w:r>
        <w:rPr>
          <w:rFonts w:ascii="Arial" w:cs="Arial" w:eastAsia="Arial" w:hAnsi="Arial"/>
          <w:sz w:val="22"/>
          <w:szCs w:val="22"/>
          <w:color w:val="auto"/>
        </w:rPr>
        <w:t>If we are not successful in establishing sufficient sales and marketing capabilities to commercialize Twyneo®, Epsolay® or any of our other product candidates, either on our own or through collaborations with one or more third parties, our revenues will suffer and we will incur significant additional losses.</w:t>
      </w:r>
    </w:p>
    <w:p>
      <w:pPr>
        <w:spacing w:after="0" w:line="239"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Third-party payor coverage and adequate reimbursement may not be available for our product candidates, if approved, which could make it difficult for us to sell them profitably.</w:t>
      </w:r>
    </w:p>
    <w:p>
      <w:pPr>
        <w:spacing w:after="0" w:line="228"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Sales of our product candidates, if approved, will depend, in part, on the extent to which the costs of our product candidates will be covered by third-party payors, such as government health programs, private health insurers and managed care organizations. Third-party payors generally 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our product candidates, and any future product candidates, will therefore depend substantially on the extent to which the costs of our product candidates, and any future product candidates, will be paid by third-party payors. Additionally, the market for our product candidates, and any future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21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our product candidates to be cost-effective compared to other therapies, they may not cover our product candidates once approved as a benefit under their plans or, if they do, the level of reimbursement may not be sufficient to allow us to sell our product candidates on a profitable basis. Decreases in third-party reimbursement for our product candidates once approved or a decision by a third-party payor to not cover our product candidates could reduce or eliminate utilization of our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our product candidates once approved or additional pricing pressures.</w:t>
      </w:r>
    </w:p>
    <w:p>
      <w:pPr>
        <w:spacing w:after="0" w:line="200" w:lineRule="exact"/>
        <w:rPr>
          <w:sz w:val="20"/>
          <w:szCs w:val="20"/>
          <w:color w:val="auto"/>
        </w:rPr>
      </w:pPr>
    </w:p>
    <w:p>
      <w:pPr>
        <w:spacing w:after="0" w:line="284"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Outside the United States, sales of any approved products are generally subject to extensive governmental price controls and other market regulations, and we believe the increasing emphasis on cost-containment initiatives in Europe and other countries has and will continue to put pressure on the pricing and usage of our products, if any. In many countries, the prices of medical products are subject to varying price control mechanisms as part of national health systems. Other countries allow companies to fix their own prices for medical products but monitor and control company profits. Additional foreign price controls or other changes in pricing regulation could restrict the amount that we are able to charge for our products. Accordingly, in markets outside the United States, the reimbursement for our products may be reduced compared with the United States and may be insufficient to generate commercially reasonable revenue and profits.</w:t>
      </w:r>
    </w:p>
    <w:p>
      <w:pPr>
        <w:sectPr>
          <w:pgSz w:w="11900" w:h="16838" w:orient="portrait"/>
          <w:cols w:equalWidth="0" w:num="1">
            <w:col w:w="11240"/>
          </w:cols>
          <w:pgMar w:left="320" w:top="132" w:right="339" w:bottom="1440" w:gutter="0" w:footer="0" w:header="0"/>
        </w:sectPr>
      </w:pP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29" w:name="page30"/>
    <w:bookmarkEnd w:id="29"/>
    <w:p>
      <w:pPr>
        <w:jc w:val="both"/>
        <w:spacing w:after="0" w:line="358" w:lineRule="auto"/>
        <w:rPr>
          <w:sz w:val="20"/>
          <w:szCs w:val="20"/>
          <w:color w:val="auto"/>
        </w:rPr>
      </w:pPr>
      <w:r>
        <w:rPr>
          <w:rFonts w:ascii="Arial" w:cs="Arial" w:eastAsia="Arial" w:hAnsi="Arial"/>
          <w:sz w:val="19"/>
          <w:szCs w:val="19"/>
          <w:b w:val="1"/>
          <w:bCs w:val="1"/>
          <w:i w:val="1"/>
          <w:iCs w:val="1"/>
          <w:color w:val="auto"/>
        </w:rPr>
        <w:t>Our current and future relationships with investigators, health care professionals, consultants, third-party payors, and customers will be subject to applicable healthcare regulatory laws, which could expose us to penalties.</w:t>
      </w:r>
    </w:p>
    <w:p>
      <w:pPr>
        <w:spacing w:after="0" w:line="15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conduct our operations, including how we research, market, sell and distribute our product candidates for which we obtain marketing approval. Such laws include:</w:t>
      </w:r>
    </w:p>
    <w:p>
      <w:pPr>
        <w:spacing w:after="0" w:line="238" w:lineRule="exact"/>
        <w:rPr>
          <w:sz w:val="20"/>
          <w:szCs w:val="20"/>
          <w:color w:val="auto"/>
        </w:rPr>
      </w:pPr>
    </w:p>
    <w:p>
      <w:pPr>
        <w:jc w:val="both"/>
        <w:ind w:left="860" w:hanging="488"/>
        <w:spacing w:after="0" w:line="275" w:lineRule="auto"/>
        <w:tabs>
          <w:tab w:leader="none" w:pos="8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 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w:t>
      </w:r>
    </w:p>
    <w:p>
      <w:pPr>
        <w:spacing w:after="0" w:line="230" w:lineRule="exact"/>
        <w:rPr>
          <w:rFonts w:ascii="Arial" w:cs="Arial" w:eastAsia="Arial" w:hAnsi="Arial"/>
          <w:sz w:val="17"/>
          <w:szCs w:val="17"/>
          <w:color w:val="auto"/>
        </w:rPr>
      </w:pPr>
    </w:p>
    <w:p>
      <w:pPr>
        <w:jc w:val="both"/>
        <w:ind w:left="860" w:hanging="488"/>
        <w:spacing w:after="0" w:line="273" w:lineRule="auto"/>
        <w:tabs>
          <w:tab w:leader="none" w:pos="8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231" w:lineRule="exact"/>
        <w:rPr>
          <w:rFonts w:ascii="Arial" w:cs="Arial" w:eastAsia="Arial" w:hAnsi="Arial"/>
          <w:sz w:val="17"/>
          <w:szCs w:val="17"/>
          <w:color w:val="auto"/>
        </w:rPr>
      </w:pPr>
    </w:p>
    <w:p>
      <w:pPr>
        <w:jc w:val="both"/>
        <w:ind w:left="860" w:hanging="488"/>
        <w:spacing w:after="0" w:line="259" w:lineRule="auto"/>
        <w:tabs>
          <w:tab w:leader="none" w:pos="8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240" w:lineRule="exact"/>
        <w:rPr>
          <w:rFonts w:ascii="Arial" w:cs="Arial" w:eastAsia="Arial" w:hAnsi="Arial"/>
          <w:sz w:val="18"/>
          <w:szCs w:val="18"/>
          <w:color w:val="auto"/>
        </w:rPr>
      </w:pPr>
    </w:p>
    <w:p>
      <w:pPr>
        <w:jc w:val="both"/>
        <w:ind w:left="860" w:hanging="488"/>
        <w:spacing w:after="0" w:line="263" w:lineRule="auto"/>
        <w:tabs>
          <w:tab w:leader="none" w:pos="8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HIPAA, as amended by the Health Information Technology for Economic and Clinical Health Act, or HITECH, and its implementing regulations, also imposes obligations, including mandatory contractual terms, with respect to safeguarding the privacy, security and transmission of individually identifiable health information;</w:t>
      </w:r>
    </w:p>
    <w:p>
      <w:pPr>
        <w:spacing w:after="0" w:line="237" w:lineRule="exact"/>
        <w:rPr>
          <w:rFonts w:ascii="Arial" w:cs="Arial" w:eastAsia="Arial" w:hAnsi="Arial"/>
          <w:sz w:val="18"/>
          <w:szCs w:val="18"/>
          <w:color w:val="auto"/>
        </w:rPr>
      </w:pPr>
    </w:p>
    <w:p>
      <w:pPr>
        <w:jc w:val="both"/>
        <w:ind w:left="860" w:hanging="488"/>
        <w:spacing w:after="0" w:line="291" w:lineRule="auto"/>
        <w:tabs>
          <w:tab w:leader="none" w:pos="8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certain other health care providers beginning in 2022,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90th day of each calendar year;</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30" w:name="page31"/>
    <w:bookmarkEnd w:id="30"/>
    <w:p>
      <w:pPr>
        <w:ind w:left="860" w:hanging="488"/>
        <w:spacing w:after="0" w:line="277" w:lineRule="auto"/>
        <w:tabs>
          <w:tab w:leader="none" w:pos="8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federal consumer protection and unfair competition laws, which broadly regulate marketplace activities and activities that potentially harm consumers;</w:t>
      </w:r>
    </w:p>
    <w:p>
      <w:pPr>
        <w:spacing w:after="0" w:line="224" w:lineRule="exact"/>
        <w:rPr>
          <w:rFonts w:ascii="Arial" w:cs="Arial" w:eastAsia="Arial" w:hAnsi="Arial"/>
          <w:sz w:val="18"/>
          <w:szCs w:val="18"/>
          <w:color w:val="auto"/>
        </w:rPr>
      </w:pPr>
    </w:p>
    <w:p>
      <w:pPr>
        <w:jc w:val="both"/>
        <w:ind w:left="860" w:hanging="488"/>
        <w:spacing w:after="0" w:line="269" w:lineRule="auto"/>
        <w:tabs>
          <w:tab w:leader="none" w:pos="8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analogous state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state laws that require drug manufacturers to report information related to payments and other transfers of value to physicians and other healthcare providers or that require the reporting of pricing information and marketing expenditures; and state laws governing the privacy and security of health information in some circumstances, many of which differ from each other in significant ways and often are not preempted by HIPAA, thus complicating compliance efforts. For example, the California Consumer Privacy Act, or the CCPA, which went into effect on January 1, 2020, gives California residents expanded rights to access and delete their personal information, opt out of certain personal information sharing, and receive detailed information about how their personal information is used. The CCPA provides for civil penalties for violations, as well as a private right of action for data breaches that is expected to increase data breach litigation; and</w:t>
      </w:r>
    </w:p>
    <w:p>
      <w:pPr>
        <w:spacing w:after="0" w:line="232" w:lineRule="exact"/>
        <w:rPr>
          <w:rFonts w:ascii="Arial" w:cs="Arial" w:eastAsia="Arial" w:hAnsi="Arial"/>
          <w:sz w:val="17"/>
          <w:szCs w:val="17"/>
          <w:color w:val="auto"/>
        </w:rPr>
      </w:pPr>
    </w:p>
    <w:p>
      <w:pPr>
        <w:jc w:val="both"/>
        <w:ind w:left="860" w:hanging="488"/>
        <w:spacing w:after="0" w:line="257" w:lineRule="auto"/>
        <w:tabs>
          <w:tab w:leader="none" w:pos="8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similar healthcare laws and regulations in the European Union and other non-U.S. jurisdictions, including reporting requirements detailing interactions with and payments to healthcare providers and laws governing the privacy and security of certain protected information, such as the General Data Protection Regulation, or GDPR, which imposes obligations and restrictions on the collection and use of personal data relating to individuals located in the EU (including health data) and the United Kingdom until the end of the transition period on 31 December 2020 provided for in the Withdrawal Agreement between the EU and the U.K.</w:t>
      </w:r>
    </w:p>
    <w:p>
      <w:pPr>
        <w:spacing w:after="0" w:line="24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integrity oversight and reporting obligations to resolve allegations of non-compliance,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200" w:lineRule="exact"/>
        <w:rPr>
          <w:sz w:val="20"/>
          <w:szCs w:val="20"/>
          <w:color w:val="auto"/>
        </w:rPr>
      </w:pPr>
    </w:p>
    <w:p>
      <w:pPr>
        <w:spacing w:after="0" w:line="286"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The illegal distribution and sale by third parties of counterfeit versions of our product candidates or of stolen products could have a negative impact on our reputation and a material adverse effect on our business, results of operations and financial condition.</w:t>
      </w:r>
    </w:p>
    <w:p>
      <w:pPr>
        <w:spacing w:after="0" w:line="23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Third parties could illegally distribute and sell counterfeit versions of our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31" w:name="page32"/>
    <w:bookmarkEnd w:id="31"/>
    <w:p>
      <w:pPr>
        <w:jc w:val="both"/>
        <w:ind w:firstLine="648"/>
        <w:spacing w:after="0" w:line="311" w:lineRule="auto"/>
        <w:rPr>
          <w:sz w:val="20"/>
          <w:szCs w:val="20"/>
          <w:color w:val="auto"/>
        </w:rPr>
      </w:pPr>
      <w:r>
        <w:rPr>
          <w:rFonts w:ascii="Arial" w:cs="Arial" w:eastAsia="Arial" w:hAnsi="Arial"/>
          <w:sz w:val="19"/>
          <w:szCs w:val="19"/>
          <w:color w:val="auto"/>
        </w:rPr>
        <w:t>Reports of adverse reactions to counterfeit drugs similar to our product candidates or increased levels of counterfeiting such products could materially affect physician and patient confidence in our authentic product candidates. It is possible that adverse events caused by unsafe counterfeit products will mistakenly be attributed to our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204"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Public loss of confidence in the integrity of our pharmaceutical products as a result of counterfeiting or theft could have a material adverse effect on our business, financial position and results of operations.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Dependence on Third Parties</w:t>
      </w:r>
    </w:p>
    <w:p>
      <w:pPr>
        <w:spacing w:after="0" w:line="293" w:lineRule="exact"/>
        <w:rPr>
          <w:sz w:val="20"/>
          <w:szCs w:val="20"/>
          <w:color w:val="auto"/>
        </w:rPr>
      </w:pPr>
    </w:p>
    <w:p>
      <w:pPr>
        <w:jc w:val="both"/>
        <w:spacing w:after="0" w:line="311" w:lineRule="auto"/>
        <w:rPr>
          <w:sz w:val="20"/>
          <w:szCs w:val="20"/>
          <w:color w:val="auto"/>
        </w:rPr>
      </w:pPr>
      <w:r>
        <w:rPr>
          <w:rFonts w:ascii="Arial" w:cs="Arial" w:eastAsia="Arial" w:hAnsi="Arial"/>
          <w:sz w:val="19"/>
          <w:szCs w:val="19"/>
          <w:b w:val="1"/>
          <w:bCs w:val="1"/>
          <w:i w:val="1"/>
          <w:iCs w:val="1"/>
          <w:color w:val="auto"/>
        </w:rPr>
        <w:t>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20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We are currently party to collaborative arrangements with respect to the development, manufacture, study and commercialization of certain of our product candidates including arrangements with Perrigo and Douglas Pharmaceuticals. Any current or future potential collaborative arrangements may require us to rely on external consultants, advisors, and experts for assistance in several key functions, including clinical development, manufacturing, regulatory and intellectual property. We cannot and will not control these third parties, but we may rely on them to achieve results, which may be significant to us. Relying upon collaborative arrangements to develop and commercialize our product candidates subjects us to a number of risks, including:</w:t>
      </w:r>
    </w:p>
    <w:p>
      <w:pPr>
        <w:spacing w:after="0" w:line="243" w:lineRule="exact"/>
        <w:rPr>
          <w:sz w:val="20"/>
          <w:szCs w:val="20"/>
          <w:color w:val="auto"/>
        </w:rPr>
      </w:pPr>
    </w:p>
    <w:p>
      <w:pPr>
        <w:ind w:left="860" w:hanging="488"/>
        <w:spacing w:after="0"/>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may not be able to control the amount and timing of resources that our collaborators may devote to our product candidates;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should a collaborator fail to comply with applicable laws, rules, or regulations when performing services for us, we could be held liable for such violations;</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may fail to comply with local or any foreign health authorities’ laws and regulations, and as a result, the receipt of a site manufacturing, export or import license may be delayed or withheld for an undefined period;</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may experience financial difficulties or changes in business focus;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partners may fail to secure adequate commercial supplies of our product candidates upon marketing approval, if at all;</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or future collaborators’ partners may have a shortage of qualified personnel;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we may be required to relinquish important rights, such as marketing and distribution rights;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business combinations or significant changes in a collaborator’s business strategy may adversely affect a collaborator’s willingness or ability to complete its obligations under any arrangement;</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under certain circumstances, a collaborator could move forward with a competing product developed either independently or in collaboration with others, including our competitors;</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32" w:name="page33"/>
    <w:bookmarkEnd w:id="32"/>
    <w:p>
      <w:pPr>
        <w:ind w:left="860" w:hanging="488"/>
        <w:spacing w:after="0"/>
        <w:tabs>
          <w:tab w:leader="none" w:pos="8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current or future collaborators may utilize our proprietary information in a way that could expose us to competitive harm; 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collaborative arrangements are often terminated or allowed to expire, which could delay the development and may increase the cost of developing our product candidates.</w:t>
      </w:r>
    </w:p>
    <w:p>
      <w:pPr>
        <w:spacing w:after="0" w:line="231"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In addition, if disputes arise between us and our collaborators, it could result in the delay or termination of the development, manufacturing or commercialization of our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19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If any of these scenarios materialize, they could have an adverse effect on our business, financial condition or results of operations.</w:t>
      </w:r>
    </w:p>
    <w:p>
      <w:pPr>
        <w:spacing w:after="0" w:line="22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also may have other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product candidates and increase the costs of development and commercialization of such product candidates.</w:t>
      </w:r>
    </w:p>
    <w:p>
      <w:pPr>
        <w:spacing w:after="0" w:line="244" w:lineRule="exact"/>
        <w:rPr>
          <w:sz w:val="20"/>
          <w:szCs w:val="20"/>
          <w:color w:val="auto"/>
        </w:rPr>
      </w:pPr>
    </w:p>
    <w:p>
      <w:pPr>
        <w:jc w:val="both"/>
        <w:spacing w:after="0" w:line="276" w:lineRule="auto"/>
        <w:rPr>
          <w:sz w:val="20"/>
          <w:szCs w:val="20"/>
          <w:color w:val="auto"/>
        </w:rPr>
      </w:pPr>
      <w:r>
        <w:rPr>
          <w:rFonts w:ascii="Arial" w:cs="Arial" w:eastAsia="Arial" w:hAnsi="Arial"/>
          <w:sz w:val="21"/>
          <w:szCs w:val="21"/>
          <w:b w:val="1"/>
          <w:bCs w:val="1"/>
          <w:i w:val="1"/>
          <w:iCs w:val="1"/>
          <w:color w:val="auto"/>
        </w:rPr>
        <w:t>We currently contract with third-party manufacturers and suppliers for certain compounds and components necessary to produce our product candidates for clinical trials and expect to continue to do so to support commercial scale production if any of our product candidates is approved. This increases the risk that if any of our product candidates is approved, we may not have access to sufficient quantities or such quantities at an acceptable cost, which could delay, prevent or impair our development or commercialization efforts.</w:t>
      </w:r>
    </w:p>
    <w:p>
      <w:pPr>
        <w:spacing w:after="0" w:line="231"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We currently rely on third parties for the manufacture and supply of certain compounds and components necessary to produce our product candidates for our clinical trials, including API’s such as benzoyl peroxide and tretinoin and other active ingredients and excipients used in the formulation of our various product candidates, as well as primary and secondary packaging and labeling materials. We lack the resources and the capability to manufacture any of our product candidates on a clinical or commercial scale, and we expect to continue to rely on third parties to support our commercial requirements if any of our product candidates is approved for marketing by the FDA or other foreign regulatory authorities.</w:t>
      </w:r>
    </w:p>
    <w:p>
      <w:pPr>
        <w:spacing w:after="0" w:line="20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The facilities used by our contract manufacturers to manufacture our product candidates must be approved by the FDA pursuant to inspections that will be conducted after we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216"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our product candidates, if approved.</w:t>
      </w:r>
    </w:p>
    <w:p>
      <w:pPr>
        <w:sectPr>
          <w:pgSz w:w="11900" w:h="16838" w:orient="portrait"/>
          <w:cols w:equalWidth="0" w:num="1">
            <w:col w:w="11240"/>
          </w:cols>
          <w:pgMar w:left="320" w:top="125" w:right="339" w:bottom="1440" w:gutter="0" w:footer="0" w:header="0"/>
        </w:sect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33" w:name="page34"/>
    <w:bookmarkEnd w:id="33"/>
    <w:p>
      <w:pPr>
        <w:jc w:val="both"/>
        <w:ind w:firstLine="648"/>
        <w:spacing w:after="0" w:line="260" w:lineRule="auto"/>
        <w:rPr>
          <w:sz w:val="20"/>
          <w:szCs w:val="20"/>
          <w:color w:val="auto"/>
        </w:rPr>
      </w:pPr>
      <w:r>
        <w:rPr>
          <w:rFonts w:ascii="Arial" w:cs="Arial" w:eastAsia="Arial" w:hAnsi="Arial"/>
          <w:sz w:val="22"/>
          <w:szCs w:val="22"/>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any of our product candidates could delay, prevent or impair our clinical development or commercialization efforts.</w:t>
      </w:r>
    </w:p>
    <w:p>
      <w:pPr>
        <w:spacing w:after="0" w:line="246" w:lineRule="exact"/>
        <w:rPr>
          <w:sz w:val="20"/>
          <w:szCs w:val="20"/>
          <w:color w:val="auto"/>
        </w:rPr>
      </w:pPr>
    </w:p>
    <w:p>
      <w:pPr>
        <w:jc w:val="both"/>
        <w:spacing w:after="0" w:line="327" w:lineRule="auto"/>
        <w:rPr>
          <w:sz w:val="20"/>
          <w:szCs w:val="20"/>
          <w:color w:val="auto"/>
        </w:rPr>
      </w:pPr>
      <w:r>
        <w:rPr>
          <w:rFonts w:ascii="Arial" w:cs="Arial" w:eastAsia="Arial" w:hAnsi="Arial"/>
          <w:sz w:val="19"/>
          <w:szCs w:val="19"/>
          <w:b w:val="1"/>
          <w:bCs w:val="1"/>
          <w:i w:val="1"/>
          <w:iCs w:val="1"/>
          <w:color w:val="auto"/>
        </w:rPr>
        <w:t>We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18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We do not have the ability to independently perform all aspects of our anticipated pre-clinical studies and clinical trials. We rely on medical institutions, clinical investigators, contract laboratories, collaborative partners and other third parties to assist us in conducting our clinical trials and studies for our product candidates. The third parties with whom we contract for execution of our clinical trials play a significant role in the conduct of these trials and the subsequent collection and analysis of data. However, these third parties are not employees, and except for contractual duties and obligations, we have limited ability to control the amount or timing of resources that they devote to our programs.</w:t>
      </w:r>
    </w:p>
    <w:p>
      <w:pPr>
        <w:spacing w:after="0" w:line="23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agreement with these third parties may inevitably enable them to terminate such agreements upon reasonable prior written notice under certain circumstances.</w:t>
      </w:r>
    </w:p>
    <w:p>
      <w:pPr>
        <w:spacing w:after="0" w:line="246"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Although we rely on these third parties to conduct certain aspects of our clinical trials and other studies and clinical trials, we remain responsible for ensuring that each of our studies is conducted in accordance with the applicable protocol, legal, regulatory and scientific standards, and our reliance on these third parties does not relieve us of our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also rely on our consultants to assist us in the execution, including data collection and analysis of our clinical trials. If we or any of our third-party contractors fail to comply with applicable GCPs, the clinical data generated in our clinical trials may be deemed unreliable and the FDA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regulations. Our failure to comply with these regulations may require us to repeat clinical trials, which would delay the regulatory approval process.</w:t>
      </w:r>
    </w:p>
    <w:p>
      <w:pPr>
        <w:spacing w:after="0" w:line="218"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If the third parties or consultants that assist us in conducting our clinical trials do not perform their contractual duties or obligations, experience work stoppages, do not meet expected deadlines, terminate their agreements with us or need to be replaced, or if the quality or accuracy of the clinical data they obtain is compromised due to the failure to adhere to our clinical trial protocols, regulatory requirements or GCPs, or for any other reason, we may need to conduct additional clinical trials or enter into new arrangements with alternative third parties, which could be difficult, costly or impossible, and our clinical trials may be extended, delayed or terminated or may need to be repeated. If any of the foregoing were to occur, we may not be able to obtain, or may be delayed in obtaining, regulatory approval for the product candidates being tested in such trials, and will not be able to, or may be delayed in our efforts to, successfully commercialize these product candidates.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34" w:name="page35"/>
    <w:bookmarkEnd w:id="34"/>
    <w:p>
      <w:pPr>
        <w:jc w:val="both"/>
        <w:spacing w:after="0" w:line="262" w:lineRule="auto"/>
        <w:rPr>
          <w:sz w:val="20"/>
          <w:szCs w:val="20"/>
          <w:color w:val="auto"/>
        </w:rPr>
      </w:pPr>
      <w:r>
        <w:rPr>
          <w:rFonts w:ascii="Arial" w:cs="Arial" w:eastAsia="Arial" w:hAnsi="Arial"/>
          <w:sz w:val="22"/>
          <w:szCs w:val="22"/>
          <w:b w:val="1"/>
          <w:bCs w:val="1"/>
          <w:i w:val="1"/>
          <w:iCs w:val="1"/>
          <w:color w:val="auto"/>
        </w:rPr>
        <w:t>The manufacture of pharmaceutical products is complex, and manufacturers often encounter difficulties in production. If we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24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The manufacture of pharmaceutical products is complex and requires significant expertise and capital investment, including the development of advanced manufacturing techniques and process controls. We and our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23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We cannot assure you that any stability or other issues relating to the manufacture of any of our product candidates will not occur in the future. Additionally, we and our third-party manufacturers may experience manufacturing difficulties due to resource constraints or as a result of labor disputes or unstable political environments. If we or our third-party manufacturers were to encounter any of these difficulties, our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 depending upon the period of delay, require us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Our Intellectual Property</w:t>
      </w:r>
    </w:p>
    <w:p>
      <w:pPr>
        <w:spacing w:after="0" w:line="293" w:lineRule="exact"/>
        <w:rPr>
          <w:sz w:val="20"/>
          <w:szCs w:val="20"/>
          <w:color w:val="auto"/>
        </w:rPr>
      </w:pPr>
    </w:p>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We depend on our intellectual property, and our future success is dependent on our ability to protect our intellectual property and not infringe on the rights of others.</w:t>
      </w:r>
    </w:p>
    <w:p>
      <w:pPr>
        <w:spacing w:after="0" w:line="228"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226" w:lineRule="exact"/>
        <w:rPr>
          <w:sz w:val="20"/>
          <w:szCs w:val="20"/>
          <w:color w:val="auto"/>
        </w:rPr>
      </w:pPr>
    </w:p>
    <w:p>
      <w:pPr>
        <w:ind w:left="860" w:hanging="488"/>
        <w:spacing w:after="0"/>
        <w:tabs>
          <w:tab w:leader="none" w:pos="8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any of our future processes or product candidates will be patentable;</w:t>
      </w: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35" w:name="page36"/>
    <w:bookmarkEnd w:id="35"/>
    <w:p>
      <w:pPr>
        <w:ind w:left="860" w:hanging="488"/>
        <w:spacing w:after="0"/>
        <w:tabs>
          <w:tab w:leader="none" w:pos="8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our processes or product candidates will not infringe upon the patents of third parties; or</w:t>
      </w:r>
    </w:p>
    <w:p>
      <w:pPr>
        <w:spacing w:after="0" w:line="279" w:lineRule="exact"/>
        <w:rPr>
          <w:rFonts w:ascii="Arial" w:cs="Arial" w:eastAsia="Arial" w:hAnsi="Arial"/>
          <w:sz w:val="18"/>
          <w:szCs w:val="18"/>
          <w:color w:val="auto"/>
        </w:rPr>
      </w:pPr>
    </w:p>
    <w:p>
      <w:pPr>
        <w:ind w:left="860" w:hanging="488"/>
        <w:spacing w:after="0" w:line="308" w:lineRule="auto"/>
        <w:tabs>
          <w:tab w:leader="none" w:pos="8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20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200" w:lineRule="exact"/>
        <w:rPr>
          <w:sz w:val="20"/>
          <w:szCs w:val="20"/>
          <w:color w:val="auto"/>
        </w:rPr>
      </w:pPr>
    </w:p>
    <w:p>
      <w:pPr>
        <w:spacing w:after="0" w:line="28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 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233"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196"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196"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We have granted, and may in the future grant, to third parties licenses to use our intellectual property. Generally,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Twyneo® for the treatment of acne . As part of this assignment agreement, we granted to Medicis a non-exclusive, transferable, sub-licensable, royalty-free, perpetual, license to practice the inventions claimed under the patent.</w:t>
      </w:r>
    </w:p>
    <w:p>
      <w:pPr>
        <w:spacing w:after="0" w:line="210"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36" w:name="page37"/>
    <w:bookmarkEnd w:id="36"/>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If we are unable to protect the confidentiality of our trade secrets or know-how, such proprietary information may be used by others to compete against us.</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211"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 information. If a dispute arises with respect to any proprietary right, enforcement of our rights can be costly and unpredictable, and a court may determine that the right belongs to a third party.</w:t>
      </w:r>
    </w:p>
    <w:p>
      <w:pPr>
        <w:spacing w:after="0" w:line="196" w:lineRule="exact"/>
        <w:rPr>
          <w:sz w:val="20"/>
          <w:szCs w:val="20"/>
          <w:color w:val="auto"/>
        </w:rPr>
      </w:pPr>
    </w:p>
    <w:p>
      <w:pPr>
        <w:jc w:val="both"/>
        <w:spacing w:after="0" w:line="358" w:lineRule="auto"/>
        <w:rPr>
          <w:sz w:val="20"/>
          <w:szCs w:val="20"/>
          <w:color w:val="auto"/>
        </w:rPr>
      </w:pPr>
      <w:r>
        <w:rPr>
          <w:rFonts w:ascii="Arial" w:cs="Arial" w:eastAsia="Arial" w:hAnsi="Arial"/>
          <w:sz w:val="19"/>
          <w:szCs w:val="19"/>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158"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to cease making, licensing or using products that incorporate the challenged intellectual property; require us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will be able to manufacture, use, offer for sale, sell or import our product candidates in the event of an infringement action.</w:t>
      </w:r>
    </w:p>
    <w:p>
      <w:pPr>
        <w:spacing w:after="0" w:line="200" w:lineRule="exact"/>
        <w:rPr>
          <w:sz w:val="20"/>
          <w:szCs w:val="20"/>
          <w:color w:val="auto"/>
        </w:rPr>
      </w:pPr>
    </w:p>
    <w:p>
      <w:pPr>
        <w:spacing w:after="0" w:line="290"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In the event of patent infringement claims, or to avoid potential claims, we may choose or be required to seek a license from a third party and would most likely be required to pay license fees or royalties or both. These licenses may not be available on acceptable terms, or at all. Even if we were able to obtain a license, the rights may be non-exclusive, which could potentially limit our competitive advantage. Ultimately, we could be prevented from commercializing a product or be forced to cease some aspect of our business operations if, as a result of actual or threatened patent infringement or other claims, we are unable to enter into licenses on acceptable terms. This inability to enter into licenses could harm our business significantly.</w:t>
      </w:r>
    </w:p>
    <w:p>
      <w:pPr>
        <w:sectPr>
          <w:pgSz w:w="11900" w:h="16838" w:orient="portrait"/>
          <w:cols w:equalWidth="0" w:num="1">
            <w:col w:w="11240"/>
          </w:cols>
          <w:pgMar w:left="320" w:top="132" w:right="339" w:bottom="1440" w:gutter="0" w:footer="0" w:header="0"/>
        </w:sectPr>
      </w:pP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37" w:name="page38"/>
    <w:bookmarkEnd w:id="37"/>
    <w:p>
      <w:pPr>
        <w:jc w:val="both"/>
        <w:ind w:firstLine="648"/>
        <w:spacing w:after="0" w:line="301" w:lineRule="auto"/>
        <w:rPr>
          <w:sz w:val="20"/>
          <w:szCs w:val="20"/>
          <w:color w:val="auto"/>
        </w:rPr>
      </w:pPr>
      <w:r>
        <w:rPr>
          <w:rFonts w:ascii="Arial" w:cs="Arial" w:eastAsia="Arial" w:hAnsi="Arial"/>
          <w:sz w:val="21"/>
          <w:szCs w:val="21"/>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204"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We may be subject to claims that our employees, consultants, or independent contractors have wrongfully used or disclosed confidential information of third parties or that our employees have wrongfully used or disclosed alleged trade secrets of their former employers.</w:t>
      </w:r>
    </w:p>
    <w:p>
      <w:pPr>
        <w:spacing w:after="0" w:line="23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any of our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237"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Although we believe that we take reasonable steps to protect our intellectual property, including the use of agreements relating to the non-disclosure of confidential information to third parties, as well as agreements that purport to require the disclosure and assignment to us of the rights to the ideas, developments, discoveries and inventions of our employees and consultants while we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205" w:lineRule="exact"/>
        <w:rPr>
          <w:sz w:val="20"/>
          <w:szCs w:val="20"/>
          <w:color w:val="auto"/>
        </w:rPr>
      </w:pPr>
    </w:p>
    <w:p>
      <w:pPr>
        <w:ind w:left="860" w:hanging="488"/>
        <w:spacing w:after="0"/>
        <w:tabs>
          <w:tab w:leader="none" w:pos="8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these agreements may be breached;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these agreements may not provide adequate remedies for the applicable type of breach;</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trade secrets or proprietary know-how will otherwise become known; or</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competitors will independently develop similar technology or proprietary information.</w:t>
      </w:r>
    </w:p>
    <w:p>
      <w:pPr>
        <w:spacing w:after="0" w:line="285"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22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38" w:name="page39"/>
    <w:bookmarkEnd w:id="38"/>
    <w:p>
      <w:pPr>
        <w:jc w:val="both"/>
        <w:spacing w:after="0" w:line="276" w:lineRule="auto"/>
        <w:rPr>
          <w:sz w:val="20"/>
          <w:szCs w:val="20"/>
          <w:color w:val="auto"/>
        </w:rPr>
      </w:pPr>
      <w:r>
        <w:rPr>
          <w:rFonts w:ascii="Arial" w:cs="Arial" w:eastAsia="Arial" w:hAnsi="Arial"/>
          <w:sz w:val="22"/>
          <w:szCs w:val="22"/>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22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In the United States, we expect to file NDAs for our product candidates for approval under Section 505(b)(2) of the FDCA. Section 505(b)(2) permits the submission of an NDA where at least some of the information required for approval comes from studies that were not conducted by, or for, the applicant and on which the applicant has not obtained a right of reference. The 505(b)(2) application would enable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Patent and Exclusivity Information Addendum of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 Applicants must also notify the holder of the approved NDA for any product referenced in the 505(b)(2) application, along with all patent owners, regarding submission of a paragraph IV certification with respect to applicable patents listed in the Orange Book.</w:t>
      </w:r>
    </w:p>
    <w:p>
      <w:pPr>
        <w:spacing w:after="0" w:line="23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Under the Hatch-Waxman Act, the NDA holder and patent owner(s) may file a patent infringement lawsuit after receiving notice of the paragraph IV certification. Filing of a patent infringement lawsuit against the filer of the 505(b)(2) application within 45 days of the patent owner’s receipt of notice triggers a one-time, automatic, 30-month stay of the FDA’s ability to approve the 505(b)(2) NDA, unless patent litigation is resolved in the favor of the paragraph IV filer or the patent expires before that time. Accordingly, we may invest a significant amount of time and expense in the development of one or more product candidates only to be subject to significant delay and patent litigation before such product candidates may be commercialized, if at all. In addition, a 505(b)(2) application will not be approved until any non-patent exclusivity, such as exclusivity for obtaining approval of a new chemical entity, or NCE, listed in the Orange Book for the referenced product has expired. The FDA may also require us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to file such submissions under Section 505(b)(1) of the FDCA, which would require us to provide extensive data to establish safety and effectiveness of the drug for the proposed use and could cause delay and be considerably more expensive and time consuming. These factors, among others, may limit our ability to successfully commercialize our product candidates.</w:t>
      </w:r>
    </w:p>
    <w:p>
      <w:pPr>
        <w:spacing w:after="0" w:line="214"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231"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would, unless we could obtain a license from the patent holder, be required to cease selling in that jurisdiction and may need to relinquish or destroy existing stock in that jurisdiction. There may also be situations where we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bioequivalent and, to a lesser extent, 505(b)(2), products, patented branded products generally realize a substantially higher profit margin than bioequivalent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39" w:name="page40"/>
    <w:bookmarkEnd w:id="39"/>
    <w:p>
      <w:pPr>
        <w:spacing w:after="0"/>
        <w:rPr>
          <w:sz w:val="20"/>
          <w:szCs w:val="20"/>
          <w:color w:val="auto"/>
        </w:rPr>
      </w:pPr>
      <w:r>
        <w:rPr>
          <w:rFonts w:ascii="Arial" w:cs="Arial" w:eastAsia="Arial" w:hAnsi="Arial"/>
          <w:sz w:val="22"/>
          <w:szCs w:val="22"/>
          <w:b w:val="1"/>
          <w:bCs w:val="1"/>
          <w:color w:val="auto"/>
        </w:rPr>
        <w:t>Risks Related to Our Operations in Israel</w:t>
      </w:r>
    </w:p>
    <w:p>
      <w:pPr>
        <w:spacing w:after="0" w:line="293"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228"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Since the establishment of the State of Israel in 1948, a number of armed conflicts have taken place between Israel and its Arab neighbors, including Hezbollah in Lebanon (and Syria) and Hamas in the Gaza Strip, both of which involved missile strikes in various parts of Israel causing the disruption of economic activities. Our principal offices are located within the range of rockets that could be fired from Lebanon, Syria or the Gaza Strip into Israel. In addition, Israel faces many threats from more distant neighbors, in particular, Iran. Parties with whom we do business have sometimes declined to travel to Israel during periods of heightened unrest or tension, forcing us to make alternative arrangements when necessary. In addition, the political and security situation in Israel may result in parties with whom we have agreements involving performance in Israel claiming that they are not obligated to perform their commitments under those agreements pursuant to force majeure provisions in such agreements. Any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214"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210"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204"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Exchange rate fluctuations between the U.S. dollar, the New Israeli Shekel and other foreign currencies, may negatively affect our future revenues.</w:t>
      </w:r>
    </w:p>
    <w:p>
      <w:pPr>
        <w:spacing w:after="0" w:line="22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40" w:name="page41"/>
    <w:bookmarkEnd w:id="40"/>
    <w:p>
      <w:pPr>
        <w:spacing w:after="0"/>
        <w:rPr>
          <w:sz w:val="20"/>
          <w:szCs w:val="20"/>
          <w:color w:val="auto"/>
        </w:rPr>
      </w:pPr>
      <w:r>
        <w:rPr>
          <w:rFonts w:ascii="Arial" w:cs="Arial" w:eastAsia="Arial" w:hAnsi="Arial"/>
          <w:sz w:val="22"/>
          <w:szCs w:val="22"/>
          <w:b w:val="1"/>
          <w:bCs w:val="1"/>
          <w:i w:val="1"/>
          <w:iCs w:val="1"/>
          <w:color w:val="auto"/>
        </w:rPr>
        <w:t>Our operations may be affected by negative labor conditions in Israel.</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Our operations could be disrupted as a result of the obligation of our personnel to perform military service.</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Substantially all of our executive officers and key employees reside in Israel and although most of them are no longer required to perform reserve duty, some may be required to perform annual military 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244"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228"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237"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w:t>
      </w:r>
    </w:p>
    <w:p>
      <w:pPr>
        <w:spacing w:after="0" w:line="239" w:lineRule="exact"/>
        <w:rPr>
          <w:sz w:val="20"/>
          <w:szCs w:val="20"/>
          <w:color w:val="auto"/>
        </w:rPr>
      </w:pPr>
    </w:p>
    <w:p>
      <w:pPr>
        <w:jc w:val="both"/>
        <w:ind w:firstLine="648"/>
        <w:spacing w:after="0" w:line="299" w:lineRule="auto"/>
        <w:rPr>
          <w:sz w:val="20"/>
          <w:szCs w:val="20"/>
          <w:color w:val="auto"/>
        </w:rPr>
      </w:pPr>
      <w:r>
        <w:rPr>
          <w:rFonts w:ascii="Arial" w:cs="Arial" w:eastAsia="Arial" w:hAnsi="Arial"/>
          <w:sz w:val="19"/>
          <w:szCs w:val="19"/>
          <w:color w:val="auto"/>
        </w:rPr>
        <w:t>We have received royalty-bearing grants from the government of Israel through the National Authority for Technological Innovation, or the Israel Innovation Authority, known as the “IIA” (formerly known as the Office of the Chief Scientist of the Ministry of Economy and Industry, or the OCS), for the financing of a portion of our research and development expenditures in Israel. These IIA grants relate to a peripheral line of product candidates which forms a negligible part of our activities. We are required to pay the IIA royalties from the revenues generated from the sale of products (and related services) or services developed (in all or in part) according to, or as a result of, a research and development program funded by the IIA (at rates which are determined under the Encouragement of Research, Development and Technological Innovation in the Industry Law 5744-1984, or the Innovation Law, and related rules and regulations), up to the aggregate amount of the total grants received by the IIA, plus annual interest at an annual rate based on LIBOR. When know-how is developed using IIA grants, the Innovation Law, the IIA’s rules and guidelines as well as the terms of these grants, restrict our ability to manufacture product candidates and transfer know-how developed as a result of the IIA’s funded R&amp;D outside of Israel. Transfer of the IIA funded know-how outside of Israel where the transferring company remains an operating Israeli entity or where the transferring company ceases to exist as an Israeli entity, requires pre-approval by the IIA, which may, at its sole discretion, grant such approval and impose certain conditions, including payment of a redemption fee calculated according to the formulas provided in the IIA’s rules and guidelines, or Redemption Fee, which takes into account the consideration for such know-how paid to the transferring company in the transaction in which the know-how is transferred. The IIA’s rules and guidelines establish a maximum payment of the Redemption Fee under the formulas provided in the IIA’s rules and guidelines and differentiates between certain situations, as further detailed in such rules and guidelines (while in any event the Redemption Fee will not exceed six times the grants received). In addition, the product candidates may be manufactured outside of Israel by us or by another entity only if prior approval is received from the IIA (such approval is not required for the transfer of less than 10% of the manufacturing capacity in the aggregate). In addition to the obligation to receive prior approval to manufacture outside Israel, in general, a company that transfers manufacturing rights abroad will be required to pay royalties at an accelerated rate and will be required to pay increased royalties, as defined under the IIA’s rules and guidelines. The total amount of the increased royalties to be repaid to the IIA shall not exceed, in the aggregate, 300% of the amount of the grant received (dollar linked), plus interest at annual rate based on LIBOR, depending on the manufacturing volume that is performed outside Israel less royalties already paid to the IIA.</w:t>
      </w:r>
    </w:p>
    <w:p>
      <w:pPr>
        <w:sectPr>
          <w:pgSz w:w="11900" w:h="16838" w:orient="portrait"/>
          <w:cols w:equalWidth="0" w:num="1">
            <w:col w:w="11240"/>
          </w:cols>
          <w:pgMar w:left="320" w:top="132" w:right="339" w:bottom="6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641" w:gutter="0" w:footer="0" w:header="0"/>
          <w:type w:val="continuous"/>
        </w:sectPr>
      </w:pPr>
    </w:p>
    <w:bookmarkStart w:id="41" w:name="page42"/>
    <w:bookmarkEnd w:id="41"/>
    <w:p>
      <w:pPr>
        <w:jc w:val="both"/>
        <w:ind w:firstLine="648"/>
        <w:spacing w:after="0" w:line="266" w:lineRule="auto"/>
        <w:rPr>
          <w:sz w:val="20"/>
          <w:szCs w:val="20"/>
          <w:color w:val="auto"/>
        </w:rPr>
      </w:pPr>
      <w:r>
        <w:rPr>
          <w:rFonts w:ascii="Arial" w:cs="Arial" w:eastAsia="Arial" w:hAnsi="Arial"/>
          <w:sz w:val="22"/>
          <w:szCs w:val="22"/>
          <w:color w:val="auto"/>
        </w:rPr>
        <w:t>A company also has the option of declaring in its IIA grant application its intention to exercise a portion of the manufacturing capacity abroad, thus avoiding the need to obtain additional approval following the receipt of the grant and avoiding the need to pay increased royalties to the IIA.</w:t>
      </w:r>
    </w:p>
    <w:p>
      <w:pPr>
        <w:spacing w:after="0" w:line="239"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Recently, the IIA has published new rules and guidelines with respect to the grant to a foreign entity of the right to use know-how that was developed using the IIA’s grants, or Funded Know-How. According to these rules, the grant to a foreign entity of a right to use the Funded Know-How (which does not entirely prevent the IIA funded company from using the Funded Know-How) is subject to receipt of the IIA’s prior approval. This approval is subject to payment to the IIA in accordance with the formulas stipulated in these rules.</w:t>
      </w:r>
    </w:p>
    <w:p>
      <w:pPr>
        <w:spacing w:after="0" w:line="244"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On August 2018, the IIA updated the abovementioned rules and established a new mechanism with respect to the grant of a license by a company (which is part of a multinational corporation) that received grants from the IIA to its group entities to use its funded Know-How. Such license is subject to the IIA's prior approval and to the payment of 5% royalties from the income deriving from such license. Such mechanism includes certain restrictions which must be met in order to be able to enjoy such lower royalty payment.</w:t>
      </w:r>
    </w:p>
    <w:p>
      <w:pPr>
        <w:spacing w:after="0" w:line="24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Subject to prior consent of the IIA, we may transfer Funded Know-How to another Israeli company, provided that the acquiring company assumes all of our responsibilities toward the IIA. In addition, such transfer will not be subject to the payment of the Redemption Fee, but there will be an obligation to pay royalties to the IIA from the income of such sale transaction as part of the royalty payment obligation.</w:t>
      </w:r>
    </w:p>
    <w:p>
      <w:pPr>
        <w:spacing w:after="0" w:line="24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The restrictions under the IIA’s rules and guidelines continue to apply even after payment of the full amount of royalties payable pursuant to the grants. In addition, the government of the State of Israel may from time to time audit sales of products which it claims incorporate Funded Know-How and this may lead to additional royalties being payable on additional product candidates. Following an audit conducted by the IIA, the IIA confirmed to us that products based on encapsulation technology of solid material are exempt from royalty payment obligations to the IIA. Our product candidates Twyneo® and Epsolay® fall within the category of products based on encapsulation technology of solid material. However, there can be no guarantee that the IIA will not in the future attempt to claim royalties with respect to these products, or that future products will not be subject to royalties.</w:t>
      </w:r>
    </w:p>
    <w:p>
      <w:pPr>
        <w:spacing w:after="0" w:line="246"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These restrictions may impair our ability to enter into agreements for Funded Know-How product candidates or technologies without the approval of the IIA. We cannot be certain that any approval of the IIA will be obtained on terms that are acceptable to us, or at all. Furthermore, in the event that we undertake a transaction involving the transfer to a non-Israeli entity of Funded Know-How pursuant to a merger or similar transaction, or in the event we undertake a transaction involving the licensing of Funded Know-How, the consideration available to our shareholders may be reduced by the amounts we are required to pay to the IIA. Any approval, if given, will generally be subject to additional financial obligations. Failure to comply with the requirements under the IIA’s rules and guidelines and the Innovation Law may subject us to financial sanctions, to mandatory repayment of grants received by us (together with interest and penalties), as well as expose us to criminal proceedings.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42" w:name="page43"/>
    <w:bookmarkEnd w:id="42"/>
    <w:p>
      <w:pPr>
        <w:jc w:val="both"/>
        <w:ind w:firstLine="648"/>
        <w:spacing w:after="0" w:line="271" w:lineRule="auto"/>
        <w:rPr>
          <w:sz w:val="20"/>
          <w:szCs w:val="20"/>
          <w:color w:val="auto"/>
        </w:rPr>
      </w:pPr>
      <w:r>
        <w:rPr>
          <w:rFonts w:ascii="Arial" w:cs="Arial" w:eastAsia="Arial" w:hAnsi="Arial"/>
          <w:sz w:val="21"/>
          <w:szCs w:val="21"/>
          <w:color w:val="auto"/>
        </w:rPr>
        <w:t xml:space="preserve">In August 2015, an amendment to the Innovation Law was enacted, or Amendment No. 7, which came into effect on January 1, 2016. Since Amendment No. 7 has entered into force, the IIA was appointed to act as the entity which is responsible for the activity which was previously under the OCS’ responsibility. The IIA was granted wide freedom of action, and among other things, the authority to amend the requirements and restrictions which were specified in the Innovation Law before Amendment No. 7 became effective with respect to the ownership of Funded Know-How (including with respect to the restrictions on transfer of the Funded Know-How and manufacturing activities outside of Israel) as well as with respect to royalty payment obligations which apply to companies that received grants from the IIA. Although the IIA recently published rules, which for the most part adopted the principal provisions and restrictions specified in the Innovation Law prior to the effectiveness of Amendment No. 7, as of the date of this annual report, we are unable to assess the effect on our business of any future rules which may be published by the IIA. See “Item 4. Information on the Company – B. Business Overview — Government Regulation — </w:t>
      </w:r>
      <w:r>
        <w:rPr>
          <w:rFonts w:ascii="Arial" w:cs="Arial" w:eastAsia="Arial" w:hAnsi="Arial"/>
          <w:sz w:val="21"/>
          <w:szCs w:val="21"/>
          <w:i w:val="1"/>
          <w:iCs w:val="1"/>
          <w:color w:val="auto"/>
        </w:rPr>
        <w:t>IIA</w:t>
      </w:r>
      <w:r>
        <w:rPr>
          <w:rFonts w:ascii="Arial" w:cs="Arial" w:eastAsia="Arial" w:hAnsi="Arial"/>
          <w:sz w:val="21"/>
          <w:szCs w:val="21"/>
          <w:color w:val="auto"/>
        </w:rPr>
        <w:t>.”</w:t>
      </w:r>
    </w:p>
    <w:p>
      <w:pPr>
        <w:spacing w:after="0" w:line="241"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Enforcing a U.S. judgment against us and our current executive officers and directors, or asserting U.S. securities law claims in Israel, may be difficult.</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We are incorporated in Israel. All of our current executive officers and directors reside in Israel (other than two of our directors and one of our executive officers who reside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246"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w:t>
      </w:r>
    </w:p>
    <w:p>
      <w:pPr>
        <w:spacing w:after="0" w:line="227"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239"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19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23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ectPr>
          <w:pgSz w:w="11900" w:h="16838" w:orient="portrait"/>
          <w:cols w:equalWidth="0" w:num="1">
            <w:col w:w="11240"/>
          </w:cols>
          <w:pgMar w:left="320" w:top="132" w:right="339" w:bottom="1440" w:gutter="0" w:footer="0" w:header="0"/>
        </w:sect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43" w:name="page44"/>
    <w:bookmarkEnd w:id="43"/>
    <w:p>
      <w:pPr>
        <w:spacing w:after="0" w:line="29" w:lineRule="exact"/>
        <w:rPr>
          <w:sz w:val="20"/>
          <w:szCs w:val="20"/>
          <w:color w:val="auto"/>
        </w:rPr>
      </w:pPr>
    </w:p>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228"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We have entered into assignment of invention agreements with our employees pursuant to which such individuals agree to assign to us all rights to any inventions created during and as a result of their employment or engagement with us. A significant portion of our intellectual property has been developed by our employees in the course of their employment for us. Under the Israeli Patents Law, 5727-1967, or the Patents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Patents Law also provides that if there is no agreement between an employer and an employee with respect to the employee’s right to receive compensation for such “service inventions,” the Israeli Compensation and Royalties Committee, or the Committee, a body constituted under the Patents Law, shall determine whether the employee is entitled to remuneration for service inventions developed by such employee and the scope and conditions for such remuneration. Although our employees have agreed to assign to us service invention rights and have waived their right to receive remuneration for their service inventions,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200" w:lineRule="exact"/>
        <w:rPr>
          <w:sz w:val="20"/>
          <w:szCs w:val="20"/>
          <w:color w:val="auto"/>
        </w:rPr>
      </w:pPr>
    </w:p>
    <w:p>
      <w:pPr>
        <w:spacing w:after="0" w:line="284"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The government tax benefits that we currently are entitled to receive require us to meet several conditions and may be terminated or reduced in the future.</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Some of our operations in Israel may entitle us to certain tax benefits under the Law for the Encouragement of Capital Investments, 5719-1959, or the Investment Law, once we begin to produce revenues. If we do not meet the requirements for maintaining these benefits, they may be reduced or cancelled and the relevant operations would be subject to Israeli corporate tax at the standard rate, which is set at 23% in 2018 and thereafter.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“Item 10. Additional Information — Israeli Tax Considerations and Government Programs — Tax Benefits Under the 2011 Amendment” for additional information concerning these tax benefits.</w:t>
      </w:r>
    </w:p>
    <w:p>
      <w:pPr>
        <w:spacing w:after="0" w:line="200" w:lineRule="exact"/>
        <w:rPr>
          <w:sz w:val="20"/>
          <w:szCs w:val="20"/>
          <w:color w:val="auto"/>
        </w:rPr>
      </w:pPr>
    </w:p>
    <w:p>
      <w:pPr>
        <w:spacing w:after="0" w:line="286" w:lineRule="exact"/>
        <w:rPr>
          <w:sz w:val="20"/>
          <w:szCs w:val="20"/>
          <w:color w:val="auto"/>
        </w:rPr>
      </w:pPr>
    </w:p>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22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Employee Matters</w:t>
      </w:r>
    </w:p>
    <w:p>
      <w:pPr>
        <w:spacing w:after="0" w:line="293" w:lineRule="exact"/>
        <w:rPr>
          <w:sz w:val="20"/>
          <w:szCs w:val="20"/>
          <w:color w:val="auto"/>
        </w:rPr>
      </w:pPr>
    </w:p>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228"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w:t>
      </w:r>
    </w:p>
    <w:p>
      <w:pPr>
        <w:sectPr>
          <w:pgSz w:w="11900" w:h="16868" w:orient="portrait"/>
          <w:cols w:equalWidth="0" w:num="1">
            <w:col w:w="11240"/>
          </w:cols>
          <w:pgMar w:left="320" w:top="132" w:right="339" w:bottom="0" w:gutter="0" w:footer="0" w:header="0"/>
        </w:sectPr>
      </w:pPr>
    </w:p>
    <w:bookmarkStart w:id="44" w:name="page45"/>
    <w:bookmarkEnd w:id="44"/>
    <w:p>
      <w:pPr>
        <w:spacing w:after="0" w:line="276" w:lineRule="auto"/>
        <w:rPr>
          <w:sz w:val="20"/>
          <w:szCs w:val="20"/>
          <w:color w:val="auto"/>
        </w:rPr>
      </w:pPr>
      <w:r>
        <w:rPr>
          <w:rFonts w:ascii="Arial" w:cs="Arial" w:eastAsia="Arial" w:hAnsi="Arial"/>
          <w:sz w:val="22"/>
          <w:szCs w:val="22"/>
          <w:color w:val="auto"/>
        </w:rPr>
        <w:t>employ qualified individuals in the technical fields in which we operate, and we may not be able to attract and retain the qualified personnel necessary for the successful development and commercialization of our product candidates.</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45" w:name="page46"/>
    <w:bookmarkEnd w:id="45"/>
    <w:p>
      <w:pPr>
        <w:spacing w:after="0"/>
        <w:rPr>
          <w:sz w:val="20"/>
          <w:szCs w:val="20"/>
          <w:color w:val="auto"/>
        </w:rPr>
      </w:pPr>
      <w:r>
        <w:rPr>
          <w:rFonts w:ascii="Arial" w:cs="Arial" w:eastAsia="Arial" w:hAnsi="Arial"/>
          <w:sz w:val="22"/>
          <w:szCs w:val="22"/>
          <w:b w:val="1"/>
          <w:bCs w:val="1"/>
          <w:i w:val="1"/>
          <w:iCs w:val="1"/>
          <w:color w:val="auto"/>
        </w:rPr>
        <w:t>Under applicable employment laws, we may not be able to enforce covenants not to compete.</w:t>
      </w:r>
    </w:p>
    <w:p>
      <w:pPr>
        <w:spacing w:after="0" w:line="2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 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Our Ordinary Shares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The price of our ordinary shares may be volatile and may fluctuate due to factors beyond our control.</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233" w:lineRule="exact"/>
        <w:rPr>
          <w:sz w:val="20"/>
          <w:szCs w:val="20"/>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positive or negative results of testing and clinical trials by us, strategic partners and competitors;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delays in entering into strategic relationships with respect to development and/or commercialization of our product candidates or entry into strategic relationships on terms that are not deemed to be favorable to us;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technological innovations or commercial product introductions by us or competitors;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changes in government regulations;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developments concerning proprietary rights, including patents and litigation matters;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public concern relating to the commercial value or safety of any of our product candidates;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financing or other corporate transactions;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publication of research reports or comments by securities or industry analysts;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general market conditions in the pharmaceutical industry or in the economy as a whole; or</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other events and factors, many of which are beyond our control.</w:t>
      </w:r>
    </w:p>
    <w:p>
      <w:pPr>
        <w:spacing w:after="0" w:line="2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46" w:name="page47"/>
    <w:bookmarkEnd w:id="46"/>
    <w:p>
      <w:pPr>
        <w:jc w:val="both"/>
        <w:spacing w:after="0" w:line="266" w:lineRule="auto"/>
        <w:rPr>
          <w:sz w:val="20"/>
          <w:szCs w:val="20"/>
          <w:color w:val="auto"/>
        </w:rPr>
      </w:pPr>
      <w:r>
        <w:rPr>
          <w:rFonts w:ascii="Arial" w:cs="Arial" w:eastAsia="Arial" w:hAnsi="Arial"/>
          <w:sz w:val="22"/>
          <w:szCs w:val="22"/>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23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2"/>
          <w:szCs w:val="22"/>
          <w:color w:val="auto"/>
        </w:rPr>
        <w:t>Arkin Dermatology is currently our controlling shareholder. As of March 18, 2020, Arkin Dermatology beneficially owned approximately 60.51% of the voting power of our outstanding ordinary shares. Therefore, Arkin Dermatology has the ability to substantially influence us and exert significant control through this ownership position. For example, Arkin Dermatology is able to control elections of directors, amendments of our organizational documents, and approval of any merger, amalgamation, sale of assets or other major corporate transaction. 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253"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We are a “controlled company” within the meaning of Nasdaq listing standards and, as a result, will qualify for, and intend to rely on, exemptions from certain corporate governance requirements.</w:t>
      </w:r>
    </w:p>
    <w:p>
      <w:pPr>
        <w:spacing w:after="0" w:line="22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As a result of the number of shares owned by Arkin Dermatology, we are a “controlled company” under the Nasdaq corporate governance rules. A “controlled company” is a company of which more than 50% of the voting power is held by an individual, group or another company. Pursuant to the “controlled company” exemption, we are not required to, and intend to not comply with the requirements that: (1) a majority of our board of directors consist of independent directors and (2) we have a nominating committee composed entirely of independent directors with a written charter addressing such committee’s purpose and responsibilities. See “Item 16G. Corporate Governance—Controlled Company.” Accordingly, you do not have the same protections afforded to shareholders of companies that are subject to all of the corporate governance requirements of the Nasdaq Global Market.</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The market price of our ordinary shares could be negatively affected by future sales of our ordinary shares.</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As of March 18, 2020, there are 22,499,155 ordinary shares outstanding. Future sales by us or our shareholders of a substantial number of our ordinary shares in the public market,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listed for trading are freely transferable, except for any shares held by our “affiliates,” as that term is defined in Rule 144 under the Securities Act of 1933, as amended, or the Securities Act.</w:t>
      </w:r>
    </w:p>
    <w:p>
      <w:pPr>
        <w:spacing w:after="0" w:line="246"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In addition, we have filed a registration statement on Form S-8 with the Securities and Exchange Commission, or the SEC, covering all of the ordinary shares issuable under our 2014 Share Incentive Plan, and we intend to filed one or more registration statements on Form S-8 covering all of the ordinary shares issuable under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208"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47" w:name="page48"/>
    <w:bookmarkEnd w:id="47"/>
    <w:p>
      <w:pPr>
        <w:jc w:val="both"/>
        <w:ind w:firstLine="648"/>
        <w:spacing w:after="0" w:line="262" w:lineRule="auto"/>
        <w:rPr>
          <w:sz w:val="20"/>
          <w:szCs w:val="20"/>
          <w:color w:val="auto"/>
        </w:rPr>
      </w:pPr>
      <w:r>
        <w:rPr>
          <w:rFonts w:ascii="Arial" w:cs="Arial" w:eastAsia="Arial" w:hAnsi="Arial"/>
          <w:sz w:val="22"/>
          <w:szCs w:val="22"/>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245"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Arkin Dermatology, our controlling shareholder, as holder of 13,613,936 of our ordinary shares as of March 18, 2020, is entitled to require that we register under the Securities Act the resale of these shares into the public markets. All shares sold pursuant to an offering covered by such registration statement will be freely transferable. See “Item 7.B — Related Party Transactions — Registration Rights Agreement”.</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We have broad discretion as to the use of the net proceeds from our public offerings and may not use them effectively.</w:t>
      </w:r>
    </w:p>
    <w:p>
      <w:pPr>
        <w:spacing w:after="0" w:line="322"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We intend to use the remaining net proceeds from our initial public offering in February 2018 and our public offerings in August 2019 and February 2020 to fund conduct pre-commercialization and launch activities for Epsolay and Twyneo and fund development activities for our other branded product candidates. The remaining proceeds will be used for other research and development activities, including the development of our generic product candidates, as well as for working capital and general corporate purposes. However, our management has broad discretion in the application of the net proceeds. Our shareholders may not agree with the manner in which our management chooses to allocate the net proceeds from our initial public offering. The failure by our management to apply these funds effectively could have a material adverse effect on our business, financial condition and results of operation. Pending their use, we may invest the net proceeds from our initial public offering in a manner that does not produce income.</w:t>
      </w:r>
    </w:p>
    <w:p>
      <w:pPr>
        <w:spacing w:after="0" w:line="23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We do not intend to pay dividends on our ordinary shares for at least the next several years.</w:t>
      </w:r>
    </w:p>
    <w:p>
      <w:pPr>
        <w:spacing w:after="0" w:line="28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We do not anticipate paying any cash dividends on our ordinary shares for at least the next several years.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“Item 8. Financial Information – A. Financial Statements and Other Financial Information - Dividend Policy.”</w:t>
      </w:r>
    </w:p>
    <w:p>
      <w:pPr>
        <w:spacing w:after="0" w:line="204"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228"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The trading market for our ordinary shares relies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187" w:lineRule="exact"/>
        <w:rPr>
          <w:sz w:val="20"/>
          <w:szCs w:val="20"/>
          <w:color w:val="auto"/>
        </w:rPr>
      </w:pPr>
    </w:p>
    <w:p>
      <w:pPr>
        <w:jc w:val="both"/>
        <w:ind w:right="20"/>
        <w:spacing w:after="0" w:line="276" w:lineRule="auto"/>
        <w:rPr>
          <w:sz w:val="20"/>
          <w:szCs w:val="20"/>
          <w:color w:val="auto"/>
        </w:rPr>
      </w:pPr>
      <w:r>
        <w:rPr>
          <w:rFonts w:ascii="Arial" w:cs="Arial" w:eastAsia="Arial" w:hAnsi="Arial"/>
          <w:sz w:val="22"/>
          <w:szCs w:val="22"/>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228" w:lineRule="exact"/>
        <w:rPr>
          <w:sz w:val="20"/>
          <w:szCs w:val="20"/>
          <w:color w:val="auto"/>
        </w:rPr>
      </w:pPr>
    </w:p>
    <w:p>
      <w:pPr>
        <w:jc w:val="both"/>
        <w:ind w:right="20" w:firstLine="648"/>
        <w:spacing w:after="0" w:line="266" w:lineRule="auto"/>
        <w:rPr>
          <w:sz w:val="20"/>
          <w:szCs w:val="20"/>
          <w:color w:val="auto"/>
        </w:rPr>
      </w:pPr>
      <w:r>
        <w:rPr>
          <w:rFonts w:ascii="Arial" w:cs="Arial" w:eastAsia="Arial" w:hAnsi="Arial"/>
          <w:sz w:val="22"/>
          <w:szCs w:val="22"/>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233" w:lineRule="exact"/>
        <w:rPr>
          <w:sz w:val="20"/>
          <w:szCs w:val="20"/>
          <w:color w:val="auto"/>
        </w:rPr>
      </w:pPr>
    </w:p>
    <w:p>
      <w:pPr>
        <w:jc w:val="both"/>
        <w:ind w:left="860" w:hanging="488"/>
        <w:spacing w:after="0" w:line="263" w:lineRule="auto"/>
        <w:tabs>
          <w:tab w:leader="none" w:pos="8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we established a quorum requirement such that 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48" w:name="page49"/>
    <w:bookmarkEnd w:id="48"/>
    <w:p>
      <w:pPr>
        <w:jc w:val="both"/>
        <w:ind w:left="860" w:hanging="488"/>
        <w:spacing w:after="0" w:line="279" w:lineRule="auto"/>
        <w:tabs>
          <w:tab w:leader="none" w:pos="8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225" w:lineRule="exact"/>
        <w:rPr>
          <w:rFonts w:ascii="Arial" w:cs="Arial" w:eastAsia="Arial" w:hAnsi="Arial"/>
          <w:sz w:val="17"/>
          <w:szCs w:val="17"/>
          <w:color w:val="auto"/>
        </w:rPr>
      </w:pPr>
    </w:p>
    <w:p>
      <w:pPr>
        <w:jc w:val="both"/>
        <w:ind w:left="860" w:hanging="488"/>
        <w:spacing w:after="0" w:line="259" w:lineRule="auto"/>
        <w:tabs>
          <w:tab w:leader="none" w:pos="8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0" w:lineRule="exact"/>
        <w:rPr>
          <w:rFonts w:ascii="Arial" w:cs="Arial" w:eastAsia="Arial" w:hAnsi="Arial"/>
          <w:sz w:val="18"/>
          <w:szCs w:val="18"/>
          <w:color w:val="auto"/>
        </w:rPr>
      </w:pPr>
    </w:p>
    <w:p>
      <w:pPr>
        <w:jc w:val="both"/>
        <w:ind w:left="860" w:hanging="488"/>
        <w:spacing w:after="0" w:line="259" w:lineRule="auto"/>
        <w:tabs>
          <w:tab w:leader="none" w:pos="8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24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“Item 16G. Corporate Governance – Controlled Company".</w:t>
      </w:r>
    </w:p>
    <w:p>
      <w:pPr>
        <w:spacing w:after="0" w:line="20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In addition, as a foreign private issuer, we are exempted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are exempted from the reporting and short-swing profit recovery provisions contained in Section 16 of the Exchange Act. In addition, we are not required under the Exchange Act to file annual, quarterly and current reports and financial statements with the SEC as frequently or as promptly as domestic companies whose securities are registered under the Exchange Act.</w:t>
      </w:r>
    </w:p>
    <w:p>
      <w:pPr>
        <w:spacing w:after="0" w:line="208"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228"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9" w:name="page50"/>
    <w:bookmarkEnd w:id="49"/>
    <w:p>
      <w:pPr>
        <w:jc w:val="both"/>
        <w:spacing w:after="0" w:line="276" w:lineRule="auto"/>
        <w:rPr>
          <w:sz w:val="20"/>
          <w:szCs w:val="20"/>
          <w:color w:val="auto"/>
        </w:rPr>
      </w:pPr>
      <w:r>
        <w:rPr>
          <w:rFonts w:ascii="Arial" w:cs="Arial" w:eastAsia="Arial" w:hAnsi="Arial"/>
          <w:sz w:val="22"/>
          <w:szCs w:val="22"/>
          <w:b w:val="1"/>
          <w:bCs w:val="1"/>
          <w:i w:val="1"/>
          <w:iCs w:val="1"/>
          <w:color w:val="auto"/>
        </w:rPr>
        <w:t>We have been incurring and will continue to incur increased costs as a result of operating as a public company, and our management will be required to devote substantial time to new compliance initiatives.</w:t>
      </w:r>
    </w:p>
    <w:p>
      <w:pPr>
        <w:spacing w:after="0" w:line="228"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As a public company whose ordinary shares are listed in the United States, and particularly after we no longer qualify as an emerging growth company, we have been incurring and will continue to incur accounting, legal and other expenses that we did not incur as a private company, including costs associated with our reporting requirements under the Exchange Act. We also have incurred and anticipate that we will continue to incur costs associated with corporate governance requirements, including requirements under Section 404 and other provisions of the Sarbanes-Oxley Act of 2002 (the “Sarbanes-Oxley Act”), as well as rules implemented by the SEC and The Nasdaq Global Market, and provisions of Israeli corporate law applicable to public companies. These rules and regulations increase our legal and financial compliance costs, introduce new costs such as investor relations and stock exchange listing fees, and makes some activities more time-consuming and costly. Our board and other personnel need to devote a substantial amount of time to these initiatives. We are currently evaluating and monitoring developments with respect to these rules, and we cannot predict or estimate the amount of additional costs we may incur or the timing of such costs. 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200" w:lineRule="exact"/>
        <w:rPr>
          <w:sz w:val="20"/>
          <w:szCs w:val="20"/>
          <w:color w:val="auto"/>
        </w:rPr>
      </w:pPr>
    </w:p>
    <w:p>
      <w:pPr>
        <w:spacing w:after="0" w:line="293"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Pursuant to Section 404 of the Sarbanes-Oxley Act and the related rules adopted by the SEC and the Public Company Accounting Oversight Board, starting with this Annual Report, our management is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 404. The process of determining whether our existing internal controls over financial reporting systems are compliant with Section 404 and whether there are any material weaknesses or significant deficiencies in our existing internal controls requires the investment of substantial time and resources, including by our chief financial officer and other members of our senior management. As a result, this process may divert internal resources and take a significant amount of time and effort to complete. In addition, while our assessment of our internal control over financial reporting resulted in our conclusion that as of December 31, 2019, our internal control over financial reporting was effective, we cannot predict the outcome of this determination in future years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21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50" w:name="page51"/>
    <w:bookmarkEnd w:id="50"/>
    <w:p>
      <w:pPr>
        <w:jc w:val="both"/>
        <w:ind w:right="20"/>
        <w:spacing w:after="0" w:line="327" w:lineRule="auto"/>
        <w:rPr>
          <w:sz w:val="20"/>
          <w:szCs w:val="20"/>
          <w:color w:val="auto"/>
        </w:rPr>
      </w:pPr>
      <w:r>
        <w:rPr>
          <w:rFonts w:ascii="Arial" w:cs="Arial" w:eastAsia="Arial" w:hAnsi="Arial"/>
          <w:sz w:val="19"/>
          <w:szCs w:val="19"/>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1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Effective internal controls over financial reporting are necessary for us to provide reliable financial reports and, together with adequate disclosure controls and procedures, are designed to prevent fraud. Any failure to implement required new or improved controls, or difficulties encountered in their implementation could cause us to fail to meet our reporting obligations. While our assessment of our internal control over financial reporting resulted in our conclusion that as of December 31, 2019, our internal control over financial reporting was effective, we cannot predict the outcome of our testing or any subsequent testing by our auditor in future periods.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and affect our reputation, which could have a negative effect on the trading price of our ordinary shares.</w:t>
      </w:r>
    </w:p>
    <w:p>
      <w:pPr>
        <w:spacing w:after="0" w:line="24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237" w:lineRule="exact"/>
        <w:rPr>
          <w:sz w:val="20"/>
          <w:szCs w:val="20"/>
          <w:color w:val="auto"/>
        </w:rPr>
      </w:pPr>
    </w:p>
    <w:p>
      <w:pPr>
        <w:jc w:val="both"/>
        <w:spacing w:after="0" w:line="276" w:lineRule="auto"/>
        <w:rPr>
          <w:sz w:val="20"/>
          <w:szCs w:val="20"/>
          <w:color w:val="auto"/>
        </w:rPr>
      </w:pPr>
      <w:r>
        <w:rPr>
          <w:rFonts w:ascii="Arial" w:cs="Arial" w:eastAsia="Arial" w:hAnsi="Arial"/>
          <w:sz w:val="22"/>
          <w:szCs w:val="22"/>
          <w:b w:val="1"/>
          <w:bCs w:val="1"/>
          <w:i w:val="1"/>
          <w:iCs w:val="1"/>
          <w:color w:val="auto"/>
        </w:rPr>
        <w:t>We are an “emerging growth company” and the reduced disclosure requirements applicable to emerging growth companies may make our ordinary shares less attractive to investors.</w:t>
      </w:r>
    </w:p>
    <w:p>
      <w:pPr>
        <w:spacing w:after="0" w:line="228"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We are an “emerging growth company,” as defined in the JOBS Act, and we may take advantage of certain exemptions from various requirements that are applicable to other public 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our initial public offering. We will remain an emerging growth company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51" w:name="page52"/>
    <w:bookmarkEnd w:id="51"/>
    <w:p>
      <w:pPr>
        <w:spacing w:after="0" w:line="198" w:lineRule="exact"/>
        <w:rPr>
          <w:sz w:val="20"/>
          <w:szCs w:val="20"/>
          <w:color w:val="auto"/>
        </w:rPr>
      </w:pPr>
    </w:p>
    <w:p>
      <w:pPr>
        <w:jc w:val="both"/>
        <w:spacing w:after="0" w:line="266" w:lineRule="auto"/>
        <w:rPr>
          <w:sz w:val="20"/>
          <w:szCs w:val="20"/>
          <w:color w:val="auto"/>
        </w:rPr>
      </w:pPr>
      <w:r>
        <w:rPr>
          <w:rFonts w:ascii="Arial" w:cs="Arial" w:eastAsia="Arial" w:hAnsi="Arial"/>
          <w:sz w:val="22"/>
          <w:szCs w:val="22"/>
          <w:b w:val="1"/>
          <w:bCs w:val="1"/>
          <w:i w:val="1"/>
          <w:iCs w:val="1"/>
          <w:color w:val="auto"/>
        </w:rPr>
        <w:t>We may be considered to be a passive foreign investment company for U.S. federal income tax purposes for the current tax year and possibly thereafter, which could result in materially adverse U.S. federal income tax consequences to U.S. Holders of our ordinary shares or warrants.</w:t>
      </w:r>
    </w:p>
    <w:p>
      <w:pPr>
        <w:spacing w:after="0" w:line="239"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A non-U.S. entity treated as a corporation for U.S. federal income tax purposes will be a passive foreign investment company, or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Starting in the first quarter of 2019, we began generating revenue under our collaboration agreement with Perrigo for the development of the generic version of Zovirax® (acyclovir) cream, 5%. We expect to generate substantial revenue under this agreement for our 2020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200" w:lineRule="exact"/>
        <w:rPr>
          <w:sz w:val="20"/>
          <w:szCs w:val="20"/>
          <w:color w:val="auto"/>
        </w:rPr>
      </w:pPr>
    </w:p>
    <w:p>
      <w:pPr>
        <w:spacing w:after="0" w:line="288"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other ambiguities in applying the PFIC test to us. If we are considered a PFIC, material adverse U.S. federal income tax consequences could apply to U.S. Holders (as defined in “Item 10. Additional Information – E. Taxation – U.S. Federal Income Tax Considerations with respect to the Company”) of our ordinary shares or warrants with respect to any “excess distribution” received from us and any gain from a sale or other disposition of our ordinary shares or warrants. Please see “Item 10. Additional Information – E. Taxation – U.S. Federal Income Tax Considerations with respect to the Company.”</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a United States person is treated as owning at least 10% of our ordinary shares, such holder may be subject to adverse U.S.</w:t>
      </w:r>
    </w:p>
    <w:p>
      <w:pPr>
        <w:spacing w:after="0" w:line="6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federal income tax consequences.</w:t>
      </w:r>
    </w:p>
    <w:p>
      <w:pPr>
        <w:spacing w:after="0" w:line="283"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If a United States person is treated as owning (directly, indirectly or constructively) at least 10% of the value or voting power of our ordinary shares, such person may be treated as a “United States shareholder” with respect to each “controlled foreign corporation” in our group (if any). If our group includes one or more U.S. subsidiaries, under recently-enacted rules, certain of our non-U.S. subsidiaries could be treated as controlled foreign corporations regardless of whether we are not treated as a controlled foreign corporation (although there is currently a pending legislative proposal to significantly limit the application of these rules). A United States shareholder of a controlled foreign corporation may be required to report annually and include in its U.S. taxable income its pro rata share of “Subpart F income,” “global intangible low-taxed income” and investments in U.S. property by controlled foreign corporations, regardless of whether we make any distributions. An individual that is a United States shareholder with respect to a controlled foreign corporation generally would not be allowed certain tax deductions or foreign tax credits that would be allowed to a United States shareholder that is a U.S. corporation. Failure to comply with these reporting obligations may subject you to significant monetary penalties and may prevent the statute of limitations with respect to your U.S. federal income tax return for the year for which reporting was due from starting. We cannot provide any assurances that we will assist investors in determining whether any of our non-U.S. subsidiaries are treated as a controlled foreign corporation or whether such investor is treated as a United States shareholder with respect to any of such controlled foreign corporations or furnish to any United States shareholders information that may be necessary to comply with the aforementioned reporting and tax paying obligations. A United States investor should consult its advisors regarding the potential application of these rules to an investment in the ordinary shares.</w:t>
      </w:r>
    </w:p>
    <w:p>
      <w:pPr>
        <w:spacing w:after="0" w:line="200" w:lineRule="exact"/>
        <w:rPr>
          <w:sz w:val="20"/>
          <w:szCs w:val="20"/>
          <w:color w:val="auto"/>
        </w:rPr>
      </w:pPr>
    </w:p>
    <w:p>
      <w:pPr>
        <w:spacing w:after="0" w:line="284"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22"/>
          <w:szCs w:val="22"/>
          <w:b w:val="1"/>
          <w:bCs w:val="1"/>
          <w:color w:val="auto"/>
        </w:rPr>
        <w:t>INFORMATION ON THE COMPANY</w:t>
      </w:r>
    </w:p>
    <w:p>
      <w:pPr>
        <w:spacing w:after="0" w:line="287" w:lineRule="exact"/>
        <w:rPr>
          <w:sz w:val="20"/>
          <w:szCs w:val="20"/>
          <w:color w:val="auto"/>
        </w:rPr>
      </w:pPr>
    </w:p>
    <w:p>
      <w:pPr>
        <w:ind w:left="820" w:hanging="812"/>
        <w:spacing w:after="0"/>
        <w:tabs>
          <w:tab w:leader="none" w:pos="820" w:val="left"/>
        </w:tabs>
        <w:numPr>
          <w:ilvl w:val="0"/>
          <w:numId w:val="37"/>
        </w:numPr>
        <w:rPr>
          <w:rFonts w:ascii="Arial" w:cs="Arial" w:eastAsia="Arial" w:hAnsi="Arial"/>
          <w:sz w:val="22"/>
          <w:szCs w:val="22"/>
          <w:b w:val="1"/>
          <w:bCs w:val="1"/>
          <w:color w:val="auto"/>
        </w:rPr>
      </w:pPr>
      <w:r>
        <w:rPr>
          <w:rFonts w:ascii="Arial" w:cs="Arial" w:eastAsia="Arial" w:hAnsi="Arial"/>
          <w:sz w:val="22"/>
          <w:szCs w:val="22"/>
          <w:b w:val="1"/>
          <w:bCs w:val="1"/>
          <w:color w:val="auto"/>
        </w:rPr>
        <w:t>History and Development of the Company</w:t>
      </w:r>
    </w:p>
    <w:p>
      <w:pPr>
        <w:spacing w:after="0" w:line="293"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9"/>
          <w:szCs w:val="19"/>
          <w:color w:val="auto"/>
        </w:rPr>
        <w:t>Our legal and commercial name is Sol-Gel Technologies Ltd. Our company was incorporated on October 28, 1997 and was registered as a private company limited by shares under the laws of the State of Israel. Our principal executive offices are located at 7 Golda Meir St., Weizmann Science Park, Ness Ziona, 7403650 Israel and our telephone number is 972-8-931 3433. Our website address is http://www.sol-gel.com. The information contained therein, or that can be accessed therefrom, does not constitute a part of this annual report and is not incorporated by reference herein. We have included our website address in this annual report solely for informational purposes. Our agent for service of process in the United States is Cogency Global Inc., located at 10 E. 40</w:t>
      </w:r>
      <w:r>
        <w:rPr>
          <w:rFonts w:ascii="Arial" w:cs="Arial" w:eastAsia="Arial" w:hAnsi="Arial"/>
          <w:sz w:val="30"/>
          <w:szCs w:val="30"/>
          <w:color w:val="auto"/>
          <w:vertAlign w:val="superscript"/>
        </w:rPr>
        <w:t>th</w:t>
      </w:r>
      <w:r>
        <w:rPr>
          <w:rFonts w:ascii="Arial" w:cs="Arial" w:eastAsia="Arial" w:hAnsi="Arial"/>
          <w:sz w:val="19"/>
          <w:szCs w:val="19"/>
          <w:color w:val="auto"/>
        </w:rPr>
        <w:t xml:space="preserve"> Street, 10</w:t>
      </w:r>
      <w:r>
        <w:rPr>
          <w:rFonts w:ascii="Arial" w:cs="Arial" w:eastAsia="Arial" w:hAnsi="Arial"/>
          <w:sz w:val="30"/>
          <w:szCs w:val="30"/>
          <w:color w:val="auto"/>
          <w:vertAlign w:val="superscript"/>
        </w:rPr>
        <w:t>th</w:t>
      </w:r>
      <w:r>
        <w:rPr>
          <w:rFonts w:ascii="Arial" w:cs="Arial" w:eastAsia="Arial" w:hAnsi="Arial"/>
          <w:sz w:val="19"/>
          <w:szCs w:val="19"/>
          <w:color w:val="auto"/>
        </w:rPr>
        <w:t xml:space="preserve"> Floor, New York, NY 10016, and its telephone number is +1 (800) 221-0102.</w:t>
      </w:r>
    </w:p>
    <w:p>
      <w:pPr>
        <w:sectPr>
          <w:pgSz w:w="11900" w:h="17036" w:orient="portrait"/>
          <w:cols w:equalWidth="0" w:num="1">
            <w:col w:w="11240"/>
          </w:cols>
          <w:pgMar w:left="320" w:top="402" w:right="339" w:bottom="0" w:gutter="0" w:footer="0" w:header="0"/>
        </w:sectPr>
      </w:pPr>
    </w:p>
    <w:bookmarkStart w:id="52" w:name="page53"/>
    <w:bookmarkEnd w:id="52"/>
    <w:p>
      <w:pPr>
        <w:jc w:val="center"/>
        <w:spacing w:after="0"/>
        <w:rPr>
          <w:sz w:val="20"/>
          <w:szCs w:val="20"/>
          <w:color w:val="auto"/>
        </w:rPr>
      </w:pPr>
      <w:r>
        <w:rPr>
          <w:rFonts w:ascii="Arial" w:cs="Arial" w:eastAsia="Arial" w:hAnsi="Arial"/>
          <w:sz w:val="19"/>
          <w:szCs w:val="19"/>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63500</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564" w:right="1440" w:bottom="1440" w:gutter="0" w:footer="0" w:header="0"/>
        </w:sectPr>
      </w:pPr>
    </w:p>
    <w:bookmarkStart w:id="53" w:name="page54"/>
    <w:bookmarkEnd w:id="53"/>
    <w:p>
      <w:pPr>
        <w:jc w:val="both"/>
        <w:ind w:firstLine="648"/>
        <w:spacing w:after="0" w:line="317" w:lineRule="auto"/>
        <w:rPr>
          <w:sz w:val="20"/>
          <w:szCs w:val="20"/>
          <w:color w:val="auto"/>
        </w:rPr>
      </w:pPr>
      <w:r>
        <w:rPr>
          <w:rFonts w:ascii="Arial" w:cs="Arial" w:eastAsia="Arial" w:hAnsi="Arial"/>
          <w:sz w:val="19"/>
          <w:szCs w:val="19"/>
          <w:color w:val="auto"/>
        </w:rPr>
        <w:t>In February 2018 we completed our initial public offering on The Nasdaq Global Market, pursuant to which we issued 7,187,500 Ordinary Shares for aggregate gross proceeds of approximately $86.25 million before deducting underwriting discounts and commissions and offering expenses payable by us, including the full exercise by the underwriters of their option to purchase additional shares. Our Ordinary Shares are traded on The Nasdaq Global Market under the symbol "SLGL".</w:t>
      </w:r>
    </w:p>
    <w:p>
      <w:pPr>
        <w:spacing w:after="0" w:line="196"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Our capital expenditures for the years ended December 31, 2017, 2018 and 2019 were approximately $1,925, $1,052 and $597, respectively. Our current capital expenditures involve equipment and leasehold improvements.</w:t>
      </w:r>
    </w:p>
    <w:p>
      <w:pPr>
        <w:spacing w:after="0" w:line="198" w:lineRule="exact"/>
        <w:rPr>
          <w:sz w:val="20"/>
          <w:szCs w:val="20"/>
          <w:color w:val="auto"/>
        </w:rPr>
      </w:pPr>
    </w:p>
    <w:p>
      <w:pPr>
        <w:ind w:left="800" w:hanging="792"/>
        <w:spacing w:after="0"/>
        <w:tabs>
          <w:tab w:leader="none" w:pos="800" w:val="left"/>
        </w:tabs>
        <w:numPr>
          <w:ilvl w:val="0"/>
          <w:numId w:val="38"/>
        </w:numPr>
        <w:rPr>
          <w:rFonts w:ascii="Arial" w:cs="Arial" w:eastAsia="Arial" w:hAnsi="Arial"/>
          <w:sz w:val="22"/>
          <w:szCs w:val="22"/>
          <w:b w:val="1"/>
          <w:bCs w:val="1"/>
          <w:color w:val="auto"/>
        </w:rPr>
      </w:pPr>
      <w:r>
        <w:rPr>
          <w:rFonts w:ascii="Arial" w:cs="Arial" w:eastAsia="Arial" w:hAnsi="Arial"/>
          <w:sz w:val="22"/>
          <w:szCs w:val="22"/>
          <w:b w:val="1"/>
          <w:bCs w:val="1"/>
          <w:color w:val="auto"/>
        </w:rPr>
        <w:t>Business Overview</w:t>
      </w:r>
    </w:p>
    <w:p>
      <w:pPr>
        <w:spacing w:after="0" w:line="293" w:lineRule="exact"/>
        <w:rPr>
          <w:sz w:val="20"/>
          <w:szCs w:val="20"/>
          <w:color w:val="auto"/>
        </w:rPr>
      </w:pPr>
    </w:p>
    <w:p>
      <w:pPr>
        <w:jc w:val="both"/>
        <w:ind w:firstLine="648"/>
        <w:spacing w:after="0" w:line="281" w:lineRule="auto"/>
        <w:rPr>
          <w:sz w:val="20"/>
          <w:szCs w:val="20"/>
          <w:color w:val="auto"/>
        </w:rPr>
      </w:pPr>
      <w:r>
        <w:rPr>
          <w:rFonts w:ascii="Arial" w:cs="Arial" w:eastAsia="Arial" w:hAnsi="Arial"/>
          <w:sz w:val="19"/>
          <w:szCs w:val="19"/>
          <w:color w:val="auto"/>
        </w:rPr>
        <w:t>We are a clinical-stage dermatology company focused on identifying, developing and commercializing branded and generic topical drug products for the treatment of skin diseases. Our current product candidate pipeline consists of late-stage and early-stage branded product candidates that leverage our proprietary, silica-based microencapsulation technology platform, other early-stage branded product candidates and several generic product candidates across multiple indications. Our lead product candidate, Twyneo</w:t>
      </w:r>
      <w:r>
        <w:rPr>
          <w:rFonts w:ascii="Arial" w:cs="Arial" w:eastAsia="Arial" w:hAnsi="Arial"/>
          <w:sz w:val="30"/>
          <w:szCs w:val="30"/>
          <w:color w:val="auto"/>
          <w:vertAlign w:val="superscript"/>
        </w:rPr>
        <w:t>®</w:t>
      </w:r>
      <w:r>
        <w:rPr>
          <w:rFonts w:ascii="Arial" w:cs="Arial" w:eastAsia="Arial" w:hAnsi="Arial"/>
          <w:sz w:val="19"/>
          <w:szCs w:val="19"/>
          <w:color w:val="auto"/>
        </w:rPr>
        <w:t>, is a novel, once-daily, non-antibiotic topical cream containing a fixed-dose combination of encapsulated benzoyl peroxide and encapsulated tretinoin, that we are developing for the treatment of acne vulgaris, or acne.</w:t>
      </w:r>
    </w:p>
    <w:p>
      <w:pPr>
        <w:spacing w:after="0" w:line="207"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w:t>
      </w:r>
    </w:p>
    <w:p>
      <w:pPr>
        <w:spacing w:after="0" w:line="2" w:lineRule="exact"/>
        <w:rPr>
          <w:sz w:val="20"/>
          <w:szCs w:val="20"/>
          <w:color w:val="auto"/>
        </w:rPr>
      </w:pPr>
    </w:p>
    <w:p>
      <w:pPr>
        <w:ind w:firstLine="10"/>
        <w:spacing w:after="0" w:line="272" w:lineRule="auto"/>
        <w:tabs>
          <w:tab w:leader="none" w:pos="331" w:val="left"/>
        </w:tabs>
        <w:numPr>
          <w:ilvl w:val="0"/>
          <w:numId w:val="39"/>
        </w:numPr>
        <w:rPr>
          <w:rFonts w:ascii="Arial" w:cs="Arial" w:eastAsia="Arial" w:hAnsi="Arial"/>
          <w:sz w:val="22"/>
          <w:szCs w:val="22"/>
          <w:color w:val="auto"/>
        </w:rPr>
      </w:pPr>
      <w:r>
        <w:rPr>
          <w:rFonts w:ascii="Arial" w:cs="Arial" w:eastAsia="Arial" w:hAnsi="Arial"/>
          <w:sz w:val="22"/>
          <w:szCs w:val="22"/>
          <w:color w:val="auto"/>
        </w:rPr>
        <w:t>In addition, Twyneo was found to be well-tolerated. We intend to submit an NDA for marketing approval for Twyneo in the second half of 2020.</w:t>
      </w:r>
    </w:p>
    <w:p>
      <w:pPr>
        <w:spacing w:after="0" w:line="22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2"/>
          <w:szCs w:val="22"/>
          <w:color w:val="auto"/>
        </w:rPr>
        <w:t>Our second branded product candidate is Epsolay</w:t>
      </w:r>
      <w:r>
        <w:rPr>
          <w:rFonts w:ascii="Arial" w:cs="Arial" w:eastAsia="Arial" w:hAnsi="Arial"/>
          <w:sz w:val="35"/>
          <w:szCs w:val="35"/>
          <w:color w:val="auto"/>
          <w:vertAlign w:val="superscript"/>
        </w:rPr>
        <w:t>®</w:t>
      </w:r>
      <w:r>
        <w:rPr>
          <w:rFonts w:ascii="Arial" w:cs="Arial" w:eastAsia="Arial" w:hAnsi="Arial"/>
          <w:sz w:val="22"/>
          <w:szCs w:val="22"/>
          <w:color w:val="auto"/>
        </w:rPr>
        <w:t>, a potential treatment for subtype II rosacea.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We intend to submit an NDA to the FDA for marketing approval of Epsolay in the second quarter of 2020.</w:t>
      </w:r>
    </w:p>
    <w:p>
      <w:pPr>
        <w:spacing w:after="0" w:line="270"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other branded product candidates are SGT-210, a potential treatment of palmoplantar keratoderma (PPK) and non-melanoma skin cancer, and tapinarof and roflumilast, each a potential treatment of psoriasis and other dermatological indications.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54" w:name="page55"/>
    <w:bookmarkEnd w:id="54"/>
    <w:p>
      <w:pPr>
        <w:jc w:val="both"/>
        <w:ind w:firstLine="648"/>
        <w:spacing w:after="0" w:line="302" w:lineRule="auto"/>
        <w:rPr>
          <w:sz w:val="20"/>
          <w:szCs w:val="20"/>
          <w:color w:val="auto"/>
        </w:rPr>
      </w:pPr>
      <w:r>
        <w:rPr>
          <w:rFonts w:ascii="Arial" w:cs="Arial" w:eastAsia="Arial" w:hAnsi="Arial"/>
          <w:sz w:val="19"/>
          <w:szCs w:val="19"/>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Twyneo® and Epsolay® to be conducted according to the FDA’s 505(b)(2) regulatory pathway, which may provide for a more efficient regulatory process by permitting us to rely, in part, upon the FDA’s previous findings of safety and efficacy of an approved product.</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maintain exclusive, worldwide commercial rights for our branded product candidates, which consist of:</w:t>
      </w:r>
    </w:p>
    <w:p>
      <w:pPr>
        <w:spacing w:after="0" w:line="271" w:lineRule="exact"/>
        <w:rPr>
          <w:sz w:val="20"/>
          <w:szCs w:val="20"/>
          <w:color w:val="auto"/>
        </w:rPr>
      </w:pPr>
    </w:p>
    <w:p>
      <w:pPr>
        <w:jc w:val="both"/>
        <w:ind w:left="840" w:hanging="454"/>
        <w:spacing w:after="0" w:line="230" w:lineRule="auto"/>
        <w:tabs>
          <w:tab w:leader="none" w:pos="840" w:val="left"/>
        </w:tabs>
        <w:numPr>
          <w:ilvl w:val="0"/>
          <w:numId w:val="40"/>
        </w:numPr>
        <w:rPr>
          <w:rFonts w:ascii="Arial" w:cs="Arial" w:eastAsia="Arial" w:hAnsi="Arial"/>
          <w:sz w:val="16"/>
          <w:szCs w:val="16"/>
          <w:color w:val="auto"/>
        </w:rPr>
      </w:pPr>
      <w:r>
        <w:rPr>
          <w:rFonts w:ascii="Arial" w:cs="Arial" w:eastAsia="Arial" w:hAnsi="Arial"/>
          <w:sz w:val="16"/>
          <w:szCs w:val="16"/>
          <w:color w:val="auto"/>
        </w:rPr>
        <w:t>Twyneo</w:t>
      </w:r>
      <w:r>
        <w:rPr>
          <w:rFonts w:ascii="Arial" w:cs="Arial" w:eastAsia="Arial" w:hAnsi="Arial"/>
          <w:sz w:val="26"/>
          <w:szCs w:val="26"/>
          <w:color w:val="auto"/>
          <w:vertAlign w:val="superscript"/>
        </w:rPr>
        <w:t>®</w:t>
      </w:r>
      <w:r>
        <w:rPr>
          <w:rFonts w:ascii="Arial" w:cs="Arial" w:eastAsia="Arial" w:hAnsi="Arial"/>
          <w:sz w:val="16"/>
          <w:szCs w:val="16"/>
          <w:color w:val="auto"/>
        </w:rPr>
        <w:t>, a novel, once-daily, non-antibiotic topical cream, which we are developing for the treatment of acne, containing a fixed-dose combination of encapsulated benzoyl peroxide, or E-BPO, and encapsulated tretinoin. Acne is one of the three most prevalent skin diseases in the world and is the most commonly treated skin disease in the United States. According to the American Academy of Dermatology, acne affects approximately 40 to 50 million people in the United States, of which approximately 10% are treated with prescription medications. In July 2017, we reported positive top-line results from a double-blind, dose-ranging active- and placebo-controlled, six-arm, multi-center Phase II clinical trial of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in the United States in 726 subjects, 128 of which subjects across six treatment groups did not complete the study. The clinical trial evaluated the efficacy, tolerability and safety of two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concentrations,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Low and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High, each containing a lower or higher concentration, respectively, of encapsulated tretinoin and an identical concentration of encapsulated benzoyl peroxide. Tretinoin and benzoyl peroxide, the two active components in Twyneo</w:t>
      </w:r>
      <w:r>
        <w:rPr>
          <w:rFonts w:ascii="Arial" w:cs="Arial" w:eastAsia="Arial" w:hAnsi="Arial"/>
          <w:sz w:val="26"/>
          <w:szCs w:val="26"/>
          <w:color w:val="auto"/>
          <w:vertAlign w:val="superscript"/>
        </w:rPr>
        <w:t>®</w:t>
      </w:r>
      <w:r>
        <w:rPr>
          <w:rFonts w:ascii="Arial" w:cs="Arial" w:eastAsia="Arial" w:hAnsi="Arial"/>
          <w:sz w:val="16"/>
          <w:szCs w:val="16"/>
          <w:color w:val="auto"/>
        </w:rPr>
        <w:t>, are both widely-used therapies for the treatment of acne that historically have not been conveniently co-administered due to stability concerns. The trial also evaluated the contribution of encapsulated tretinoin and encapsulated benzoyl peroxide, in the same concentrations as those in the respective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treatment groups, to the efficacy of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High and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Low. In this trial,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showed statistically significant improvements in all pre-defined co-primary and secondary efficacy endpoints, as compared to vehicle. In addition, Twyneo</w:t>
      </w:r>
      <w:r>
        <w:rPr>
          <w:rFonts w:ascii="Arial" w:cs="Arial" w:eastAsia="Arial" w:hAnsi="Arial"/>
          <w:sz w:val="26"/>
          <w:szCs w:val="26"/>
          <w:color w:val="auto"/>
          <w:vertAlign w:val="superscript"/>
        </w:rPr>
        <w:t>®</w:t>
      </w:r>
      <w:r>
        <w:rPr>
          <w:rFonts w:ascii="Arial" w:cs="Arial" w:eastAsia="Arial" w:hAnsi="Arial"/>
          <w:sz w:val="16"/>
          <w:szCs w:val="16"/>
          <w:color w:val="auto"/>
        </w:rPr>
        <w:t xml:space="preserve"> was well tolerated with no treatment-related serious adverse events. Based on the efficacy data we observed in the Phase II trial, we believe Twyneo</w:t>
      </w:r>
      <w:r>
        <w:rPr>
          <w:rFonts w:ascii="Arial" w:cs="Arial" w:eastAsia="Arial" w:hAnsi="Arial"/>
          <w:sz w:val="26"/>
          <w:szCs w:val="26"/>
          <w:color w:val="auto"/>
          <w:vertAlign w:val="superscript"/>
        </w:rPr>
        <w:t>®</w:t>
      </w:r>
      <w:r>
        <w:rPr>
          <w:rFonts w:ascii="Arial" w:cs="Arial" w:eastAsia="Arial" w:hAnsi="Arial"/>
          <w:sz w:val="16"/>
          <w:szCs w:val="16"/>
          <w:color w:val="auto"/>
        </w:rPr>
        <w:t>, if approved, has the potential to become a preferred treatment for acne. 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 was found to be well-tolerated. We intend to submit a new drug application, or NDA, to the FDA for marketing approval of Twyneo in the second half of 2020.</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55" w:name="page56"/>
    <w:bookmarkEnd w:id="55"/>
    <w:p>
      <w:pPr>
        <w:jc w:val="both"/>
        <w:ind w:left="860" w:hanging="488"/>
        <w:spacing w:after="0" w:line="284" w:lineRule="auto"/>
        <w:tabs>
          <w:tab w:leader="none" w:pos="860" w:val="left"/>
        </w:tabs>
        <w:numPr>
          <w:ilvl w:val="0"/>
          <w:numId w:val="41"/>
        </w:numPr>
        <w:rPr>
          <w:rFonts w:ascii="Arial" w:cs="Arial" w:eastAsia="Arial" w:hAnsi="Arial"/>
          <w:sz w:val="16"/>
          <w:szCs w:val="16"/>
          <w:color w:val="auto"/>
        </w:rPr>
      </w:pPr>
      <w:r>
        <w:rPr>
          <w:rFonts w:ascii="Arial" w:cs="Arial" w:eastAsia="Arial" w:hAnsi="Arial"/>
          <w:sz w:val="16"/>
          <w:szCs w:val="16"/>
          <w:color w:val="auto"/>
        </w:rPr>
        <w:t>Epsolay®, a topical cream containing 5% encapsulated benzoyl peroxide, which we are developing for the treatment of subtype II (papulopustular) rosacea. Rosacea is a chronic skin disease characterized by facial redness, inflammatory lesions, burning and stinging. According to the U.S. National Rosacea Society, approximately 16 million people in the United States are affected by rosacea. According to a study we commissioned,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comedowns are absent, and patients may report associated burning and stinging sensations. We evaluated Epsolay® in a double blind, randomized, dose-ranging Phase II clinical trial involving</w:t>
      </w:r>
    </w:p>
    <w:p>
      <w:pPr>
        <w:spacing w:after="0" w:line="2" w:lineRule="exact"/>
        <w:rPr>
          <w:rFonts w:ascii="Arial" w:cs="Arial" w:eastAsia="Arial" w:hAnsi="Arial"/>
          <w:sz w:val="16"/>
          <w:szCs w:val="16"/>
          <w:color w:val="auto"/>
        </w:rPr>
      </w:pPr>
    </w:p>
    <w:p>
      <w:pPr>
        <w:jc w:val="both"/>
        <w:ind w:left="860" w:hanging="2"/>
        <w:spacing w:after="0" w:line="281" w:lineRule="auto"/>
        <w:tabs>
          <w:tab w:leader="none" w:pos="1102" w:val="left"/>
        </w:tabs>
        <w:numPr>
          <w:ilvl w:val="1"/>
          <w:numId w:val="41"/>
        </w:numPr>
        <w:rPr>
          <w:rFonts w:ascii="Arial" w:cs="Arial" w:eastAsia="Arial" w:hAnsi="Arial"/>
          <w:sz w:val="16"/>
          <w:szCs w:val="16"/>
          <w:color w:val="auto"/>
        </w:rPr>
      </w:pPr>
      <w:r>
        <w:rPr>
          <w:rFonts w:ascii="Arial" w:cs="Arial" w:eastAsia="Arial" w:hAnsi="Arial"/>
          <w:sz w:val="16"/>
          <w:szCs w:val="16"/>
          <w:color w:val="auto"/>
        </w:rPr>
        <w:t>adult subjects at ten centers in the United States. In this trial, Epsolay® showed statistically significant improvements in the Investigator Global Assessment, or IGA, pre-defined co-primary efficacy endpoint and in the percent change in inflammatory lesion count at week 12, as compared to vehicle. Epsolay® was also well tolerated in this trial. Current topical therapies for subtype II rosacea are limited due to tolerability concerns. For example, BPO, a common therapy for acne, is not used for the treatment of subtype II rosacea due to side effects. As encapsulated BPO, Epsolay® is designed to redefine the standard of care for the treatment of subtype II rosacea. If approved, we expect Epsolay® to be the first product containing BPO that is marketed for the treatment of subtype II rosacea.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w:t>
      </w:r>
    </w:p>
    <w:p>
      <w:pPr>
        <w:spacing w:after="0" w:line="5" w:lineRule="exact"/>
        <w:rPr>
          <w:rFonts w:ascii="Arial" w:cs="Arial" w:eastAsia="Arial" w:hAnsi="Arial"/>
          <w:sz w:val="16"/>
          <w:szCs w:val="16"/>
          <w:color w:val="auto"/>
        </w:rPr>
      </w:pPr>
    </w:p>
    <w:p>
      <w:pPr>
        <w:jc w:val="both"/>
        <w:ind w:left="860" w:hanging="2"/>
        <w:spacing w:after="0" w:line="281" w:lineRule="auto"/>
        <w:tabs>
          <w:tab w:leader="none" w:pos="1175" w:val="left"/>
        </w:tabs>
        <w:numPr>
          <w:ilvl w:val="1"/>
          <w:numId w:val="42"/>
        </w:numPr>
        <w:rPr>
          <w:rFonts w:ascii="Arial" w:cs="Arial" w:eastAsia="Arial" w:hAnsi="Arial"/>
          <w:sz w:val="16"/>
          <w:szCs w:val="16"/>
          <w:color w:val="auto"/>
        </w:rPr>
      </w:pPr>
      <w:r>
        <w:rPr>
          <w:rFonts w:ascii="Arial" w:cs="Arial" w:eastAsia="Arial" w:hAnsi="Arial"/>
          <w:sz w:val="16"/>
          <w:szCs w:val="16"/>
          <w:color w:val="auto"/>
        </w:rPr>
        <w:t>In an additional analysis, Epsolay demonstrated rapid efficacy, achieving statistically significant improvements on both co-primary endpoints compared with vehicle as early as Week 2. In addition, Epsolay® was found to be well-tolerated. On February 12, 2020, we announced positive topline results from our open-label, long-term safety study, evaluating Epsolay® for a treatment duration up to 52 weeks.</w:t>
      </w:r>
    </w:p>
    <w:p>
      <w:pPr>
        <w:spacing w:after="0" w:line="1" w:lineRule="exact"/>
        <w:rPr>
          <w:rFonts w:ascii="Arial" w:cs="Arial" w:eastAsia="Arial" w:hAnsi="Arial"/>
          <w:sz w:val="16"/>
          <w:szCs w:val="16"/>
          <w:color w:val="auto"/>
        </w:rPr>
      </w:pPr>
    </w:p>
    <w:p>
      <w:pPr>
        <w:ind w:left="860"/>
        <w:spacing w:after="0"/>
        <w:rPr>
          <w:rFonts w:ascii="Arial" w:cs="Arial" w:eastAsia="Arial" w:hAnsi="Arial"/>
          <w:sz w:val="16"/>
          <w:szCs w:val="16"/>
          <w:color w:val="auto"/>
        </w:rPr>
      </w:pPr>
      <w:r>
        <w:rPr>
          <w:rFonts w:ascii="Arial" w:cs="Arial" w:eastAsia="Arial" w:hAnsi="Arial"/>
          <w:sz w:val="18"/>
          <w:szCs w:val="18"/>
          <w:color w:val="auto"/>
        </w:rPr>
        <w:t>We intend to submit an NDA to the FDA for marketing approval of Epsolay in the second quarter of 2020.</w:t>
      </w:r>
    </w:p>
    <w:p>
      <w:pPr>
        <w:spacing w:after="0" w:line="264" w:lineRule="exact"/>
        <w:rPr>
          <w:rFonts w:ascii="Arial" w:cs="Arial" w:eastAsia="Arial" w:hAnsi="Arial"/>
          <w:sz w:val="16"/>
          <w:szCs w:val="16"/>
          <w:color w:val="auto"/>
        </w:rPr>
      </w:pPr>
    </w:p>
    <w:p>
      <w:pPr>
        <w:jc w:val="both"/>
        <w:ind w:left="860" w:hanging="488"/>
        <w:spacing w:after="0" w:line="269" w:lineRule="auto"/>
        <w:tabs>
          <w:tab w:leader="none" w:pos="8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SGT-210, a novel, topical epidermal growth factor receptor inhibitor which is in development for the treatment of palmoplantar keratoderma, or PPK, a group of skin conditions characterized by thickening of the skin on the hands and soles of the feet, and basal cell carcinoma and squamous cell carcinoma, collectively referred to as non-melanoma skin cancer. SGT-210 is designed to be used alone or in combination for the treatment of hyperproliferation and hyperkeratinization disorders, including PPK. On January 2, 2020, we announced the initiation of a Phase 1 proof of concept clinical study of SGT-210 with punctate palmoplantar keratoderma type -1 (PPPK type 1), a genetic form of PPK. The Phase 1 proof of concept study SGT-84-01 is a single-center, single-blinded, vehicle-controlled study designed to evaluate the bioavailability, safety and tolerability of SGT-210 as well as inform on potential efficacy. The study is targeting enrollment of approximately 15 patients to undergo a three-month treatment period, followed by a three-month follow-up period. We expect to report top-line data in the first half of 2021. We are also planning to initiate pre-clinical studies to evaluate SGT-210 in plaque psoriasis, superficial squamous cell carcinoma and in combination with roflumilast, a PDE4 inhibitor, to address various inflammatory conditions, such as hidradenitis suppurativa and prurigo nodularis.</w:t>
      </w:r>
    </w:p>
    <w:p>
      <w:pPr>
        <w:spacing w:after="0" w:line="235" w:lineRule="exact"/>
        <w:rPr>
          <w:rFonts w:ascii="Arial" w:cs="Arial" w:eastAsia="Arial" w:hAnsi="Arial"/>
          <w:sz w:val="17"/>
          <w:szCs w:val="17"/>
          <w:color w:val="auto"/>
        </w:rPr>
      </w:pPr>
    </w:p>
    <w:p>
      <w:pPr>
        <w:ind w:left="860" w:right="20" w:hanging="488"/>
        <w:spacing w:after="0" w:line="277" w:lineRule="auto"/>
        <w:tabs>
          <w:tab w:leader="none" w:pos="8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We also intend to develop tapinarof, an AhRagonist, and roflumilast, a PDE4 inhibitor, each as a potential treatment of psoriasis and other dermatological indications.</w:t>
      </w:r>
    </w:p>
    <w:p>
      <w:pPr>
        <w:spacing w:after="0" w:line="23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In addition to our branded product candidates, we have one FDA approved generic topical dermatological product, which is a generic version of Zovirax® (acyclovir) cream, 5%. In February 2019, we announced that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we launched the product in February 2019.</w:t>
      </w:r>
    </w:p>
    <w:p>
      <w:pPr>
        <w:spacing w:after="0" w:line="231"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We are also currently developing a portfolio of seven generic topical dermatological products. Six of our generic product candidates are being developed in collaboration with Perrigo UK Finco Limited Partnership, or Perrigo. A seventh generic product candidate is being developed in collaboration with Douglas Pharmaceuticals (New Zealand), or Douglas Pharmaceuticals. Both Perrigo and Douglas Pharmaceuticals have significant experience in the development of generic drugs.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56" w:name="page57"/>
    <w:bookmarkEnd w:id="56"/>
    <w:p>
      <w:pPr>
        <w:jc w:val="both"/>
        <w:ind w:firstLine="648"/>
        <w:spacing w:after="0" w:line="306" w:lineRule="auto"/>
        <w:rPr>
          <w:sz w:val="20"/>
          <w:szCs w:val="20"/>
          <w:color w:val="auto"/>
        </w:rPr>
      </w:pPr>
      <w:r>
        <w:rPr>
          <w:rFonts w:ascii="Arial" w:cs="Arial" w:eastAsia="Arial" w:hAnsi="Arial"/>
          <w:sz w:val="19"/>
          <w:szCs w:val="19"/>
          <w:color w:val="auto"/>
        </w:rPr>
        <w:t>Our most advanced generic product candidate is ivermectin cream, 1%, for the treatment of inflammatory lesions associated with rosacea, which is being developed in collaboration with Perrigo. In March 2017, Perrigo submitted an ANDA with a Paragraph IV certification for ivermectin cream, 1% to the FDA. In January 2018, this ANDA was tentatively approved by the FDA. Final approval from the FDA is subject to a 30-month stay under the Hatch-Waxman Amendments. . In addition, because Actavis Ltd. filed an ANDA for ivermectin cream, 1%, before us or any other generic applicants, we may be unable to obtain final approval for our ANDA until the expiration of Actavis Ltd.’s 180-day generic exclusivity. Ivermectin cream, 1% is the active molecule in Soolantra, which is currently marketed in the United States by Galderma Laboratories LP.</w:t>
      </w:r>
    </w:p>
    <w:p>
      <w:pPr>
        <w:spacing w:after="0" w:line="210"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leadership team has considerable expertise in the identification and development of generic dermatological drug products and our intellectual property and formulation teams continue to seek to identify new opportunities to expand our pipeline of generic product candidates.</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321945</wp:posOffset>
            </wp:positionH>
            <wp:positionV relativeFrom="paragraph">
              <wp:posOffset>187325</wp:posOffset>
            </wp:positionV>
            <wp:extent cx="6506210" cy="31286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506210" cy="3128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Branded Product Candidates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Twyneo® for Acne</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Using our proprietary, silica-based microencapsulation technology platform, we are developing Twyneo® to become a preferred treatment for acne by dermatologists and their patients.</w:t>
      </w:r>
    </w:p>
    <w:p>
      <w:pPr>
        <w:spacing w:after="0" w:line="228"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Twyneo® is a novel, once-daily, non-antibiotic topical cream containing a fixed-dose combination of encapsulated benzoyl peroxide and encapsulated tretinoin that we are developing for the treatment of acne. Studies have shown that benzoyl peroxide and tretinoin are effective in treating acne as monotherapies; moreover, according to an article in the American Academy of Dermatology (2009), dermatologists recommend combining the two monotherapies as a first-line approach for acne, but a drug-drug interaction that causes the degradation of tretinoin has previously prohibited the development of a combination therapy. By encapsulating the two agents separately through the use of our technology platform, Twyneo® is designed to be a fixed-dose combination that otherwise would not be stable. Similar to other combination drug products, such as clindamycin and benzoyl peroxide, we expect Twyneo® to be kept refrigerated throughout the supply chain and then stored in ambient conditions upon its distribution to patients. Pre-clinical data suggests that Twyneo®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Twyneo®, if approved, will compete directly with Epiduo and Epiduo Forte. We expect to utilize the FDA’s 505(b)(2) regulatory pathway in seeking approval of Twyneo® in the United States.</w:t>
      </w:r>
    </w:p>
    <w:p>
      <w:pPr>
        <w:sectPr>
          <w:pgSz w:w="11900" w:h="16838" w:orient="portrait"/>
          <w:cols w:equalWidth="0" w:num="1">
            <w:col w:w="11240"/>
          </w:cols>
          <w:pgMar w:left="320" w:top="132" w:right="339" w:bottom="8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844" w:gutter="0" w:footer="0" w:header="0"/>
          <w:type w:val="continuous"/>
        </w:sectPr>
      </w:pPr>
    </w:p>
    <w:bookmarkStart w:id="57" w:name="page58"/>
    <w:bookmarkEnd w:id="57"/>
    <w:p>
      <w:pPr>
        <w:jc w:val="both"/>
        <w:ind w:firstLine="648"/>
        <w:spacing w:after="0" w:line="308" w:lineRule="auto"/>
        <w:rPr>
          <w:sz w:val="20"/>
          <w:szCs w:val="20"/>
          <w:color w:val="auto"/>
        </w:rPr>
      </w:pPr>
      <w:r>
        <w:rPr>
          <w:rFonts w:ascii="Arial" w:cs="Arial" w:eastAsia="Arial" w:hAnsi="Arial"/>
          <w:sz w:val="19"/>
          <w:szCs w:val="19"/>
          <w:color w:val="auto"/>
        </w:rPr>
        <w:t>In July 2017, we reported the completion of a 726 subject, randomized, multi-center, double-blind, placebo-controlled Phase II clinical trial of Twyneo® in the United States that demonstrated statistically significant improvements compared to vehicle in the co-primary efficacy endpoints of “clear” or “almost clear” with a two-grade reduction in IGA and in reducing absolute inflammatory and non-inflammatory lesion counts at week 12. Of the 726 subjects enrolled in the trial, 128 subjects across six treatment groups did not complete the study. The most common reasons for subjects not completing the study were the withdrawal of informed consent (42 subjects), loss to follow-up (56 subjects) and adverse events (18 subjects).</w:t>
      </w:r>
    </w:p>
    <w:p>
      <w:pPr>
        <w:spacing w:after="0" w:line="208" w:lineRule="exact"/>
        <w:rPr>
          <w:sz w:val="20"/>
          <w:szCs w:val="20"/>
          <w:color w:val="auto"/>
        </w:rPr>
      </w:pPr>
    </w:p>
    <w:p>
      <w:pPr>
        <w:jc w:val="both"/>
        <w:ind w:left="20" w:firstLine="646"/>
        <w:spacing w:after="0" w:line="297" w:lineRule="auto"/>
        <w:rPr>
          <w:sz w:val="20"/>
          <w:szCs w:val="20"/>
          <w:color w:val="auto"/>
        </w:rPr>
      </w:pPr>
      <w:r>
        <w:rPr>
          <w:rFonts w:ascii="Arial" w:cs="Arial" w:eastAsia="Arial" w:hAnsi="Arial"/>
          <w:sz w:val="19"/>
          <w:szCs w:val="19"/>
          <w:color w:val="auto"/>
        </w:rPr>
        <w:t>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w:t>
      </w:r>
    </w:p>
    <w:p>
      <w:pPr>
        <w:spacing w:after="0" w:line="2" w:lineRule="exact"/>
        <w:rPr>
          <w:sz w:val="20"/>
          <w:szCs w:val="20"/>
          <w:color w:val="auto"/>
        </w:rPr>
      </w:pPr>
    </w:p>
    <w:p>
      <w:pPr>
        <w:ind w:left="20" w:hanging="8"/>
        <w:spacing w:after="0" w:line="272" w:lineRule="auto"/>
        <w:tabs>
          <w:tab w:leader="none" w:pos="366" w:val="left"/>
        </w:tabs>
        <w:numPr>
          <w:ilvl w:val="0"/>
          <w:numId w:val="43"/>
        </w:numPr>
        <w:rPr>
          <w:rFonts w:ascii="Arial" w:cs="Arial" w:eastAsia="Arial" w:hAnsi="Arial"/>
          <w:sz w:val="22"/>
          <w:szCs w:val="22"/>
          <w:color w:val="auto"/>
        </w:rPr>
      </w:pPr>
      <w:r>
        <w:rPr>
          <w:rFonts w:ascii="Arial" w:cs="Arial" w:eastAsia="Arial" w:hAnsi="Arial"/>
          <w:sz w:val="22"/>
          <w:szCs w:val="22"/>
          <w:color w:val="auto"/>
        </w:rPr>
        <w:t>In addition, Twyneo was found to be well-tolerated. We intend to submit an NDA to the FDA for marketing approval of Twyneo in the second half of 2020.</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Acne Market Opportunity</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239" w:lineRule="exact"/>
        <w:rPr>
          <w:sz w:val="20"/>
          <w:szCs w:val="20"/>
          <w:color w:val="auto"/>
        </w:rPr>
      </w:pPr>
    </w:p>
    <w:p>
      <w:pPr>
        <w:ind w:left="860" w:hanging="488"/>
        <w:spacing w:after="0"/>
        <w:tabs>
          <w:tab w:leader="none" w:pos="8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blockage of hair follicles through abnormal keratinization in the follicle, which narrows pores;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increase in oils, or sebum production, secreted by the sebaceous gland;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overgrowth of naturally occurring bacteria caused by the colonization by the anaerobic lipohilic bacterium </w:t>
      </w:r>
      <w:r>
        <w:rPr>
          <w:rFonts w:ascii="Arial" w:cs="Arial" w:eastAsia="Arial" w:hAnsi="Arial"/>
          <w:sz w:val="18"/>
          <w:szCs w:val="18"/>
          <w:i w:val="1"/>
          <w:iCs w:val="1"/>
          <w:color w:val="auto"/>
        </w:rPr>
        <w:t>Propionibacterium acnes</w:t>
      </w:r>
      <w:r>
        <w:rPr>
          <w:rFonts w:ascii="Arial" w:cs="Arial" w:eastAsia="Arial" w:hAnsi="Arial"/>
          <w:sz w:val="18"/>
          <w:szCs w:val="18"/>
          <w:color w:val="auto"/>
        </w:rPr>
        <w:t xml:space="preserve">, or </w:t>
      </w:r>
      <w:r>
        <w:rPr>
          <w:rFonts w:ascii="Arial" w:cs="Arial" w:eastAsia="Arial" w:hAnsi="Arial"/>
          <w:sz w:val="18"/>
          <w:szCs w:val="18"/>
          <w:i w:val="1"/>
          <w:iCs w:val="1"/>
          <w:color w:val="auto"/>
        </w:rPr>
        <w:t>P.</w:t>
      </w:r>
      <w:r>
        <w:rPr>
          <w:rFonts w:ascii="Arial" w:cs="Arial" w:eastAsia="Arial" w:hAnsi="Arial"/>
          <w:sz w:val="18"/>
          <w:szCs w:val="18"/>
          <w:color w:val="auto"/>
        </w:rPr>
        <w:t xml:space="preserve"> </w:t>
      </w:r>
      <w:r>
        <w:rPr>
          <w:rFonts w:ascii="Arial" w:cs="Arial" w:eastAsia="Arial" w:hAnsi="Arial"/>
          <w:sz w:val="18"/>
          <w:szCs w:val="18"/>
          <w:i w:val="1"/>
          <w:iCs w:val="1"/>
          <w:color w:val="auto"/>
        </w:rPr>
        <w:t>acnes</w:t>
      </w:r>
      <w:r>
        <w:rPr>
          <w:rFonts w:ascii="Arial" w:cs="Arial" w:eastAsia="Arial" w:hAnsi="Arial"/>
          <w:sz w:val="18"/>
          <w:szCs w:val="18"/>
          <w:color w:val="auto"/>
        </w:rPr>
        <w:t>;</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inflammatory response due to relapse of pro-inflammatory mediators into the skin.</w:t>
      </w:r>
    </w:p>
    <w:p>
      <w:pPr>
        <w:spacing w:after="0" w:line="285"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Due to the frequency of recurrence and relapse, acne is characterized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58" w:name="page59"/>
    <w:bookmarkEnd w:id="58"/>
    <w:p>
      <w:pPr>
        <w:spacing w:after="0"/>
        <w:rPr>
          <w:sz w:val="20"/>
          <w:szCs w:val="20"/>
          <w:color w:val="auto"/>
        </w:rPr>
      </w:pPr>
      <w:r>
        <w:rPr>
          <w:rFonts w:ascii="Arial" w:cs="Arial" w:eastAsia="Arial" w:hAnsi="Arial"/>
          <w:sz w:val="22"/>
          <w:szCs w:val="22"/>
          <w:i w:val="1"/>
          <w:iCs w:val="1"/>
          <w:color w:val="auto"/>
        </w:rPr>
        <w:t>Current Treatment Landscape for Acne</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treatment options for acne depend on the severity of the disease and consist of topical and oral drugs:</w:t>
      </w:r>
    </w:p>
    <w:p>
      <w:pPr>
        <w:spacing w:after="0" w:line="277" w:lineRule="exact"/>
        <w:rPr>
          <w:sz w:val="20"/>
          <w:szCs w:val="20"/>
          <w:color w:val="auto"/>
        </w:rPr>
      </w:pPr>
    </w:p>
    <w:p>
      <w:pPr>
        <w:ind w:left="860" w:hanging="488"/>
        <w:spacing w:after="0" w:line="282" w:lineRule="auto"/>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b w:val="1"/>
          <w:bCs w:val="1"/>
          <w:color w:val="auto"/>
        </w:rPr>
        <w:t>Mild acne</w:t>
      </w:r>
      <w:r>
        <w:rPr>
          <w:rFonts w:ascii="Arial" w:cs="Arial" w:eastAsia="Arial" w:hAnsi="Arial"/>
          <w:sz w:val="18"/>
          <w:szCs w:val="18"/>
          <w:color w:val="auto"/>
        </w:rPr>
        <w:t>: characterized by few papules or pustules (both comedonal and inflammatory); treated with an over-the-counter product or topical</w:t>
      </w:r>
      <w:r>
        <w:rPr>
          <w:rFonts w:ascii="Arial" w:cs="Arial" w:eastAsia="Arial" w:hAnsi="Arial"/>
          <w:sz w:val="18"/>
          <w:szCs w:val="18"/>
          <w:b w:val="1"/>
          <w:bCs w:val="1"/>
          <w:color w:val="auto"/>
        </w:rPr>
        <w:t xml:space="preserve"> </w:t>
      </w:r>
      <w:r>
        <w:rPr>
          <w:rFonts w:ascii="Arial" w:cs="Arial" w:eastAsia="Arial" w:hAnsi="Arial"/>
          <w:sz w:val="18"/>
          <w:szCs w:val="18"/>
          <w:color w:val="auto"/>
        </w:rPr>
        <w:t>prescription therapies.</w:t>
      </w:r>
    </w:p>
    <w:p>
      <w:pPr>
        <w:spacing w:after="0" w:line="215" w:lineRule="exact"/>
        <w:rPr>
          <w:rFonts w:ascii="Arial" w:cs="Arial" w:eastAsia="Arial" w:hAnsi="Arial"/>
          <w:sz w:val="18"/>
          <w:szCs w:val="18"/>
          <w:color w:val="auto"/>
        </w:rPr>
      </w:pPr>
    </w:p>
    <w:p>
      <w:pPr>
        <w:ind w:left="860" w:right="20" w:hanging="488"/>
        <w:spacing w:after="0" w:line="282" w:lineRule="auto"/>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b w:val="1"/>
          <w:bCs w:val="1"/>
          <w:color w:val="auto"/>
        </w:rPr>
        <w:t>Moderate acne</w:t>
      </w:r>
      <w:r>
        <w:rPr>
          <w:rFonts w:ascii="Arial" w:cs="Arial" w:eastAsia="Arial" w:hAnsi="Arial"/>
          <w:sz w:val="18"/>
          <w:szCs w:val="18"/>
          <w:color w:val="auto"/>
        </w:rPr>
        <w:t>: characterized by multiple papules and pustules with moderate inflammation and seborrhea (scaly red skin); treated with a</w:t>
      </w:r>
      <w:r>
        <w:rPr>
          <w:rFonts w:ascii="Arial" w:cs="Arial" w:eastAsia="Arial" w:hAnsi="Arial"/>
          <w:sz w:val="18"/>
          <w:szCs w:val="18"/>
          <w:b w:val="1"/>
          <w:bCs w:val="1"/>
          <w:color w:val="auto"/>
        </w:rPr>
        <w:t xml:space="preserve"> </w:t>
      </w:r>
      <w:r>
        <w:rPr>
          <w:rFonts w:ascii="Arial" w:cs="Arial" w:eastAsia="Arial" w:hAnsi="Arial"/>
          <w:sz w:val="18"/>
          <w:szCs w:val="18"/>
          <w:color w:val="auto"/>
        </w:rPr>
        <w:t>combination of oral antibiotics and topical therapies.</w:t>
      </w:r>
    </w:p>
    <w:p>
      <w:pPr>
        <w:spacing w:after="0" w:line="215" w:lineRule="exact"/>
        <w:rPr>
          <w:rFonts w:ascii="Arial" w:cs="Arial" w:eastAsia="Arial" w:hAnsi="Arial"/>
          <w:sz w:val="18"/>
          <w:szCs w:val="18"/>
          <w:color w:val="auto"/>
        </w:rPr>
      </w:pPr>
    </w:p>
    <w:p>
      <w:pPr>
        <w:ind w:left="860" w:hanging="488"/>
        <w:spacing w:after="0" w:line="282" w:lineRule="auto"/>
        <w:tabs>
          <w:tab w:leader="none" w:pos="860" w:val="left"/>
        </w:tabs>
        <w:numPr>
          <w:ilvl w:val="0"/>
          <w:numId w:val="45"/>
        </w:numPr>
        <w:rPr>
          <w:rFonts w:ascii="Arial" w:cs="Arial" w:eastAsia="Arial" w:hAnsi="Arial"/>
          <w:sz w:val="18"/>
          <w:szCs w:val="18"/>
          <w:color w:val="auto"/>
        </w:rPr>
      </w:pPr>
      <w:r>
        <w:rPr>
          <w:rFonts w:ascii="Arial" w:cs="Arial" w:eastAsia="Arial" w:hAnsi="Arial"/>
          <w:sz w:val="18"/>
          <w:szCs w:val="18"/>
          <w:b w:val="1"/>
          <w:bCs w:val="1"/>
          <w:color w:val="auto"/>
        </w:rPr>
        <w:t>Severe acne</w:t>
      </w:r>
      <w:r>
        <w:rPr>
          <w:rFonts w:ascii="Arial" w:cs="Arial" w:eastAsia="Arial" w:hAnsi="Arial"/>
          <w:sz w:val="18"/>
          <w:szCs w:val="18"/>
          <w:color w:val="auto"/>
        </w:rPr>
        <w:t>: characterized by substantial papulopustular disease, many nodules and/or cysts and significant inflammation and seborrhea;</w:t>
      </w:r>
      <w:r>
        <w:rPr>
          <w:rFonts w:ascii="Arial" w:cs="Arial" w:eastAsia="Arial" w:hAnsi="Arial"/>
          <w:sz w:val="18"/>
          <w:szCs w:val="18"/>
          <w:b w:val="1"/>
          <w:bCs w:val="1"/>
          <w:color w:val="auto"/>
        </w:rPr>
        <w:t xml:space="preserve"> </w:t>
      </w:r>
      <w:r>
        <w:rPr>
          <w:rFonts w:ascii="Arial" w:cs="Arial" w:eastAsia="Arial" w:hAnsi="Arial"/>
          <w:sz w:val="18"/>
          <w:szCs w:val="18"/>
          <w:color w:val="auto"/>
        </w:rPr>
        <w:t>treated with oral and topical combination therapies and photodynamic therapy as a third-line treatment.</w:t>
      </w:r>
    </w:p>
    <w:p>
      <w:pPr>
        <w:spacing w:after="0" w:line="226" w:lineRule="exact"/>
        <w:rPr>
          <w:sz w:val="20"/>
          <w:szCs w:val="20"/>
          <w:color w:val="auto"/>
        </w:rPr>
      </w:pPr>
    </w:p>
    <w:p>
      <w:pPr>
        <w:jc w:val="both"/>
        <w:spacing w:after="0" w:line="266" w:lineRule="auto"/>
        <w:rPr>
          <w:sz w:val="20"/>
          <w:szCs w:val="20"/>
          <w:color w:val="auto"/>
        </w:rPr>
      </w:pPr>
      <w:r>
        <w:rPr>
          <w:rFonts w:ascii="Arial" w:cs="Arial" w:eastAsia="Arial" w:hAnsi="Arial"/>
          <w:sz w:val="22"/>
          <w:szCs w:val="22"/>
          <w:color w:val="auto"/>
        </w:rPr>
        <w:t>Topical therapies dominate the acne market as physicians and patients often prefer therapies that act locally on the skin, while minimizing side effects. For more pronounced symptoms, patients are typically treated with a combination of topical and oral therapies.</w:t>
      </w:r>
    </w:p>
    <w:p>
      <w:pPr>
        <w:spacing w:after="0" w:line="23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acne prescription treatment landscape is comprised of four classes of topical products and two classes of oral products:</w:t>
      </w:r>
    </w:p>
    <w:p>
      <w:pPr>
        <w:spacing w:after="0" w:line="218" w:lineRule="exact"/>
        <w:rPr>
          <w:sz w:val="20"/>
          <w:szCs w:val="20"/>
          <w:color w:val="auto"/>
        </w:rPr>
      </w:pPr>
    </w:p>
    <w:p>
      <w:pPr>
        <w:jc w:val="both"/>
        <w:ind w:left="860" w:hanging="488"/>
        <w:spacing w:after="0" w:line="347" w:lineRule="auto"/>
        <w:tabs>
          <w:tab w:leader="none" w:pos="860" w:val="left"/>
        </w:tabs>
        <w:numPr>
          <w:ilvl w:val="0"/>
          <w:numId w:val="46"/>
        </w:numPr>
        <w:rPr>
          <w:rFonts w:ascii="Arial" w:cs="Arial" w:eastAsia="Arial" w:hAnsi="Arial"/>
          <w:sz w:val="16"/>
          <w:szCs w:val="16"/>
          <w:color w:val="auto"/>
        </w:rPr>
      </w:pPr>
      <w:r>
        <w:rPr>
          <w:rFonts w:ascii="Arial" w:cs="Arial" w:eastAsia="Arial" w:hAnsi="Arial"/>
          <w:sz w:val="16"/>
          <w:szCs w:val="16"/>
          <w:b w:val="1"/>
          <w:bCs w:val="1"/>
          <w:color w:val="auto"/>
        </w:rPr>
        <w:t xml:space="preserve">Topical over-the-counter monotherapies </w:t>
      </w:r>
      <w:r>
        <w:rPr>
          <w:rFonts w:ascii="Arial" w:cs="Arial" w:eastAsia="Arial" w:hAnsi="Arial"/>
          <w:sz w:val="16"/>
          <w:szCs w:val="16"/>
          <w:color w:val="auto"/>
        </w:rPr>
        <w:t>such as adapalene 0.1%, benzoyl peroxide and salicylic acid, in different concentrations, are the</w:t>
      </w:r>
      <w:r>
        <w:rPr>
          <w:rFonts w:ascii="Arial" w:cs="Arial" w:eastAsia="Arial" w:hAnsi="Arial"/>
          <w:sz w:val="16"/>
          <w:szCs w:val="16"/>
          <w:b w:val="1"/>
          <w:bCs w:val="1"/>
          <w:color w:val="auto"/>
        </w:rPr>
        <w:t xml:space="preserve"> </w:t>
      </w:r>
      <w:r>
        <w:rPr>
          <w:rFonts w:ascii="Arial" w:cs="Arial" w:eastAsia="Arial" w:hAnsi="Arial"/>
          <w:sz w:val="16"/>
          <w:szCs w:val="16"/>
          <w:color w:val="auto"/>
        </w:rPr>
        <w:t>most commonly used therapies. These are generally tolerable first-line treatments for mild acne, but less efficacious than prescription therapies.</w:t>
      </w:r>
    </w:p>
    <w:p>
      <w:pPr>
        <w:spacing w:after="0" w:line="169" w:lineRule="exact"/>
        <w:rPr>
          <w:rFonts w:ascii="Arial" w:cs="Arial" w:eastAsia="Arial" w:hAnsi="Arial"/>
          <w:sz w:val="16"/>
          <w:szCs w:val="16"/>
          <w:color w:val="auto"/>
        </w:rPr>
      </w:pPr>
    </w:p>
    <w:p>
      <w:pPr>
        <w:ind w:left="860" w:right="20" w:hanging="488"/>
        <w:spacing w:after="0" w:line="282"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antibiotic monotherapies </w:t>
      </w:r>
      <w:r>
        <w:rPr>
          <w:rFonts w:ascii="Arial" w:cs="Arial" w:eastAsia="Arial" w:hAnsi="Arial"/>
          <w:sz w:val="18"/>
          <w:szCs w:val="18"/>
          <w:color w:val="auto"/>
        </w:rPr>
        <w:t>such as clindamycin and erythromycin that are most commonly used as topical therapies in</w:t>
      </w:r>
      <w:r>
        <w:rPr>
          <w:rFonts w:ascii="Arial" w:cs="Arial" w:eastAsia="Arial" w:hAnsi="Arial"/>
          <w:sz w:val="18"/>
          <w:szCs w:val="18"/>
          <w:b w:val="1"/>
          <w:bCs w:val="1"/>
          <w:color w:val="auto"/>
        </w:rPr>
        <w:t xml:space="preserve"> </w:t>
      </w:r>
      <w:r>
        <w:rPr>
          <w:rFonts w:ascii="Arial" w:cs="Arial" w:eastAsia="Arial" w:hAnsi="Arial"/>
          <w:sz w:val="18"/>
          <w:szCs w:val="18"/>
          <w:color w:val="auto"/>
        </w:rPr>
        <w:t>cases of mild-to-moderate acne.</w:t>
      </w:r>
    </w:p>
    <w:p>
      <w:pPr>
        <w:spacing w:after="0" w:line="215" w:lineRule="exact"/>
        <w:rPr>
          <w:rFonts w:ascii="Arial" w:cs="Arial" w:eastAsia="Arial" w:hAnsi="Arial"/>
          <w:sz w:val="18"/>
          <w:szCs w:val="18"/>
          <w:color w:val="auto"/>
        </w:rPr>
      </w:pPr>
    </w:p>
    <w:p>
      <w:pPr>
        <w:ind w:left="860" w:hanging="488"/>
        <w:spacing w:after="0" w:line="282"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b w:val="1"/>
          <w:bCs w:val="1"/>
          <w:color w:val="auto"/>
        </w:rPr>
        <w:t xml:space="preserve">Topical prescription retinoid monotherapies </w:t>
      </w:r>
      <w:r>
        <w:rPr>
          <w:rFonts w:ascii="Arial" w:cs="Arial" w:eastAsia="Arial" w:hAnsi="Arial"/>
          <w:sz w:val="18"/>
          <w:szCs w:val="18"/>
          <w:color w:val="auto"/>
        </w:rPr>
        <w:t>such as tretinoin, adapalene 0.3% and tazarotene. Physicians view retinoids as moderately</w:t>
      </w:r>
      <w:r>
        <w:rPr>
          <w:rFonts w:ascii="Arial" w:cs="Arial" w:eastAsia="Arial" w:hAnsi="Arial"/>
          <w:sz w:val="18"/>
          <w:szCs w:val="18"/>
          <w:b w:val="1"/>
          <w:bCs w:val="1"/>
          <w:color w:val="auto"/>
        </w:rPr>
        <w:t xml:space="preserve"> </w:t>
      </w:r>
      <w:r>
        <w:rPr>
          <w:rFonts w:ascii="Arial" w:cs="Arial" w:eastAsia="Arial" w:hAnsi="Arial"/>
          <w:sz w:val="18"/>
          <w:szCs w:val="18"/>
          <w:color w:val="auto"/>
        </w:rPr>
        <w:t>efficacious, but they have high rates of skin irritation.</w:t>
      </w:r>
    </w:p>
    <w:p>
      <w:pPr>
        <w:spacing w:after="0" w:line="215" w:lineRule="exact"/>
        <w:rPr>
          <w:rFonts w:ascii="Arial" w:cs="Arial" w:eastAsia="Arial" w:hAnsi="Arial"/>
          <w:sz w:val="18"/>
          <w:szCs w:val="18"/>
          <w:color w:val="auto"/>
        </w:rPr>
      </w:pPr>
    </w:p>
    <w:p>
      <w:pPr>
        <w:ind w:left="860" w:right="20" w:hanging="488"/>
        <w:spacing w:after="0" w:line="347" w:lineRule="auto"/>
        <w:tabs>
          <w:tab w:leader="none" w:pos="860" w:val="left"/>
        </w:tabs>
        <w:numPr>
          <w:ilvl w:val="0"/>
          <w:numId w:val="46"/>
        </w:numPr>
        <w:rPr>
          <w:rFonts w:ascii="Arial" w:cs="Arial" w:eastAsia="Arial" w:hAnsi="Arial"/>
          <w:sz w:val="16"/>
          <w:szCs w:val="16"/>
          <w:color w:val="auto"/>
        </w:rPr>
      </w:pPr>
      <w:r>
        <w:rPr>
          <w:rFonts w:ascii="Arial" w:cs="Arial" w:eastAsia="Arial" w:hAnsi="Arial"/>
          <w:sz w:val="16"/>
          <w:szCs w:val="16"/>
          <w:b w:val="1"/>
          <w:bCs w:val="1"/>
          <w:color w:val="auto"/>
        </w:rPr>
        <w:t xml:space="preserve">Topical prescription combination products </w:t>
      </w:r>
      <w:r>
        <w:rPr>
          <w:rFonts w:ascii="Arial" w:cs="Arial" w:eastAsia="Arial" w:hAnsi="Arial"/>
          <w:sz w:val="16"/>
          <w:szCs w:val="16"/>
          <w:color w:val="auto"/>
        </w:rPr>
        <w:t>such as combinations of BPO/adapalene, BPO/clindamycin, BPO/erythromycin and</w:t>
      </w:r>
      <w:r>
        <w:rPr>
          <w:rFonts w:ascii="Arial" w:cs="Arial" w:eastAsia="Arial" w:hAnsi="Arial"/>
          <w:sz w:val="16"/>
          <w:szCs w:val="16"/>
          <w:b w:val="1"/>
          <w:bCs w:val="1"/>
          <w:color w:val="auto"/>
        </w:rPr>
        <w:t xml:space="preserve"> </w:t>
      </w:r>
      <w:r>
        <w:rPr>
          <w:rFonts w:ascii="Arial" w:cs="Arial" w:eastAsia="Arial" w:hAnsi="Arial"/>
          <w:sz w:val="16"/>
          <w:szCs w:val="16"/>
          <w:color w:val="auto"/>
        </w:rPr>
        <w:t>clindamycin/tretinoin. These target multiple components that contribute to the development of acne, though topical side effects are common.</w:t>
      </w:r>
    </w:p>
    <w:p>
      <w:pPr>
        <w:spacing w:after="0" w:line="169" w:lineRule="exact"/>
        <w:rPr>
          <w:rFonts w:ascii="Arial" w:cs="Arial" w:eastAsia="Arial" w:hAnsi="Arial"/>
          <w:sz w:val="16"/>
          <w:szCs w:val="16"/>
          <w:color w:val="auto"/>
        </w:rPr>
      </w:pPr>
    </w:p>
    <w:p>
      <w:pPr>
        <w:ind w:left="860" w:hanging="488"/>
        <w:spacing w:after="0" w:line="282"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b w:val="1"/>
          <w:bCs w:val="1"/>
          <w:color w:val="auto"/>
        </w:rPr>
        <w:t xml:space="preserve">Oral prescription antibiotics </w:t>
      </w:r>
      <w:r>
        <w:rPr>
          <w:rFonts w:ascii="Arial" w:cs="Arial" w:eastAsia="Arial" w:hAnsi="Arial"/>
          <w:sz w:val="18"/>
          <w:szCs w:val="18"/>
          <w:color w:val="auto"/>
        </w:rPr>
        <w:t>such as doxycycline and minocycline. These are typically used as step-up treatments for more severe cases of</w:t>
      </w:r>
      <w:r>
        <w:rPr>
          <w:rFonts w:ascii="Arial" w:cs="Arial" w:eastAsia="Arial" w:hAnsi="Arial"/>
          <w:sz w:val="18"/>
          <w:szCs w:val="18"/>
          <w:b w:val="1"/>
          <w:bCs w:val="1"/>
          <w:color w:val="auto"/>
        </w:rPr>
        <w:t xml:space="preserve"> </w:t>
      </w:r>
      <w:r>
        <w:rPr>
          <w:rFonts w:ascii="Arial" w:cs="Arial" w:eastAsia="Arial" w:hAnsi="Arial"/>
          <w:sz w:val="18"/>
          <w:szCs w:val="18"/>
          <w:color w:val="auto"/>
        </w:rPr>
        <w:t>acne, with risk of systemic side effects.</w:t>
      </w:r>
    </w:p>
    <w:p>
      <w:pPr>
        <w:spacing w:after="0" w:line="215" w:lineRule="exact"/>
        <w:rPr>
          <w:rFonts w:ascii="Arial" w:cs="Arial" w:eastAsia="Arial" w:hAnsi="Arial"/>
          <w:sz w:val="18"/>
          <w:szCs w:val="18"/>
          <w:color w:val="auto"/>
        </w:rPr>
      </w:pPr>
    </w:p>
    <w:p>
      <w:pPr>
        <w:ind w:left="860" w:hanging="488"/>
        <w:spacing w:after="0" w:line="282" w:lineRule="auto"/>
        <w:tabs>
          <w:tab w:leader="none" w:pos="860" w:val="left"/>
        </w:tabs>
        <w:numPr>
          <w:ilvl w:val="0"/>
          <w:numId w:val="46"/>
        </w:numPr>
        <w:rPr>
          <w:rFonts w:ascii="Arial" w:cs="Arial" w:eastAsia="Arial" w:hAnsi="Arial"/>
          <w:sz w:val="18"/>
          <w:szCs w:val="18"/>
          <w:color w:val="auto"/>
        </w:rPr>
      </w:pPr>
      <w:r>
        <w:rPr>
          <w:rFonts w:ascii="Arial" w:cs="Arial" w:eastAsia="Arial" w:hAnsi="Arial"/>
          <w:sz w:val="18"/>
          <w:szCs w:val="18"/>
          <w:b w:val="1"/>
          <w:bCs w:val="1"/>
          <w:color w:val="auto"/>
        </w:rPr>
        <w:t>Oral prescription isotretinoin</w:t>
      </w:r>
      <w:r>
        <w:rPr>
          <w:rFonts w:ascii="Arial" w:cs="Arial" w:eastAsia="Arial" w:hAnsi="Arial"/>
          <w:sz w:val="18"/>
          <w:szCs w:val="18"/>
          <w:color w:val="auto"/>
        </w:rPr>
        <w:t>, which is primarily used for severe cystic acne and acne that has not responded to other treatments. The use of</w:t>
      </w:r>
      <w:r>
        <w:rPr>
          <w:rFonts w:ascii="Arial" w:cs="Arial" w:eastAsia="Arial" w:hAnsi="Arial"/>
          <w:sz w:val="18"/>
          <w:szCs w:val="18"/>
          <w:b w:val="1"/>
          <w:bCs w:val="1"/>
          <w:color w:val="auto"/>
        </w:rPr>
        <w:t xml:space="preserve"> </w:t>
      </w:r>
      <w:r>
        <w:rPr>
          <w:rFonts w:ascii="Arial" w:cs="Arial" w:eastAsia="Arial" w:hAnsi="Arial"/>
          <w:sz w:val="18"/>
          <w:szCs w:val="18"/>
          <w:color w:val="auto"/>
        </w:rPr>
        <w:t>oral prescription isotretinoin is tightly controlled due to tolerability issues.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Twyneo® for Acne</w:t>
      </w:r>
    </w:p>
    <w:p>
      <w:pPr>
        <w:spacing w:after="0" w:line="28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0"/>
          <w:szCs w:val="20"/>
          <w:color w:val="auto"/>
        </w:rPr>
        <w:t>Using our proprietary, silica-based microencapsulation technology platform, we are developing Twyneo</w:t>
      </w:r>
      <w:r>
        <w:rPr>
          <w:rFonts w:ascii="Arial" w:cs="Arial" w:eastAsia="Arial" w:hAnsi="Arial"/>
          <w:sz w:val="32"/>
          <w:szCs w:val="32"/>
          <w:color w:val="auto"/>
          <w:vertAlign w:val="superscript"/>
        </w:rPr>
        <w:t>®</w:t>
      </w:r>
      <w:r>
        <w:rPr>
          <w:rFonts w:ascii="Arial" w:cs="Arial" w:eastAsia="Arial" w:hAnsi="Arial"/>
          <w:sz w:val="20"/>
          <w:szCs w:val="20"/>
          <w:color w:val="auto"/>
        </w:rPr>
        <w:t xml:space="preserve"> to become a preferred treatment for acne by dermatologists and their patients. Our silica-based proprietary delivery system is designed to enhance the tolerability and stability of topical drugs while maintaining their efficacy. Topical drugs often struggle to balance achieving both high efficacy and high tolerability. Our technology platform entraps active ingredients in an inert silica shell, which creates an unnoticeable barrier between the active ingredient and the skin. The resulting microcapsules are designed to allow the entrapped active ingredients to gradually migrate through the pores of the shell and deliver active ingredient doses into the skin in a controlled manner, resulting in improved tolerability and stability without sacrificing efficacy.</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59" w:name="page60"/>
    <w:bookmarkEnd w:id="59"/>
    <w:p>
      <w:pPr>
        <w:jc w:val="both"/>
        <w:ind w:firstLine="648"/>
        <w:spacing w:after="0" w:line="234" w:lineRule="auto"/>
        <w:rPr>
          <w:sz w:val="20"/>
          <w:szCs w:val="20"/>
          <w:color w:val="auto"/>
        </w:rPr>
      </w:pPr>
      <w:r>
        <w:rPr>
          <w:rFonts w:ascii="Arial" w:cs="Arial" w:eastAsia="Arial" w:hAnsi="Arial"/>
          <w:sz w:val="22"/>
          <w:szCs w:val="22"/>
          <w:color w:val="auto"/>
        </w:rPr>
        <w:t>We believe that Twyneo</w:t>
      </w:r>
      <w:r>
        <w:rPr>
          <w:rFonts w:ascii="Arial" w:cs="Arial" w:eastAsia="Arial" w:hAnsi="Arial"/>
          <w:sz w:val="35"/>
          <w:szCs w:val="35"/>
          <w:color w:val="auto"/>
          <w:vertAlign w:val="superscript"/>
        </w:rPr>
        <w:t>®</w:t>
      </w:r>
      <w:r>
        <w:rPr>
          <w:rFonts w:ascii="Arial" w:cs="Arial" w:eastAsia="Arial" w:hAnsi="Arial"/>
          <w:sz w:val="22"/>
          <w:szCs w:val="22"/>
          <w:color w:val="auto"/>
        </w:rPr>
        <w:t>, a fixed-dose combination of a cream containing encapsulated benzoyl peroxide and encapsulated tretinoin, has the potential to solve the industry-wide challenge of stabilizing tretinoin in the presence of benzoyl peroxide, a combination known to be effective in acne therapy, but not previously conveniently co-administered. While benzoyl peroxide slows the proliferation of P. acnes, tretinoin regulates hyperkeratinization and abnormal desquamation of follicular epithelium. This creates a synergistic combination which has the potential to overcome the challenges faced by currently approved products.</w:t>
      </w:r>
    </w:p>
    <w:p>
      <w:pPr>
        <w:spacing w:after="0" w:line="255" w:lineRule="exact"/>
        <w:rPr>
          <w:sz w:val="20"/>
          <w:szCs w:val="20"/>
          <w:color w:val="auto"/>
        </w:rPr>
      </w:pPr>
    </w:p>
    <w:p>
      <w:pPr>
        <w:ind w:left="860" w:right="20" w:hanging="488"/>
        <w:spacing w:after="0" w:line="211" w:lineRule="auto"/>
        <w:tabs>
          <w:tab w:leader="none" w:pos="8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We designed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to protect tretinoin from oxidative decomposition, which occurs when it is combined with benzoyl peroxide, with the goal of enhancing stability without reducing efficacy. We believe this could allow for a suitable clinical and commercial shelf life.</w:t>
      </w:r>
    </w:p>
    <w:p>
      <w:pPr>
        <w:spacing w:after="0" w:line="247" w:lineRule="exact"/>
        <w:rPr>
          <w:rFonts w:ascii="Arial" w:cs="Arial" w:eastAsia="Arial" w:hAnsi="Arial"/>
          <w:sz w:val="17"/>
          <w:szCs w:val="17"/>
          <w:color w:val="auto"/>
        </w:rPr>
      </w:pPr>
    </w:p>
    <w:p>
      <w:pPr>
        <w:ind w:left="860" w:hanging="488"/>
        <w:spacing w:after="0" w:line="211" w:lineRule="auto"/>
        <w:tabs>
          <w:tab w:leader="none" w:pos="860" w:val="left"/>
        </w:tabs>
        <w:numPr>
          <w:ilvl w:val="0"/>
          <w:numId w:val="47"/>
        </w:numPr>
        <w:rPr>
          <w:rFonts w:ascii="Arial" w:cs="Arial" w:eastAsia="Arial" w:hAnsi="Arial"/>
          <w:sz w:val="17"/>
          <w:szCs w:val="17"/>
          <w:color w:val="auto"/>
        </w:rPr>
      </w:pPr>
      <w:r>
        <w:rPr>
          <w:rFonts w:ascii="Arial" w:cs="Arial" w:eastAsia="Arial" w:hAnsi="Arial"/>
          <w:sz w:val="17"/>
          <w:szCs w:val="17"/>
          <w:color w:val="auto"/>
        </w:rPr>
        <w:t>The silica shell creates a barrier between the two drug substances and the skin. As a result, we believe Twyneo</w:t>
      </w:r>
      <w:r>
        <w:rPr>
          <w:rFonts w:ascii="Arial" w:cs="Arial" w:eastAsia="Arial" w:hAnsi="Arial"/>
          <w:sz w:val="28"/>
          <w:szCs w:val="28"/>
          <w:color w:val="auto"/>
          <w:vertAlign w:val="superscript"/>
        </w:rPr>
        <w:t>®</w:t>
      </w:r>
      <w:r>
        <w:rPr>
          <w:rFonts w:ascii="Arial" w:cs="Arial" w:eastAsia="Arial" w:hAnsi="Arial"/>
          <w:sz w:val="17"/>
          <w:szCs w:val="17"/>
          <w:color w:val="auto"/>
        </w:rPr>
        <w:t xml:space="preserve"> can reduce irritation typically associated with topical application of benzoyl peroxide and tretinoin, leading to greater tolerability to acne-affected skin.</w:t>
      </w:r>
    </w:p>
    <w:p>
      <w:pPr>
        <w:spacing w:after="0" w:line="263"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Twyneo® Phase III Trial Design</w:t>
      </w:r>
    </w:p>
    <w:p>
      <w:pPr>
        <w:spacing w:after="0" w:line="281" w:lineRule="exact"/>
        <w:rPr>
          <w:sz w:val="20"/>
          <w:szCs w:val="20"/>
          <w:color w:val="auto"/>
        </w:rPr>
      </w:pPr>
    </w:p>
    <w:p>
      <w:pPr>
        <w:jc w:val="both"/>
        <w:ind w:firstLine="646"/>
        <w:spacing w:after="0" w:line="234" w:lineRule="auto"/>
        <w:rPr>
          <w:sz w:val="20"/>
          <w:szCs w:val="20"/>
          <w:color w:val="auto"/>
        </w:rPr>
      </w:pPr>
      <w:r>
        <w:rPr>
          <w:rFonts w:ascii="Arial" w:cs="Arial" w:eastAsia="Arial" w:hAnsi="Arial"/>
          <w:sz w:val="21"/>
          <w:szCs w:val="21"/>
          <w:color w:val="auto"/>
        </w:rPr>
        <w:t>The pivotal Phase III clinical program evaluating the safety and efficacy of Twyneo</w:t>
      </w:r>
      <w:r>
        <w:rPr>
          <w:rFonts w:ascii="Arial" w:cs="Arial" w:eastAsia="Arial" w:hAnsi="Arial"/>
          <w:sz w:val="34"/>
          <w:szCs w:val="34"/>
          <w:color w:val="auto"/>
          <w:vertAlign w:val="superscript"/>
        </w:rPr>
        <w:t>®</w:t>
      </w:r>
      <w:r>
        <w:rPr>
          <w:rFonts w:ascii="Arial" w:cs="Arial" w:eastAsia="Arial" w:hAnsi="Arial"/>
          <w:sz w:val="21"/>
          <w:szCs w:val="21"/>
          <w:color w:val="auto"/>
        </w:rPr>
        <w:t xml:space="preserve"> in subjects with acne vulgaris enrolled an aggregate of 858 patients aged nine and older, with moderate-to-severe acne in two multicenter, randomized, double-blind, parallel group, vehicle-controlled trials at 63 sites across the United States. Patients were randomized at a 2:1 ratio to be treated once-daily with either Twyneo (n=571) or vehicle cream (n=287) for 12 weeks.</w:t>
      </w:r>
    </w:p>
    <w:p>
      <w:pPr>
        <w:spacing w:after="0" w:line="26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primary and secondary efficacy endpoints were assessed at the end of the 12-week treatment period. Three primary efficacy endpoints were defined for this trial:</w:t>
      </w:r>
    </w:p>
    <w:p>
      <w:pPr>
        <w:spacing w:after="0" w:line="222" w:lineRule="exact"/>
        <w:rPr>
          <w:sz w:val="20"/>
          <w:szCs w:val="20"/>
          <w:color w:val="auto"/>
        </w:rPr>
      </w:pPr>
    </w:p>
    <w:p>
      <w:pPr>
        <w:ind w:left="860" w:hanging="488"/>
        <w:spacing w:after="0"/>
        <w:tabs>
          <w:tab w:leader="none" w:pos="8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proportion of subjects who achieve at least a two-grade reduction in the IGA score and either “clear” or “almost clear” at week 12;</w:t>
      </w:r>
    </w:p>
    <w:p>
      <w:pPr>
        <w:spacing w:after="0" w:line="290" w:lineRule="exact"/>
        <w:rPr>
          <w:rFonts w:ascii="Arial" w:cs="Arial" w:eastAsia="Arial" w:hAnsi="Arial"/>
          <w:sz w:val="17"/>
          <w:szCs w:val="17"/>
          <w:color w:val="auto"/>
        </w:rPr>
      </w:pPr>
    </w:p>
    <w:p>
      <w:pPr>
        <w:ind w:left="860" w:hanging="488"/>
        <w:spacing w:after="0"/>
        <w:tabs>
          <w:tab w:leader="none" w:pos="8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inflammatory acne lesions at week 12;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mean absolute change from baseline in the number of non-inflammatory acne lesions at week 12.</w:t>
      </w:r>
    </w:p>
    <w:p>
      <w:pPr>
        <w:spacing w:after="0" w:line="28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Twyneo® Phase III Trial Results</w:t>
      </w:r>
    </w:p>
    <w:p>
      <w:pPr>
        <w:spacing w:after="0" w:line="287" w:lineRule="exact"/>
        <w:rPr>
          <w:sz w:val="20"/>
          <w:szCs w:val="20"/>
          <w:color w:val="auto"/>
        </w:rPr>
      </w:pPr>
    </w:p>
    <w:p>
      <w:pPr>
        <w:ind w:right="720" w:firstLine="648"/>
        <w:spacing w:after="0" w:line="276" w:lineRule="auto"/>
        <w:rPr>
          <w:sz w:val="20"/>
          <w:szCs w:val="20"/>
          <w:color w:val="auto"/>
        </w:rPr>
      </w:pPr>
      <w:r>
        <w:rPr>
          <w:rFonts w:ascii="Arial" w:cs="Arial" w:eastAsia="Arial" w:hAnsi="Arial"/>
          <w:sz w:val="22"/>
          <w:szCs w:val="22"/>
          <w:color w:val="auto"/>
        </w:rPr>
        <w:t>As outlined below Twyneo met all co-primary endpoints in both Phase 3 trials. Twyneo demonstrated statistically significant improvement in each of the co-primary endpoints described above.</w:t>
      </w:r>
    </w:p>
    <w:p>
      <w:pPr>
        <w:spacing w:after="0" w:line="228" w:lineRule="exact"/>
        <w:rPr>
          <w:sz w:val="20"/>
          <w:szCs w:val="20"/>
          <w:color w:val="auto"/>
        </w:rPr>
      </w:pPr>
    </w:p>
    <w:p>
      <w:pPr>
        <w:jc w:val="both"/>
        <w:ind w:firstLine="638"/>
        <w:spacing w:after="0" w:line="305" w:lineRule="auto"/>
        <w:rPr>
          <w:sz w:val="20"/>
          <w:szCs w:val="20"/>
          <w:color w:val="auto"/>
        </w:rPr>
      </w:pPr>
      <w:r>
        <w:rPr>
          <w:rFonts w:ascii="Arial" w:cs="Arial" w:eastAsia="Arial" w:hAnsi="Arial"/>
          <w:sz w:val="19"/>
          <w:szCs w:val="19"/>
          <w:color w:val="auto"/>
        </w:rPr>
        <w:t>In trial SGT-65-04, 38.5% of patients treated with Twyneo achieved success in IGA versus 11.5% in the vehicle treated group (P&lt;0.001) at week 12. In trial SGT-65-05, 25.4% of patients treated with Twyneo achieved success in IGA versus 14.7% in the vehicle group (P=0.017) at week 12. In trial SGT-65-04, the absolute mean change from baseline of inflammatory lesion count for Twyneo was -21.6 versus -14.8 for the vehicle group (P&lt;0.001) at week 12. In trial SGT-65-05, the absolute change from baseline of inflammatory lesion count for Twyneo was -16.2 versus -14.1 for the vehicle group (P=0.021) at week 12. In trial SGT-65-04, the absolute mean change from baseline of non-inflammatory lesion count for Twyneo was -29.7 versus -19.8 for the vehicle group (P&lt;0.001). In trial SGT-65-05, the absolute mean change from baseline of non-inflammatory lesion count for Twyneo was -24.2 versus -17.4 for the vehicle group (P&lt;0.001) at week 12.</w:t>
      </w:r>
    </w:p>
    <w:p>
      <w:pPr>
        <w:spacing w:after="0" w:line="20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In both trials, Twyneo appeared to be generally safe and well-tolerated and the majority of local skin reactions, when reported, were mild or moderate and improved over time. A total of 18 subjects discontinued treatment in both trials due to treatment emergent adverse events. There were no treatment-related serious adverse events and four unrelated serious adverse events (one Twyneo (depression), three vehicle) were reported across both trials.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60" w:name="page61"/>
    <w:bookmarkEnd w:id="60"/>
    <w:p>
      <w:pPr>
        <w:ind w:firstLine="648"/>
        <w:spacing w:after="0" w:line="301" w:lineRule="auto"/>
        <w:rPr>
          <w:sz w:val="20"/>
          <w:szCs w:val="20"/>
          <w:color w:val="auto"/>
        </w:rPr>
      </w:pPr>
      <w:r>
        <w:rPr>
          <w:rFonts w:ascii="Arial" w:cs="Arial" w:eastAsia="Arial" w:hAnsi="Arial"/>
          <w:sz w:val="21"/>
          <w:szCs w:val="21"/>
          <w:color w:val="auto"/>
        </w:rPr>
        <w:t>The following chart presents the proportion of subjects in the ITT population in studies SGT 65-04 and SGT 65-05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1179195</wp:posOffset>
            </wp:positionH>
            <wp:positionV relativeFrom="paragraph">
              <wp:posOffset>306070</wp:posOffset>
            </wp:positionV>
            <wp:extent cx="4783455" cy="19977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4783455" cy="19977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chart presents the absolute mean change from baseline in the number of inflammatory acne lesions at week</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1068070</wp:posOffset>
            </wp:positionH>
            <wp:positionV relativeFrom="paragraph">
              <wp:posOffset>184785</wp:posOffset>
            </wp:positionV>
            <wp:extent cx="5015230" cy="23749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015230" cy="2374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61" w:name="page62"/>
    <w:bookmarkEnd w:id="61"/>
    <w:p>
      <w:pPr>
        <w:ind w:firstLine="644"/>
        <w:spacing w:after="0" w:line="276" w:lineRule="auto"/>
        <w:rPr>
          <w:sz w:val="20"/>
          <w:szCs w:val="20"/>
          <w:color w:val="auto"/>
        </w:rPr>
      </w:pPr>
      <w:r>
        <w:rPr>
          <w:rFonts w:ascii="Arial" w:cs="Arial" w:eastAsia="Arial" w:hAnsi="Arial"/>
          <w:sz w:val="22"/>
          <w:szCs w:val="22"/>
          <w:color w:val="auto"/>
        </w:rPr>
        <w:t>The following chart presents the absolute mean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1097915</wp:posOffset>
            </wp:positionH>
            <wp:positionV relativeFrom="paragraph">
              <wp:posOffset>149860</wp:posOffset>
            </wp:positionV>
            <wp:extent cx="4928870" cy="28886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4928870" cy="28886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50165</wp:posOffset>
            </wp:positionV>
            <wp:extent cx="71323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40" w:top="402" w:right="339" w:bottom="1440" w:gutter="0" w:footer="0" w:header="0"/>
        </w:sectPr>
      </w:pPr>
    </w:p>
    <w:bookmarkStart w:id="62" w:name="page63"/>
    <w:bookmarkEnd w:id="62"/>
    <w:p>
      <w:pPr>
        <w:jc w:val="both"/>
        <w:ind w:firstLine="648"/>
        <w:spacing w:after="0" w:line="224" w:lineRule="auto"/>
        <w:rPr>
          <w:sz w:val="20"/>
          <w:szCs w:val="20"/>
          <w:color w:val="auto"/>
        </w:rPr>
      </w:pPr>
      <w:r>
        <w:rPr>
          <w:rFonts w:ascii="Arial" w:cs="Arial" w:eastAsia="Arial" w:hAnsi="Arial"/>
          <w:sz w:val="22"/>
          <w:szCs w:val="22"/>
          <w:color w:val="auto"/>
        </w:rPr>
        <w:t>We also assessed cutaneous tolerability by recording the erythema (redness), scaling, pigmentation, dryness, itching, burning and stinging on a four-point scale from 0 to 3 at baseline and at each visit. These measurements are either measured by the physician or reported by the subject. Overall, Twyneo</w:t>
      </w:r>
      <w:r>
        <w:rPr>
          <w:rFonts w:ascii="Arial" w:cs="Arial" w:eastAsia="Arial" w:hAnsi="Arial"/>
          <w:sz w:val="35"/>
          <w:szCs w:val="35"/>
          <w:color w:val="auto"/>
          <w:vertAlign w:val="superscript"/>
        </w:rPr>
        <w:t>®</w:t>
      </w:r>
      <w:r>
        <w:rPr>
          <w:rFonts w:ascii="Arial" w:cs="Arial" w:eastAsia="Arial" w:hAnsi="Arial"/>
          <w:sz w:val="22"/>
          <w:szCs w:val="22"/>
          <w:color w:val="auto"/>
        </w:rPr>
        <w:t xml:space="preserve"> was generally well tolerated. The majority of cutaneous adverse events were mild.</w:t>
      </w:r>
    </w:p>
    <w:p>
      <w:pPr>
        <w:spacing w:after="0" w:line="266" w:lineRule="exact"/>
        <w:rPr>
          <w:sz w:val="20"/>
          <w:szCs w:val="20"/>
          <w:color w:val="auto"/>
        </w:rPr>
      </w:pPr>
    </w:p>
    <w:p>
      <w:pPr>
        <w:ind w:right="60" w:firstLine="648"/>
        <w:spacing w:after="0" w:line="262" w:lineRule="auto"/>
        <w:rPr>
          <w:sz w:val="20"/>
          <w:szCs w:val="20"/>
          <w:color w:val="auto"/>
        </w:rPr>
      </w:pPr>
      <w:r>
        <w:rPr>
          <w:rFonts w:ascii="Arial" w:cs="Arial" w:eastAsia="Arial" w:hAnsi="Arial"/>
          <w:sz w:val="22"/>
          <w:szCs w:val="22"/>
          <w:color w:val="auto"/>
        </w:rPr>
        <w:t>Out of the 858 subjects who enrolled in both studies, 754 subjects were included in the safety population, and a combined total of 16 subjects discontinued treatment due to an adverse event across both trials. The most common reasons for subjects not completing the study in both groups (active and vehicle) were the withdrawal of informed consent (41 subjects, 4.8%), and loss to follow-up (39 subjects, 4.5%).</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Epsolay® for Subtype II Rosacea</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Epsolay® </w:t>
      </w:r>
      <w:r>
        <w:rPr>
          <w:rFonts w:ascii="Arial" w:cs="Arial" w:eastAsia="Arial" w:hAnsi="Arial"/>
          <w:sz w:val="22"/>
          <w:szCs w:val="22"/>
          <w:i w:val="1"/>
          <w:iCs w:val="1"/>
          <w:color w:val="auto"/>
        </w:rPr>
        <w:t>Overview</w:t>
      </w:r>
    </w:p>
    <w:p>
      <w:pPr>
        <w:spacing w:after="0" w:line="287" w:lineRule="exact"/>
        <w:rPr>
          <w:sz w:val="20"/>
          <w:szCs w:val="20"/>
          <w:color w:val="auto"/>
        </w:rPr>
      </w:pPr>
    </w:p>
    <w:p>
      <w:pPr>
        <w:jc w:val="both"/>
        <w:ind w:firstLine="648"/>
        <w:spacing w:after="0" w:line="299" w:lineRule="auto"/>
        <w:rPr>
          <w:sz w:val="20"/>
          <w:szCs w:val="20"/>
          <w:color w:val="auto"/>
        </w:rPr>
      </w:pPr>
      <w:r>
        <w:rPr>
          <w:rFonts w:ascii="Arial" w:cs="Arial" w:eastAsia="Arial" w:hAnsi="Arial"/>
          <w:sz w:val="19"/>
          <w:szCs w:val="19"/>
          <w:color w:val="auto"/>
        </w:rPr>
        <w:t>Epsolay® is a once-daily topical cream containing 5% encapsulated benzoyl peroxide that we are developing for the treatment of subtype II rosacea. We believe Epsolay® has the potential to become the first product to contain encapsulated benzoyl peroxide for the treatment of subtype II rosacea and, if approved,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In 2012, we completed a 92 subject, randomized, multi-center, double-blind, vehicle-controlled Phase II trial for Epsolay® in the United States that demonstrated statistically significant improvements compared to vehicle in achieving the IGA success co-primary efficacy endpoint and in reducing papulopustular-lesions based on the percentage change in the inflammatory lesion count from baseline at week 12. In addition, the tolerability profile of Epsolay® was similar to that of vehicle. We expect that Epsolay®, if approved, will compete directly with Soolantra. We expect to utilize the FDA’s 505(b)(2) regulatory pathway in seeking approval of Epsolay® in the United States.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On February 12, 2020, we announced positive topline results from our open-label, long-term safety study, evaluating Epsolay® for a treatment duration up to 52 weeks. We intend to submit an NDA to the FDA for marketing approval of Epsolay in the first half 2020.</w:t>
      </w:r>
    </w:p>
    <w:p>
      <w:pPr>
        <w:spacing w:after="0" w:line="200" w:lineRule="exact"/>
        <w:rPr>
          <w:sz w:val="20"/>
          <w:szCs w:val="20"/>
          <w:color w:val="auto"/>
        </w:rPr>
      </w:pPr>
    </w:p>
    <w:p>
      <w:pPr>
        <w:spacing w:after="0" w:line="296"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Rosacea is a chronic skin disease characterized by persistent facial erythema (redness) and temporary inflammatory lesions (papules, pustules or both). Often misdiagnosed as acne vulgaris due to similarities between inflammatory acne lesions and rosacea lesions and the potential for disfigurement, rosacea is gradually increasing in visibility as a disease. The most prominent age group affected includes adults age 30 and above, with stronger prevalence across women and adults with fair skin.</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Current Treatment Landscape for Subtype II Rosacea</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four approved drugs for the treatment of subtype II rosacea: Soolantra, Metrogel, Oracea and generic metronidazole. In certain cases, dermatologists often prescribe oral antibiotics either as monotherapies or in conjunction with approved medications.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63" w:name="page64"/>
    <w:bookmarkEnd w:id="63"/>
    <w:p>
      <w:pPr>
        <w:spacing w:after="0"/>
        <w:rPr>
          <w:sz w:val="20"/>
          <w:szCs w:val="20"/>
          <w:color w:val="auto"/>
        </w:rPr>
      </w:pPr>
      <w:r>
        <w:rPr>
          <w:rFonts w:ascii="Arial" w:cs="Arial" w:eastAsia="Arial" w:hAnsi="Arial"/>
          <w:sz w:val="22"/>
          <w:szCs w:val="22"/>
          <w:i w:val="1"/>
          <w:iCs w:val="1"/>
          <w:color w:val="auto"/>
        </w:rPr>
        <w:t>Our Solution for Subtype II Rosacea — Epsolay®</w:t>
      </w:r>
    </w:p>
    <w:p>
      <w:pPr>
        <w:spacing w:after="0" w:line="28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Epsolay® candidate for the treatment of subtype II rosacea can improve on current subtype II rosacea treatments in the following ways:</w:t>
      </w:r>
    </w:p>
    <w:p>
      <w:pPr>
        <w:spacing w:after="0" w:line="229" w:lineRule="exact"/>
        <w:rPr>
          <w:sz w:val="20"/>
          <w:szCs w:val="20"/>
          <w:color w:val="auto"/>
        </w:rPr>
      </w:pPr>
    </w:p>
    <w:p>
      <w:pPr>
        <w:ind w:left="860" w:hanging="488"/>
        <w:spacing w:after="0" w:line="308" w:lineRule="auto"/>
        <w:tabs>
          <w:tab w:leader="none" w:pos="860" w:val="left"/>
        </w:tabs>
        <w:numPr>
          <w:ilvl w:val="0"/>
          <w:numId w:val="49"/>
        </w:numPr>
        <w:rPr>
          <w:rFonts w:ascii="Arial" w:cs="Arial" w:eastAsia="Arial" w:hAnsi="Arial"/>
          <w:sz w:val="17"/>
          <w:szCs w:val="17"/>
          <w:color w:val="auto"/>
        </w:rPr>
      </w:pPr>
      <w:r>
        <w:rPr>
          <w:rFonts w:ascii="Arial" w:cs="Arial" w:eastAsia="Arial" w:hAnsi="Arial"/>
          <w:sz w:val="17"/>
          <w:szCs w:val="17"/>
          <w:color w:val="auto"/>
        </w:rPr>
        <w:t>Epsolay®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200" w:lineRule="exact"/>
        <w:rPr>
          <w:rFonts w:ascii="Arial" w:cs="Arial" w:eastAsia="Arial" w:hAnsi="Arial"/>
          <w:sz w:val="17"/>
          <w:szCs w:val="17"/>
          <w:color w:val="auto"/>
        </w:rPr>
      </w:pPr>
    </w:p>
    <w:p>
      <w:pPr>
        <w:ind w:left="860" w:hanging="488"/>
        <w:spacing w:after="0"/>
        <w:tabs>
          <w:tab w:leader="none" w:pos="860" w:val="left"/>
        </w:tabs>
        <w:numPr>
          <w:ilvl w:val="0"/>
          <w:numId w:val="49"/>
        </w:numPr>
        <w:rPr>
          <w:rFonts w:ascii="Arial" w:cs="Arial" w:eastAsia="Arial" w:hAnsi="Arial"/>
          <w:sz w:val="18"/>
          <w:szCs w:val="18"/>
          <w:color w:val="auto"/>
        </w:rPr>
      </w:pPr>
      <w:r>
        <w:rPr>
          <w:rFonts w:ascii="Arial" w:cs="Arial" w:eastAsia="Arial" w:hAnsi="Arial"/>
          <w:sz w:val="18"/>
          <w:szCs w:val="18"/>
          <w:color w:val="auto"/>
        </w:rPr>
        <w:t>Epsolay®'s release of the drug can reduce irritation while maintaining efficacy.</w:t>
      </w:r>
    </w:p>
    <w:p>
      <w:pPr>
        <w:spacing w:after="0" w:line="2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Epsolay® is an innovative topical cream, and if approved, would be the first product containing benzoyl peroxide for the treatment of subtype II rosacea.</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Epsolay® Phase III Trial Design</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In June 2018, we announced dosing of the first subject in our pivotal Phase III clinical program of Epsolay® in subjects with papulopustular rosacea. The program enrolled 733 patients aged 18 and older in two identical, double-blind, vehicle-controlled Phase 3 clinical trials at 54 sites across the United States. Patients were randomized at a 2:1 ratio to be treated once-daily with either Epsolay (n=493) or vehicle cream (n=240) for 12 weeks. After the initiation of treatment, clinical and safety evaluations were performed at Weeks 2, 4, 6, 8 and 12.</w:t>
      </w:r>
    </w:p>
    <w:p>
      <w:pPr>
        <w:spacing w:after="0" w:line="245"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The primary efficacy endpoints for both trials were success in the IGA defined as two-grade reduction in IGA on a stage of 0 to 4 with a “clear” (0) or “almost clear” (1) at week 12, and a reduction in mean inflammatory lesion count at week 12.</w:t>
      </w:r>
    </w:p>
    <w:p>
      <w:pPr>
        <w:spacing w:after="0" w:line="15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Epsolay® Phase III Trial Results</w:t>
      </w:r>
    </w:p>
    <w:p>
      <w:pPr>
        <w:spacing w:after="0" w:line="287" w:lineRule="exact"/>
        <w:rPr>
          <w:sz w:val="20"/>
          <w:szCs w:val="20"/>
          <w:color w:val="auto"/>
        </w:rPr>
      </w:pPr>
    </w:p>
    <w:p>
      <w:pPr>
        <w:jc w:val="both"/>
        <w:ind w:firstLine="646"/>
        <w:spacing w:after="0" w:line="276" w:lineRule="auto"/>
        <w:rPr>
          <w:sz w:val="20"/>
          <w:szCs w:val="20"/>
          <w:color w:val="auto"/>
        </w:rPr>
      </w:pPr>
      <w:r>
        <w:rPr>
          <w:rFonts w:ascii="Arial" w:cs="Arial" w:eastAsia="Arial" w:hAnsi="Arial"/>
          <w:sz w:val="21"/>
          <w:szCs w:val="21"/>
          <w:color w:val="auto"/>
        </w:rPr>
        <w:t>As outlined below, Epsolay demonstrated statistically significant improvement in both co-primary endpoints of (1) the number of patients achieving “clear” or “almost clear” in the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Epsolay demonstrated a favorable safety and tolerability profile similar to vehicle.</w:t>
      </w:r>
    </w:p>
    <w:p>
      <w:pPr>
        <w:spacing w:after="0" w:line="231" w:lineRule="exact"/>
        <w:rPr>
          <w:sz w:val="20"/>
          <w:szCs w:val="20"/>
          <w:color w:val="auto"/>
        </w:rPr>
      </w:pPr>
    </w:p>
    <w:p>
      <w:pPr>
        <w:jc w:val="both"/>
        <w:ind w:firstLine="638"/>
        <w:spacing w:after="0" w:line="308" w:lineRule="auto"/>
        <w:rPr>
          <w:sz w:val="20"/>
          <w:szCs w:val="20"/>
          <w:color w:val="auto"/>
        </w:rPr>
      </w:pPr>
      <w:r>
        <w:rPr>
          <w:rFonts w:ascii="Arial" w:cs="Arial" w:eastAsia="Arial" w:hAnsi="Arial"/>
          <w:sz w:val="19"/>
          <w:szCs w:val="19"/>
          <w:color w:val="auto"/>
        </w:rPr>
        <w:t>In study SGT 54-01, patients in the Epsolay and vehicle treatment groups had a baseline mean inflammatory lesion count of 25.7 and 26.3, respectively. The proportion of patients with “moderate” (3) or “severe” (4) IGA in the Epsolay treatment group was 86.4% and 13.6%, respectively, and 88.1% and 11.9%, respectively, in the vehicle treatment group. In study SGT 54-02, patients in Epsolay and vehicle treatment groups had a baseline mean inflammatory lesion count of 29.8 and 27.5, respectively. The proportion of patients with “moderate” (3) or “severe” (4) IGA in the Epsolay treatment group was 90.8% and 9.2%, respectively, and 91.8% and 8.2%, respectively, in the vehicle treatment group.</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64" w:name="page65"/>
    <w:bookmarkEnd w:id="64"/>
    <w:p>
      <w:pPr>
        <w:ind w:right="680" w:firstLine="648"/>
        <w:spacing w:after="0" w:line="276" w:lineRule="auto"/>
        <w:rPr>
          <w:sz w:val="20"/>
          <w:szCs w:val="20"/>
          <w:color w:val="auto"/>
        </w:rPr>
      </w:pPr>
      <w:r>
        <w:rPr>
          <w:rFonts w:ascii="Arial" w:cs="Arial" w:eastAsia="Arial" w:hAnsi="Arial"/>
          <w:sz w:val="22"/>
          <w:szCs w:val="22"/>
          <w:color w:val="auto"/>
        </w:rPr>
        <w:t>As outlined below, Epsolay met all co-primary endpoints in both Phase 3 trials. Epsolay demonstrated statistically significant improvement in each of the co-primary endpoints described above.</w:t>
      </w:r>
    </w:p>
    <w:p>
      <w:pPr>
        <w:spacing w:after="0" w:line="228" w:lineRule="exact"/>
        <w:rPr>
          <w:sz w:val="20"/>
          <w:szCs w:val="20"/>
          <w:color w:val="auto"/>
        </w:rPr>
      </w:pPr>
    </w:p>
    <w:p>
      <w:pPr>
        <w:jc w:val="both"/>
        <w:ind w:firstLine="638"/>
        <w:spacing w:after="0" w:line="311" w:lineRule="auto"/>
        <w:rPr>
          <w:sz w:val="20"/>
          <w:szCs w:val="20"/>
          <w:color w:val="auto"/>
        </w:rPr>
      </w:pPr>
      <w:r>
        <w:rPr>
          <w:rFonts w:ascii="Arial" w:cs="Arial" w:eastAsia="Arial" w:hAnsi="Arial"/>
          <w:sz w:val="19"/>
          <w:szCs w:val="19"/>
          <w:color w:val="auto"/>
        </w:rPr>
        <w:t>In study SGT 54-01, 43.5% of patients treated with Epsolay achieved success in IGA versus 16.1% in the vehicle treated group (P&lt;0.001) at week 12. In Study 54-02, 50.1% of patients treated with Epsolay achieved success in IGA versus 25.9% in the vehicle group (P&lt;0.001) at week 12. In study SGT 54-01, the absolute change from baseline of inflammatory lesion count for Epsolay was -17.4 versus -9.5 for the vehicle group (P&lt;0.001) at week 12. In study SGT 54-02, the absolute change from baseline of inflammatory lesion count for Epsolay was -20.3 versus -13.3 for the vehicle group (P&lt;0.001) at week 12.</w:t>
      </w:r>
    </w:p>
    <w:p>
      <w:pPr>
        <w:spacing w:after="0" w:line="204"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The following chart presents the proportion of subjects in the ITT population in studies SGT 54-01 and SGT 54-02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1676400</wp:posOffset>
            </wp:positionH>
            <wp:positionV relativeFrom="paragraph">
              <wp:posOffset>134620</wp:posOffset>
            </wp:positionV>
            <wp:extent cx="4269105" cy="21177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4269105" cy="2117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chart presents the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1668145</wp:posOffset>
            </wp:positionH>
            <wp:positionV relativeFrom="paragraph">
              <wp:posOffset>380365</wp:posOffset>
            </wp:positionV>
            <wp:extent cx="4286250" cy="22028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4286250" cy="2202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72" w:right="339" w:bottom="1440" w:gutter="0" w:footer="0" w:header="0"/>
        </w:sectPr>
      </w:pPr>
    </w:p>
    <w:bookmarkStart w:id="65" w:name="page66"/>
    <w:bookmarkEnd w:id="65"/>
    <w:p>
      <w:pPr>
        <w:ind w:left="660"/>
        <w:spacing w:after="0"/>
        <w:rPr>
          <w:sz w:val="20"/>
          <w:szCs w:val="20"/>
          <w:color w:val="auto"/>
        </w:rPr>
      </w:pPr>
      <w:r>
        <w:rPr>
          <w:rFonts w:ascii="Arial" w:cs="Arial" w:eastAsia="Arial" w:hAnsi="Arial"/>
          <w:sz w:val="19"/>
          <w:szCs w:val="19"/>
          <w:color w:val="auto"/>
        </w:rPr>
        <w:t>The following chart presents the percent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1668145</wp:posOffset>
            </wp:positionH>
            <wp:positionV relativeFrom="paragraph">
              <wp:posOffset>208915</wp:posOffset>
            </wp:positionV>
            <wp:extent cx="4294505" cy="26314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4294505" cy="2631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right="60" w:firstLine="638"/>
        <w:spacing w:after="0" w:line="311" w:lineRule="auto"/>
        <w:rPr>
          <w:sz w:val="20"/>
          <w:szCs w:val="20"/>
          <w:color w:val="auto"/>
        </w:rPr>
      </w:pPr>
      <w:r>
        <w:rPr>
          <w:rFonts w:ascii="Arial" w:cs="Arial" w:eastAsia="Arial" w:hAnsi="Arial"/>
          <w:sz w:val="19"/>
          <w:szCs w:val="19"/>
          <w:color w:val="auto"/>
        </w:rPr>
        <w:t>In both studies, Epsolay demonstrated a favorable safety and tolerability profile similar to vehicle, with a low rate of cutaneous side effects (e.g., dryness, scaling, itching and burning/stinging) comparable to vehicle. Adverse events were primarily mild to moderate in severity with the most frequently reported adverse events across both studies being application site erythema and application site pain reported by less than 3.4% of subjects. There were no treatment-related serious adverse events, with a combined total of two unrelated serious adverse events (1 Epsolay, 1 vehicle) reported across both trials.</w:t>
      </w:r>
    </w:p>
    <w:p>
      <w:pPr>
        <w:spacing w:after="0" w:line="204" w:lineRule="exact"/>
        <w:rPr>
          <w:sz w:val="20"/>
          <w:szCs w:val="20"/>
          <w:color w:val="auto"/>
        </w:rPr>
      </w:pPr>
    </w:p>
    <w:p>
      <w:pPr>
        <w:ind w:right="60" w:firstLine="648"/>
        <w:spacing w:after="0" w:line="262" w:lineRule="auto"/>
        <w:rPr>
          <w:sz w:val="20"/>
          <w:szCs w:val="20"/>
          <w:color w:val="auto"/>
        </w:rPr>
      </w:pPr>
      <w:r>
        <w:rPr>
          <w:rFonts w:ascii="Arial" w:cs="Arial" w:eastAsia="Arial" w:hAnsi="Arial"/>
          <w:sz w:val="22"/>
          <w:szCs w:val="22"/>
          <w:color w:val="auto"/>
        </w:rPr>
        <w:t>Out of the 733 subjects who enrolled in both studies, 721 subjects were included in the safety population, and a combined total of 10 subjects (9 Epsolay, 1 vehicle) discontinued treatment due to an adverse event across both trials. The most common reasons for subjects not completing the study in both groups (active and vehicle) were the withdrawal of informed consent (25 subjects, 3.4%), and loss to follow-up (17 subjects, 2.3%).</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Topline Results of Long-Term Safety Study for Epsolay</w:t>
      </w:r>
    </w:p>
    <w:p>
      <w:pPr>
        <w:spacing w:after="0" w:line="2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On February 12, 2020, we announced positive topline results from our open-label, long-term safety study, evaluating Epsolay for a treatment duration up to 52 weeks. The study enrolled 547 subjects, all of whom had completed 12 weeks of treatment with Epsolay or vehicle in the preceding double-blind Phase 3 studies. Patients continued onto open-label treatment with Epsolay once-daily for up to an additional 40 weeks. The safety population of 535 subjects received Epsolay therapy for an overall period of at least 28 weeks. Of these 535 subjects, 209 subjects completed 52 weeks of treatment with Epsolay, exceeding the sample size requirements previously defined by the FDA for the Epsolay one-year safety evaluation.</w:t>
      </w:r>
    </w:p>
    <w:p>
      <w:pPr>
        <w:spacing w:after="0" w:line="208" w:lineRule="exact"/>
        <w:rPr>
          <w:sz w:val="20"/>
          <w:szCs w:val="20"/>
          <w:color w:val="auto"/>
        </w:rPr>
      </w:pPr>
    </w:p>
    <w:p>
      <w:pPr>
        <w:ind w:right="120" w:firstLine="648"/>
        <w:spacing w:after="0" w:line="327" w:lineRule="auto"/>
        <w:rPr>
          <w:sz w:val="20"/>
          <w:szCs w:val="20"/>
          <w:color w:val="auto"/>
        </w:rPr>
      </w:pPr>
      <w:r>
        <w:rPr>
          <w:rFonts w:ascii="Arial" w:cs="Arial" w:eastAsia="Arial" w:hAnsi="Arial"/>
          <w:sz w:val="19"/>
          <w:szCs w:val="19"/>
          <w:color w:val="auto"/>
        </w:rPr>
        <w:t>Non-cutaneous adverse events were similar in frequency and type to those observed in the preceding Phase 3 trials. The most common adverse event reported was nasopharyngitis (5.4%). Less than 3% of patients experienced application site adverse events that were considered to be drug-related, and no serious drug-related adverse events were reported.</w:t>
      </w:r>
    </w:p>
    <w:p>
      <w:pPr>
        <w:spacing w:after="0" w:line="1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At every study visit, the investigator conducted Local Tolerability and Cutaneous Safety Assessments. At the end of 52 weeks more than 90% of subjects had “none” or “mild” signs or symptoms (burning or stinging, itching, dryness and scaling) and no “severe” tolerability scores were recorded.</w:t>
      </w:r>
    </w:p>
    <w:p>
      <w:pPr>
        <w:spacing w:after="0" w:line="200" w:lineRule="exact"/>
        <w:rPr>
          <w:sz w:val="20"/>
          <w:szCs w:val="20"/>
          <w:color w:val="auto"/>
        </w:rPr>
      </w:pP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66" w:name="page67"/>
    <w:bookmarkEnd w:id="66"/>
    <w:p>
      <w:pPr>
        <w:ind w:right="80" w:firstLine="648"/>
        <w:spacing w:after="0" w:line="266" w:lineRule="auto"/>
        <w:rPr>
          <w:sz w:val="20"/>
          <w:szCs w:val="20"/>
          <w:color w:val="auto"/>
        </w:rPr>
      </w:pPr>
      <w:r>
        <w:rPr>
          <w:rFonts w:ascii="Arial" w:cs="Arial" w:eastAsia="Arial" w:hAnsi="Arial"/>
          <w:sz w:val="22"/>
          <w:szCs w:val="22"/>
          <w:color w:val="auto"/>
        </w:rPr>
        <w:t>Although the study was designed to evaluate long-term safety, subjects also continued to undergo evaluation according to the Investigator Global Assessment (IGA) 5-point scale. Of the 209 patients treated with Epsolay for 52 weeks, 73.2% reported an IGA score of 0 ("clear") or 1 ("almost clear") at 52 weeks.</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intend to submit an NDA to the FDA for marketing approval of Epsolay in the second quarter of 2020.</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SGT-201 for Palmoplantar Keratoderma</w:t>
      </w:r>
    </w:p>
    <w:p>
      <w:pPr>
        <w:spacing w:after="0" w:line="28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SGT-210 is a novel, topical epidermal growth factor receptor inhibitor which is in development for the treatment of palmoplantar keratoderma, or PPK, a group of skin conditions characterized by thickening of the skin on the hands and soles of the feet, and basal cell carcinoma and squamous cell carcinoma, collectively referred to as non-melanoma skin cancer. SGT-210 is designed to be used alone or in combination for the treatment of hyperproliferation and hyperkeratinization disorders, including PPK. On January 2, 2020, we announced the initiation of a Phase 1 proof of concept clinical study of SGT-210 with punctate palmoplantar keratoderma type -1 (PPPK type 1), a genetic form of PPK. The Phase 1 proof of concept study SGT-84-01 is a single-center, single-blinded, vehicle-controlled study designed to evaluate the bioavailability, safety and tolerability of SGT-210 as well as inform on potential efficacy. The study is targeting enrollment of approximately 15 patients to undergo a three-month treatment period, followed by a three-month follow-up period. We expect to report top-line data in the first half of 2021. We are also planning to initiate pre-clinical studies to evaluate SGT-210 in plaque psoriasis, superficial squamous cell carcinoma and in combination with roflumilast, a PDE4 inhibitor, to address various inflammatory conditions, such as hidradenitis suppurativa and prurigo nodularis.</w:t>
      </w: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Tapinarof and roflumilast potentially for psoriasis and other dermatological indications</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We also intend to develop tapinarof, an AhRagonist, and roflumilast, a PDE4 inhibitor, each as a potential treatment of psoriasis and other dermatological indications.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Generic Drug Product Candidates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In addition to our branded product candidates, we have one FDA approved generic topical dermatological product, which is a generic version of Zovirax® (acyclovir) cream, 5%. In February 2019, we announced that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we launched the product in February 2019.</w:t>
      </w:r>
    </w:p>
    <w:p>
      <w:pPr>
        <w:spacing w:after="0" w:line="231"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We are also currently developing a portfolio of eight generic topical dermatological products, with seven of our generic product candidates, including ivermectin cream, 1%, being developed in collaboration with Perrigo and another being developed in collaboration with Douglas Pharmaceuticals. Both Perrigo and Douglas Pharmaceuticals have significant experience in the development of generic drugs.</w:t>
      </w:r>
    </w:p>
    <w:p>
      <w:pPr>
        <w:spacing w:after="0" w:line="245"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Our most advanced generic product candidate is ivermectin cream, 1%, for the treatment of inflammatory lesions associated with rosacea, which we are developing in collaboration with Perrigo. In March 2017, Perrigo submitted an ANDA for ivermectin cream, 1% to the FDA and received acceptance for filing. Following notification from Perrigo, Galderma Laboratories, L.P., Galderma S.A., and Nestle Skin Health S.A., filed a patent litigation suit triggering the application of a 30-month stay on approval of the ANDA, under the Hatch-Waxman Amendments. In January 2018, this ANDA was tentatively approved by the FDA. Approval from the FDA is subject to the 30-month stay under the Hatch-Waxman Amendments. In addition, because Actavis Ltd. filed an ANDA for ivermectin cream, 1%, before us or any other generic applicants, we may be unable to obtain final approval for our ANDA until the expiration of Actavis Ltd.’s 180-day generic exclusivity. Ivermectin cream, 1% is the active molecule in Soolantra which is currently marketed in the United States by Galderma Laboratories LP.</w:t>
      </w:r>
    </w:p>
    <w:p>
      <w:pPr>
        <w:sectPr>
          <w:pgSz w:w="11900" w:h="16838" w:orient="portrait"/>
          <w:cols w:equalWidth="0" w:num="1">
            <w:col w:w="11240"/>
          </w:cols>
          <w:pgMar w:left="320" w:top="132" w:right="339" w:bottom="1440" w:gutter="0" w:footer="0" w:header="0"/>
        </w:sectPr>
      </w:pP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67" w:name="page68"/>
    <w:bookmarkEnd w:id="67"/>
    <w:p>
      <w:pPr>
        <w:spacing w:after="0"/>
        <w:rPr>
          <w:sz w:val="20"/>
          <w:szCs w:val="20"/>
          <w:color w:val="auto"/>
        </w:rPr>
      </w:pPr>
      <w:r>
        <w:rPr>
          <w:rFonts w:ascii="Arial" w:cs="Arial" w:eastAsia="Arial" w:hAnsi="Arial"/>
          <w:sz w:val="22"/>
          <w:szCs w:val="22"/>
          <w:b w:val="1"/>
          <w:bCs w:val="1"/>
          <w:color w:val="auto"/>
        </w:rPr>
        <w:t>Our Proprietary Silica-Based Microencapsulation Technology Platform</w:t>
      </w:r>
    </w:p>
    <w:p>
      <w:pPr>
        <w:spacing w:after="0" w:line="293"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204"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In contrast, we use proprietary ‘sol-gel’ processes to shape silica on site to form microcapsule shells of almost any size and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50 micron in size. This process results in an aqueous suspension in which the drug substances are entrapped in silica particles.</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Collaboration Agreements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Perrigo</w:t>
      </w:r>
    </w:p>
    <w:p>
      <w:pPr>
        <w:spacing w:after="0" w:line="28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On April 27, 2015, we entered into a development, manufacturing and commercialization agreement with Perrigo, as amended on October 26, 2015, to work toward the objective of obtaining all FDA approvals necessary for the commercialization of ivermectin cream, 1%, in the United States. Perrigo will conduct all regulatory, scientific, clinical and technical activities necessary to develop ivermectin cream, 1%, prepare and file an ANDA with the FDA, and gain regulatory approval to market ivermectin cream, 1%, in the United States. We granted Perrigo the right, title and interest in and to ivermectin cream, 1%, and agreed on each party’s portion of the costs associated with performance under the agreement. Perrigo also owns intellectual property created in connection with the development of ivermectin cream, 1%. If approval by the FDA of the ANDA, Perrigo is required to use diligent efforts to commercialize ivermectin cream, 1%, in the United States. Perrigo has the sole and exclusive right to establish and control the prices and all other terms and conditions for the sales of ivermectin cream, 1%, in the United States and is required to do so in good faith. We will be entitled to 50% of Perrigo’s gross profits related to the sale of ivermectin cream, 1%, on a quarterly basis, for a period of 20 years following the first commercial sale of the ivermectin cream, 1%, in the United States. The agreement may be terminated if the gross profits relating to the sale of the product do not exceed a certain threshold or if the potential market for the product has been significantly reduced due to regulatory changes.</w:t>
      </w:r>
    </w:p>
    <w:p>
      <w:pPr>
        <w:spacing w:after="0" w:line="21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Each party is responsible for its own costs in relation to performance under the agreement.</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We are obligated to finance all out-of-pocket trial expenses (including materials), and Perrigo UK is required to reimburse us for 40% of the out-of-pocket clinical trial expenses as follows (a) if we obtain FDA approval, by financing our share of the out-of-pocket litigation expenses, or (b) if FDA approval is not obtained, by reimbursing us an amount equal to 40% of our out-of-pocket expenses.</w:t>
      </w:r>
    </w:p>
    <w:p>
      <w:pPr>
        <w:spacing w:after="0" w:line="24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21"/>
          <w:szCs w:val="21"/>
          <w:color w:val="auto"/>
        </w:rPr>
        <w:t>In connection with the transfer of the first generic version of Zovirax® (acyclovir) cream, to us by Arkin Dermatology on August 22, 2017, we assumed an agreement with Perrigo UK for the development, manufacturing and commercialization of the generic version of Zovirax® (acyclovir) cream. Under the terms of the agreement, Perrigo UK was required to conduct all regulatory, scientific, clinical and technical activities necessary to develop the generic version of Zovirax® (acyclovir) cream, prepare and file an ANDA with the FDA, and gain regulatory approval to market the generic version of Zovirax® (acyclovir) cream. The agreement provides that as soon as reasonably practical after final approval by the FDA of the ANDA, Perrigo UK is required to use diligent efforts to commercialize the product in the United States. Perrigo UK has the sole and exclusive right to establish and control the prices and all other terms and conditions for the sales of the product in the United States and is required to do so in good faith . We are responsible for 80% of all out-of-pocket clinical study costs related to the generic version of Zovirax® (acyclovir) cream. We will be entitled to 50% of Perrigo UK’s gross profits related to the sale of the generic version of Zovirax® (acyclovir) cream, on a quarterly basis, for a period of 20 years following the first commercial sale of the generic product. The agreement may be terminated if the gross profits relating to the sale of the generic version of Zovirax® (acyclovir) cream do not exceed a certain threshold or if the potential market for the product has been significantly reduced to regulatory changes.</w:t>
      </w:r>
    </w:p>
    <w:p>
      <w:pPr>
        <w:sectPr>
          <w:pgSz w:w="11900" w:h="16838" w:orient="portrait"/>
          <w:cols w:equalWidth="0" w:num="1">
            <w:col w:w="11240"/>
          </w:cols>
          <w:pgMar w:left="320" w:top="126" w:right="339" w:bottom="641" w:gutter="0" w:footer="0" w:header="0"/>
        </w:sect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641" w:gutter="0" w:footer="0" w:header="0"/>
          <w:type w:val="continuous"/>
        </w:sectPr>
      </w:pPr>
    </w:p>
    <w:bookmarkStart w:id="68" w:name="page69"/>
    <w:bookmarkEnd w:id="68"/>
    <w:p>
      <w:pPr>
        <w:jc w:val="both"/>
        <w:ind w:firstLine="648"/>
        <w:spacing w:after="0" w:line="276" w:lineRule="auto"/>
        <w:rPr>
          <w:sz w:val="20"/>
          <w:szCs w:val="20"/>
          <w:color w:val="auto"/>
        </w:rPr>
      </w:pPr>
      <w:r>
        <w:rPr>
          <w:rFonts w:ascii="Arial" w:cs="Arial" w:eastAsia="Arial" w:hAnsi="Arial"/>
          <w:sz w:val="22"/>
          <w:szCs w:val="22"/>
          <w:color w:val="auto"/>
        </w:rPr>
        <w:t>In February 2019, we announced that Perrigo received final approval from the FDA for the first generic version of Zovirax® (acyclovir) cream, 5%. We launched the product in February 2019.</w:t>
      </w:r>
    </w:p>
    <w:p>
      <w:pPr>
        <w:spacing w:after="0" w:line="228"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In addition, we have entered into collaboration agreements with Perrigo Israel, an affiliate of Perrigo Company plc, for the development, manufacturing and commercialization of five other generic product candidates. Under such agreements Perrigo will conduct the regulatory (if relevant), scientific, clinical and technical activities necessary to develop the generic product candidates and seek regulatory approval with the FDA for the generic product candidates. If approved by the FDA, Perrigo has agreed to commercialize the generic product candidates in the United States. We and Perrigo will share the development costs and the gross profits generated from the sales of the generic product candidates, if approved.</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Douglas Pharmaceuticals</w:t>
      </w:r>
    </w:p>
    <w:p>
      <w:pPr>
        <w:spacing w:after="0" w:line="28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On June 7, 2017, we entered into a Development, License, Supply and Marketing Agreement, with Douglas with respect to the development and commercialization of a generic product candidate for a drug that already has generic substitutions. Douglas will manufacture the product for non-clinical and clinical trial uses, and once approved for marketing, for commercialization by us in the countries we elect to commercialize the product. Douglas will also be responsible for completing the formulation of the product and providing chemistry, manufacturing and control support, conducting all steps for production and quality controls of the product, formulation development of the product in final finished form and supporting the ANDA or any other applicable registration application. We will be responsible for conducting the legal and regulatory review process, performing bioequivalence and clinical studies to obtain marketing approval for the product in the United States and preparing and filing the regulatory filings to obtain marketing approval in the United States. We have the right to commercialize the product in all countries in North America and any other country agreed to with Douglas, and Douglas has the right to commercialize the product in Australia, New Zealand, the Southeast, East and North Asia region and the Middle East and North Africa region and any other country agreed to by us and Douglas.</w:t>
      </w:r>
    </w:p>
    <w:p>
      <w:pPr>
        <w:spacing w:after="0" w:line="200" w:lineRule="exact"/>
        <w:rPr>
          <w:sz w:val="20"/>
          <w:szCs w:val="20"/>
          <w:color w:val="auto"/>
        </w:rPr>
      </w:pPr>
    </w:p>
    <w:p>
      <w:pPr>
        <w:spacing w:after="0" w:line="286"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Each party granted the other an exclusive royalty free license under its related intellectual property with the right to grant sublicenses, to use and commercialize the product in the countries in which the other party has the right to commercialize the product. Any new intellectual property generated in the development plan will be jointly owned. We are responsible for patent prosecution and Douglas is required to reimburse us for 50% of our patent expenses.</w:t>
      </w:r>
    </w:p>
    <w:p>
      <w:pPr>
        <w:spacing w:after="0" w:line="22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Each party is required to pay the other party 50% of its net profits from the sale of the products during the term of the agreement. In addition, we or the third party commercializing the product on our behalf will pay Douglas a transfer price based on the cost of goods for the manufacture of the products. The term of the agreement is ten years, and either party may terminate the agreement (i) for breach, (ii) if the joint steering committee established by the parties determines that it is unlikely that marketing approval will be achieved or determines that the commercialization of the product becomes unfeasible or uneconomic, (iii) a patent injunction permanently prohibits the future commercialization of the product or (iv) in the case of force majeure.</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Intellectual Property</w:t>
      </w:r>
    </w:p>
    <w:p>
      <w:pPr>
        <w:spacing w:after="0" w:line="293" w:lineRule="exact"/>
        <w:rPr>
          <w:sz w:val="20"/>
          <w:szCs w:val="20"/>
          <w:color w:val="auto"/>
        </w:rPr>
      </w:pPr>
    </w:p>
    <w:p>
      <w:pPr>
        <w:jc w:val="both"/>
        <w:ind w:firstLine="648"/>
        <w:spacing w:after="0" w:line="229" w:lineRule="auto"/>
        <w:rPr>
          <w:sz w:val="20"/>
          <w:szCs w:val="20"/>
          <w:color w:val="auto"/>
        </w:rPr>
      </w:pPr>
      <w:r>
        <w:rPr>
          <w:rFonts w:ascii="Arial" w:cs="Arial" w:eastAsia="Arial" w:hAnsi="Arial"/>
          <w:sz w:val="22"/>
          <w:szCs w:val="22"/>
          <w:color w:val="auto"/>
        </w:rPr>
        <w:t>Our intellectual property and proprietary technology are directed to the development, manufacture and sale of our branded product candidates, including Twyneo</w:t>
      </w:r>
      <w:r>
        <w:rPr>
          <w:rFonts w:ascii="Arial" w:cs="Arial" w:eastAsia="Arial" w:hAnsi="Arial"/>
          <w:sz w:val="35"/>
          <w:szCs w:val="35"/>
          <w:color w:val="auto"/>
          <w:vertAlign w:val="superscript"/>
        </w:rPr>
        <w:t>®</w:t>
      </w:r>
      <w:r>
        <w:rPr>
          <w:rFonts w:ascii="Arial" w:cs="Arial" w:eastAsia="Arial" w:hAnsi="Arial"/>
          <w:sz w:val="22"/>
          <w:szCs w:val="22"/>
          <w:color w:val="auto"/>
        </w:rPr>
        <w:t>, Epsolay® and SGT-210.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69" w:name="page70"/>
    <w:bookmarkEnd w:id="69"/>
    <w:p>
      <w:pPr>
        <w:jc w:val="both"/>
        <w:ind w:firstLine="648"/>
        <w:spacing w:after="0" w:line="276" w:lineRule="auto"/>
        <w:rPr>
          <w:sz w:val="20"/>
          <w:szCs w:val="20"/>
          <w:color w:val="auto"/>
        </w:rPr>
      </w:pPr>
      <w:r>
        <w:rPr>
          <w:rFonts w:ascii="Arial" w:cs="Arial" w:eastAsia="Arial" w:hAnsi="Arial"/>
          <w:sz w:val="21"/>
          <w:szCs w:val="21"/>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product candidates and our future prospects.</w:t>
      </w:r>
    </w:p>
    <w:p>
      <w:pPr>
        <w:spacing w:after="0" w:line="231"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Our patent portfolio that is directed to our branded product candidates includes 83 patents and patent applications and claims processes for manufacture (including silica microencapsulation platform and other technologies), formulations, composition of matter, and methods of use. Of these 83 patents and patent applications, 47 are granted patents (5 in the United States and 42 in other countries) and 36 are pending applications (22 in the United States and 14 in other countries).</w:t>
      </w:r>
    </w:p>
    <w:p>
      <w:pPr>
        <w:spacing w:after="0" w:line="18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For our Twyneo</w:t>
      </w:r>
      <w:r>
        <w:rPr>
          <w:rFonts w:ascii="Arial" w:cs="Arial" w:eastAsia="Arial" w:hAnsi="Arial"/>
          <w:sz w:val="32"/>
          <w:szCs w:val="32"/>
          <w:color w:val="auto"/>
          <w:vertAlign w:val="superscript"/>
        </w:rPr>
        <w:t>®</w:t>
      </w:r>
      <w:r>
        <w:rPr>
          <w:rFonts w:ascii="Arial" w:cs="Arial" w:eastAsia="Arial" w:hAnsi="Arial"/>
          <w:sz w:val="20"/>
          <w:szCs w:val="20"/>
          <w:color w:val="auto"/>
        </w:rPr>
        <w:t xml:space="preserve"> product candidate, we have obtained patent protection for the composition of matter in the United States, Canada, Japan, Mexico (with a term until 2028) and we have a pending application claiming composition of matter in the European Patent Office. There are four patent families protecting the process for the encapsulation of the active agents of our Twyneo</w:t>
      </w:r>
      <w:r>
        <w:rPr>
          <w:rFonts w:ascii="Arial" w:cs="Arial" w:eastAsia="Arial" w:hAnsi="Arial"/>
          <w:sz w:val="32"/>
          <w:szCs w:val="32"/>
          <w:color w:val="auto"/>
          <w:vertAlign w:val="superscript"/>
        </w:rPr>
        <w:t>®</w:t>
      </w:r>
      <w:r>
        <w:rPr>
          <w:rFonts w:ascii="Arial" w:cs="Arial" w:eastAsia="Arial" w:hAnsi="Arial"/>
          <w:sz w:val="20"/>
          <w:szCs w:val="20"/>
          <w:color w:val="auto"/>
        </w:rPr>
        <w:t xml:space="preserve"> product candidate (one patent family has patents granted in Canada, India, Mexico, Europe and Japan (with a term until 2028) and an application pending in the United States; the second patent family has patents granted in Mexico and Canada (with a term until 2029) and applications pending in the United States and Canada; and the third patent family has patents granted in Europe (validated in France, Germany, Ireland, Italy, Spain, Switzerland, United Kingdom), China, India, Japan, Canada and Mexico (with a term until 2030) and an application pending in the United States); and the fourth patent family has patents granted in Canada, China, Israel, India and Mexico and an application pending in the United States. We own pending patents for the formulation of our Twyneo</w:t>
      </w:r>
      <w:r>
        <w:rPr>
          <w:rFonts w:ascii="Arial" w:cs="Arial" w:eastAsia="Arial" w:hAnsi="Arial"/>
          <w:sz w:val="32"/>
          <w:szCs w:val="32"/>
          <w:color w:val="auto"/>
          <w:vertAlign w:val="superscript"/>
        </w:rPr>
        <w:t>®</w:t>
      </w:r>
      <w:r>
        <w:rPr>
          <w:rFonts w:ascii="Arial" w:cs="Arial" w:eastAsia="Arial" w:hAnsi="Arial"/>
          <w:sz w:val="20"/>
          <w:szCs w:val="20"/>
          <w:color w:val="auto"/>
        </w:rPr>
        <w:t xml:space="preserve"> product candidate in the United States (with a term until 2038), Canada, Europe, China, India and Mexico and patents granted in Japan, Canada and Mexico (with a term until 2032). We have pending patent applications in the United States for the composition of our Twyneo</w:t>
      </w:r>
      <w:r>
        <w:rPr>
          <w:rFonts w:ascii="Arial" w:cs="Arial" w:eastAsia="Arial" w:hAnsi="Arial"/>
          <w:sz w:val="32"/>
          <w:szCs w:val="32"/>
          <w:color w:val="auto"/>
          <w:vertAlign w:val="superscript"/>
        </w:rPr>
        <w:t>®</w:t>
      </w:r>
      <w:r>
        <w:rPr>
          <w:rFonts w:ascii="Arial" w:cs="Arial" w:eastAsia="Arial" w:hAnsi="Arial"/>
          <w:sz w:val="20"/>
          <w:szCs w:val="20"/>
          <w:color w:val="auto"/>
        </w:rPr>
        <w:t xml:space="preserve"> product candidate and one patent granted in the United States for the method of treatment of Twyneo® (with a term until 2038).We have five registered trademarks in Israel, Europe, the United States and Canada.</w:t>
      </w:r>
    </w:p>
    <w:p>
      <w:pPr>
        <w:spacing w:after="0" w:line="269"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For our Epsolay® product candidate, we have obtained patents in China, Japan and the United States (with a term until 2032) covering the composition for topical treatment of rosacea. We have further pending applications for this composition in the United States, Canada, Europe, Japan, China and Mexico. There are two patent families directed to the process for encapsulation of the active agents of our Epsolay® product candidate (one patent family has granted patents in Canada, India, Mexico, Europe and Japan (with a term until 2028) and a pending application in the United States; and the second patent family has patents granted in Canada, China, Israel, India and Mexico and an application pending in the United States. We also have three unpublished patent applications covering the methods of use of Epsolay® for the treatment of rosacea.</w:t>
      </w:r>
    </w:p>
    <w:p>
      <w:pPr>
        <w:spacing w:after="0" w:line="210"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We have four registered trademarks in Israel, Europe, Canada and the United States. These registrations cover potential brand names for our Epsolay® product candidate in Israel, Europe, Canada and the United States.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Competition</w:t>
      </w:r>
    </w:p>
    <w:p>
      <w:pPr>
        <w:spacing w:after="0" w:line="293"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22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There are numerous companies that have branded or generic products or product candidates in the dermatology market. Among them are Aclaris Therapeutics, Inc., Akorn, Inc., Almirall S.A., Aqua Pharmaceuticals LLC, Bayer HealthCare AG, Cassiopea SpA, Dermira, Inc., Foamix Pharmaceuticals Ltd., Galderma Pharma S.A., Glenmark Pharmaceuticals Ltd., G&amp;W Laboratories, Inc., LEO Pharma A/S, Mylan N.V., Novan, Inc., Novartis AG, Novum Pharma, LLC, Perrigo Company plc, Pfizer, Inc., Spear Therapeutics, Ltd., Sun Pharmaceutical Industries Ltd., Teligent, Inc., Teva Pharmaceutical Industries Ltd. and Bausch Health Companies Inc.</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70" w:name="page71"/>
    <w:bookmarkEnd w:id="70"/>
    <w:p>
      <w:pPr>
        <w:jc w:val="both"/>
        <w:ind w:firstLine="648"/>
        <w:spacing w:after="0" w:line="311" w:lineRule="auto"/>
        <w:rPr>
          <w:sz w:val="20"/>
          <w:szCs w:val="20"/>
          <w:color w:val="auto"/>
        </w:rPr>
      </w:pPr>
      <w:r>
        <w:rPr>
          <w:rFonts w:ascii="Arial" w:cs="Arial" w:eastAsia="Arial" w:hAnsi="Arial"/>
          <w:sz w:val="19"/>
          <w:szCs w:val="19"/>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204"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198"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Twyneo</w:t>
      </w:r>
      <w:r>
        <w:rPr>
          <w:rFonts w:ascii="Arial" w:cs="Arial" w:eastAsia="Arial" w:hAnsi="Arial"/>
          <w:sz w:val="30"/>
          <w:szCs w:val="30"/>
          <w:color w:val="auto"/>
          <w:vertAlign w:val="superscript"/>
        </w:rPr>
        <w:t>®</w:t>
      </w:r>
      <w:r>
        <w:rPr>
          <w:rFonts w:ascii="Arial" w:cs="Arial" w:eastAsia="Arial" w:hAnsi="Arial"/>
          <w:sz w:val="19"/>
          <w:szCs w:val="19"/>
          <w:color w:val="auto"/>
        </w:rPr>
        <w:t xml:space="preserve"> and Epsolay® target the well-established acne and rosacea markets. If approved, we expect them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Tazorac, and Altreno, fixed-dose combinations of benzoyl peroxide and adapalene such as Epiduo and Epiduo Forte, fixed-dose combinations of benzoyl peroxide and clindamycin such as Duac, Benzaclin, Onexton and Acanya, fixed-dose combinations of tretinoin and clindamycin such as Ziana and Veltin, and topical antibiotics such as Aczone. The current standard of care for rosacea includes Metrogel, Finacea and the recently launched Soolantra, as well as oral Oracea (doxycycline embedded in a technology platform). As a fixed-dose combination product candidate, Twyneo® may also compete with drug products utilizing other technologies that can separate two drug substances, such as dual chamber tubes, dual pouches or dual sachets. In addition to these products, our FDA approved generic version of Zovirax® (acyclovir) cream, 5% and our generic drug product candidates, including ivermectin cream, 1%, are expected to face direct competition from branded drugs and authorized generics which are prescription drugs produced by the branded pharmaceutical companies and marketed under a private label, at generic prices. On December 30, 2016, Actavis Ltd. submitted an ANDA for ivermectin, 1%, cream, and therefore we will only be able to commercialize this product after Actavis Ltd.'s six-month exclusivity period expires.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Marketing, Sales and Distribution</w:t>
      </w:r>
    </w:p>
    <w:p>
      <w:pPr>
        <w:spacing w:after="0" w:line="29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We do not currently have any sales, marketing or distribution capabilities. In order to commercialize our product candidates, if approved for commercial sale, we must either develop a sales and marketing infrastructure or collaborate with third parties that have sales and marketing experience. We intend to commercialize our late-stage branded product candidates in the United States, if approved, by building a specialized sales and marketing organization focused solely on dermatologists and their patients. Because the U.S. market is served by a relatively small number of practicing dermatologists, we believe a small and dedicated sales force can efficiently cover a significant portion of that targeted patient population. In other markets, we may selectively pursue strategic collaborations with third parties in order to maximize the commercial potential of our product candidates.</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Manufacturing</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rely on and expect to continue to rely on third-party contract manufacturing organizations, or CMOs, for the supply of current good manufacturing practice-grade, or cGMP-grade, clinical trial materials and commercial quantities of our product candidates and products, if approved. For some materials, we rely on a single source supplier of raw material while for the majority of raw materials used for the production of clinical and commercial supplies of our product candidates, alternative suppliers are available</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71" w:name="page72"/>
    <w:bookmarkEnd w:id="71"/>
    <w:p>
      <w:pPr>
        <w:spacing w:after="0"/>
        <w:rPr>
          <w:sz w:val="20"/>
          <w:szCs w:val="20"/>
          <w:color w:val="auto"/>
        </w:rPr>
      </w:pPr>
      <w:r>
        <w:rPr>
          <w:rFonts w:ascii="Arial" w:cs="Arial" w:eastAsia="Arial" w:hAnsi="Arial"/>
          <w:sz w:val="22"/>
          <w:szCs w:val="22"/>
          <w:b w:val="1"/>
          <w:bCs w:val="1"/>
          <w:color w:val="auto"/>
        </w:rPr>
        <w:t>Government Regulation</w:t>
      </w:r>
    </w:p>
    <w:p>
      <w:pPr>
        <w:spacing w:after="0" w:line="29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0"/>
          <w:szCs w:val="20"/>
          <w:color w:val="auto"/>
        </w:rPr>
        <w:t>Regulation by governmental authorities in Israel, the United States and other countries is a significant factor in the development, manufacture and commercialization of our product candidates and in our ongoing research and development activities. Our business is subject to extensive government regulation in Israel for its manufacturing activities involving drug products, drug product intermediates, and drug product active substances to be used in Phase III clinical trials and commercial manufacturing. Prior to 2019, we voluntarily complied with and were certified by the Israeli Standards Institution for ISO 9001:2015 (quality standard), ISO 14001:2015 (environmental standard), and OHSAS 18001:2007 (safety standard). As of August 2018, we complied with current good manufacturing, or cGMP, requirements, were audited and were granted a cGMP certification by the Israel Ministry of Health. This certification confirms our cGMP compliance and allows us to manufacture Twyneo</w:t>
      </w:r>
      <w:r>
        <w:rPr>
          <w:rFonts w:ascii="Arial" w:cs="Arial" w:eastAsia="Arial" w:hAnsi="Arial"/>
          <w:sz w:val="32"/>
          <w:szCs w:val="32"/>
          <w:color w:val="auto"/>
          <w:vertAlign w:val="superscript"/>
        </w:rPr>
        <w:t>®</w:t>
      </w:r>
      <w:r>
        <w:rPr>
          <w:rFonts w:ascii="Arial" w:cs="Arial" w:eastAsia="Arial" w:hAnsi="Arial"/>
          <w:sz w:val="20"/>
          <w:szCs w:val="20"/>
          <w:color w:val="auto"/>
        </w:rPr>
        <w:t xml:space="preserve"> and its intermediates to support phase 3 clinical trials. The Company intends that the cGMP certification will be extended to other products as they reach relevant stages of development, and that ISO 14001:2015 and OHSAS 18001:2007 certifications will continue to be maintained in the future. However, ISO 9001:2015 is made redundant by the cGMP certification, and the Company does not intend to maintain it in 2020.</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Product Approval Process in the United States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Review and approval of drugs</w:t>
      </w:r>
    </w:p>
    <w:p>
      <w:pPr>
        <w:spacing w:after="0" w:line="2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In the United States, pharmaceutical products are subject to extensive regulation by the FDA. The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243"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 (3) 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 We believe that the applications for our late-stage branded product candidates will be section 505(b)(2) NDAs and that those for our generic product candidates will be section 505(j) ANDAs.</w:t>
      </w:r>
    </w:p>
    <w:p>
      <w:pPr>
        <w:spacing w:after="0" w:line="21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In general, the process required by the FDA prior to marketing and distributing a new drug, as opposed to a generic drug subject to section 505(j), in the United States usually involves the following:</w:t>
      </w:r>
    </w:p>
    <w:p>
      <w:pPr>
        <w:spacing w:after="0" w:line="222" w:lineRule="exact"/>
        <w:rPr>
          <w:sz w:val="20"/>
          <w:szCs w:val="20"/>
          <w:color w:val="auto"/>
        </w:rPr>
      </w:pPr>
    </w:p>
    <w:p>
      <w:pPr>
        <w:ind w:left="860" w:right="20" w:hanging="488"/>
        <w:spacing w:after="0" w:line="277" w:lineRule="auto"/>
        <w:tabs>
          <w:tab w:leader="none" w:pos="8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in compliance with the FDA’s good laboratory practices, or GLP, requirements or other applicable regulations;</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submission to the FDA of an investigational new drug application, or IND, which must become effective before human clinical trials in the United States may begin;</w:t>
      </w:r>
    </w:p>
    <w:p>
      <w:pPr>
        <w:sectPr>
          <w:pgSz w:w="11900" w:h="16838" w:orient="portrait"/>
          <w:cols w:equalWidth="0" w:num="1">
            <w:col w:w="11240"/>
          </w:cols>
          <w:pgMar w:left="320" w:top="126" w:right="339" w:bottom="1440" w:gutter="0" w:footer="0" w:header="0"/>
        </w:sectPr>
      </w:pP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72" w:name="page73"/>
    <w:bookmarkEnd w:id="72"/>
    <w:p>
      <w:pPr>
        <w:ind w:left="860" w:hanging="488"/>
        <w:spacing w:after="0"/>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approval by an independent institutional review board, or IRB, at each clinical site before each trial may be initiated;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preparation and submission to the FDA of an NDA;</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satisfactory completion of an FDA advisory committee review, if applicable;</w:t>
      </w:r>
    </w:p>
    <w:p>
      <w:pPr>
        <w:spacing w:after="0" w:line="279" w:lineRule="exact"/>
        <w:rPr>
          <w:rFonts w:ascii="Arial" w:cs="Arial" w:eastAsia="Arial" w:hAnsi="Arial"/>
          <w:sz w:val="18"/>
          <w:szCs w:val="18"/>
          <w:color w:val="auto"/>
        </w:rPr>
      </w:pPr>
    </w:p>
    <w:p>
      <w:pPr>
        <w:jc w:val="both"/>
        <w:ind w:left="860" w:hanging="488"/>
        <w:spacing w:after="0" w:line="263" w:lineRule="auto"/>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237" w:lineRule="exact"/>
        <w:rPr>
          <w:rFonts w:ascii="Arial" w:cs="Arial" w:eastAsia="Arial" w:hAnsi="Arial"/>
          <w:sz w:val="18"/>
          <w:szCs w:val="18"/>
          <w:color w:val="auto"/>
        </w:rPr>
      </w:pPr>
    </w:p>
    <w:p>
      <w:pPr>
        <w:ind w:left="860" w:hanging="488"/>
        <w:spacing w:after="0"/>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satisfactory completion of FDA audits of clinical trial sites to assure compliance with GCPs and the integrity of the clinical data;</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payment of user fees and FDA review and approval of the NDA; 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compliance with any post-approval requirements, including the potential requirement to implement a Risk Evaluation and Mitigation Strategy, or REMS, and the potential requirement to conduct post-approval studies.</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Pre-clinical studies</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IND which must become effective before clinical trials may commence. Long-term pre-clinical studies, such as animal tests of reproductive toxicity and carcinogenicity, may continue after the IND application is submitted.</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Clinical trials</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FDA as part of the IND.</w:t>
      </w:r>
    </w:p>
    <w:p>
      <w:pPr>
        <w:spacing w:after="0" w:line="24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An IND automatically becomes effective 30 days after receipt by the FDA, unless before that time the FDA raises concerns or questions related to a proposed clinical trial and places the trial on clinical hold. In such a case, the IND sponsor and the FDA must resolve any outstanding concerns before the clinical trial can begin. In addition, information about certain clinical trials must be submitted within specific timeframes to the National Institutes of Health, or NIH, for public dissemination on the NIH-maintained website, www.clinicaltrials.gov.</w:t>
      </w:r>
    </w:p>
    <w:p>
      <w:pPr>
        <w:spacing w:after="0" w:line="24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73" w:name="page74"/>
    <w:bookmarkEnd w:id="73"/>
    <w:p>
      <w:pPr>
        <w:ind w:left="660"/>
        <w:spacing w:after="0"/>
        <w:rPr>
          <w:sz w:val="20"/>
          <w:szCs w:val="20"/>
          <w:color w:val="auto"/>
        </w:rPr>
      </w:pPr>
      <w:r>
        <w:rPr>
          <w:rFonts w:ascii="Arial" w:cs="Arial" w:eastAsia="Arial" w:hAnsi="Arial"/>
          <w:sz w:val="22"/>
          <w:szCs w:val="22"/>
          <w:color w:val="auto"/>
        </w:rPr>
        <w:t>Clinical trials are typically conducted in three sequential phases, which may overlap or be combined:</w:t>
      </w:r>
    </w:p>
    <w:p>
      <w:pPr>
        <w:spacing w:after="0" w:line="281" w:lineRule="exact"/>
        <w:rPr>
          <w:sz w:val="20"/>
          <w:szCs w:val="20"/>
          <w:color w:val="auto"/>
        </w:rPr>
      </w:pPr>
    </w:p>
    <w:p>
      <w:pPr>
        <w:jc w:val="both"/>
        <w:ind w:left="860" w:hanging="488"/>
        <w:spacing w:after="0" w:line="263" w:lineRule="auto"/>
        <w:tabs>
          <w:tab w:leader="none" w:pos="86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Phase I</w:t>
      </w:r>
      <w:r>
        <w:rPr>
          <w:rFonts w:ascii="Arial" w:cs="Arial" w:eastAsia="Arial" w:hAnsi="Arial"/>
          <w:sz w:val="18"/>
          <w:szCs w:val="18"/>
          <w:color w:val="auto"/>
        </w:rPr>
        <w:t>: The drug is initially introduced into healthy human subjects or patients with the target disease or condition and tested for safety, dosage</w:t>
      </w:r>
      <w:r>
        <w:rPr>
          <w:rFonts w:ascii="Arial" w:cs="Arial" w:eastAsia="Arial" w:hAnsi="Arial"/>
          <w:sz w:val="18"/>
          <w:szCs w:val="18"/>
          <w:i w:val="1"/>
          <w:iCs w:val="1"/>
          <w:color w:val="auto"/>
        </w:rPr>
        <w:t xml:space="preserve"> </w:t>
      </w:r>
      <w:r>
        <w:rPr>
          <w:rFonts w:ascii="Arial" w:cs="Arial" w:eastAsia="Arial" w:hAnsi="Arial"/>
          <w:sz w:val="18"/>
          <w:szCs w:val="18"/>
          <w:color w:val="auto"/>
        </w:rPr>
        <w:t>tolerance, absorption, metabolism, distribution, excretion and, if possible, to gain an early indication of its effectiveness and to determine optimal dosage.</w:t>
      </w:r>
    </w:p>
    <w:p>
      <w:pPr>
        <w:spacing w:after="0" w:line="237" w:lineRule="exact"/>
        <w:rPr>
          <w:rFonts w:ascii="Arial" w:cs="Arial" w:eastAsia="Arial" w:hAnsi="Arial"/>
          <w:sz w:val="18"/>
          <w:szCs w:val="18"/>
          <w:color w:val="auto"/>
        </w:rPr>
      </w:pPr>
    </w:p>
    <w:p>
      <w:pPr>
        <w:ind w:left="860" w:hanging="488"/>
        <w:spacing w:after="0" w:line="308" w:lineRule="auto"/>
        <w:tabs>
          <w:tab w:leader="none" w:pos="860" w:val="left"/>
        </w:tabs>
        <w:numPr>
          <w:ilvl w:val="0"/>
          <w:numId w:val="52"/>
        </w:numPr>
        <w:rPr>
          <w:rFonts w:ascii="Arial" w:cs="Arial" w:eastAsia="Arial" w:hAnsi="Arial"/>
          <w:sz w:val="17"/>
          <w:szCs w:val="17"/>
          <w:color w:val="auto"/>
        </w:rPr>
      </w:pPr>
      <w:r>
        <w:rPr>
          <w:rFonts w:ascii="Arial" w:cs="Arial" w:eastAsia="Arial" w:hAnsi="Arial"/>
          <w:sz w:val="17"/>
          <w:szCs w:val="17"/>
          <w:i w:val="1"/>
          <w:iCs w:val="1"/>
          <w:color w:val="auto"/>
        </w:rPr>
        <w:t>Phase II</w:t>
      </w:r>
      <w:r>
        <w:rPr>
          <w:rFonts w:ascii="Arial" w:cs="Arial" w:eastAsia="Arial" w:hAnsi="Arial"/>
          <w:sz w:val="17"/>
          <w:szCs w:val="17"/>
          <w:color w:val="auto"/>
        </w:rPr>
        <w:t>: The drug is administered to a limited patient population to identify possible short-term adverse effects and safety risks, to</w:t>
      </w:r>
      <w:r>
        <w:rPr>
          <w:rFonts w:ascii="Arial" w:cs="Arial" w:eastAsia="Arial" w:hAnsi="Arial"/>
          <w:sz w:val="17"/>
          <w:szCs w:val="17"/>
          <w:i w:val="1"/>
          <w:iCs w:val="1"/>
          <w:color w:val="auto"/>
        </w:rPr>
        <w:t xml:space="preserve"> </w:t>
      </w:r>
      <w:r>
        <w:rPr>
          <w:rFonts w:ascii="Arial" w:cs="Arial" w:eastAsia="Arial" w:hAnsi="Arial"/>
          <w:sz w:val="17"/>
          <w:szCs w:val="17"/>
          <w:color w:val="auto"/>
        </w:rPr>
        <w:t>preliminarily evaluate the efficacy of the product for specific targeted diseases and to determine dosage tolerance and optimal dosage.</w:t>
      </w:r>
    </w:p>
    <w:p>
      <w:pPr>
        <w:spacing w:after="0" w:line="200" w:lineRule="exact"/>
        <w:rPr>
          <w:rFonts w:ascii="Arial" w:cs="Arial" w:eastAsia="Arial" w:hAnsi="Arial"/>
          <w:sz w:val="17"/>
          <w:szCs w:val="17"/>
          <w:color w:val="auto"/>
        </w:rPr>
      </w:pPr>
    </w:p>
    <w:p>
      <w:pPr>
        <w:jc w:val="both"/>
        <w:ind w:left="860" w:hanging="488"/>
        <w:spacing w:after="0" w:line="263" w:lineRule="auto"/>
        <w:tabs>
          <w:tab w:leader="none" w:pos="860" w:val="left"/>
        </w:tabs>
        <w:numPr>
          <w:ilvl w:val="0"/>
          <w:numId w:val="52"/>
        </w:numPr>
        <w:rPr>
          <w:rFonts w:ascii="Arial" w:cs="Arial" w:eastAsia="Arial" w:hAnsi="Arial"/>
          <w:sz w:val="18"/>
          <w:szCs w:val="18"/>
          <w:color w:val="auto"/>
        </w:rPr>
      </w:pPr>
      <w:r>
        <w:rPr>
          <w:rFonts w:ascii="Arial" w:cs="Arial" w:eastAsia="Arial" w:hAnsi="Arial"/>
          <w:sz w:val="18"/>
          <w:szCs w:val="18"/>
          <w:i w:val="1"/>
          <w:iCs w:val="1"/>
          <w:color w:val="auto"/>
        </w:rPr>
        <w:t>Phase III</w:t>
      </w:r>
      <w:r>
        <w:rPr>
          <w:rFonts w:ascii="Arial" w:cs="Arial" w:eastAsia="Arial" w:hAnsi="Arial"/>
          <w:sz w:val="18"/>
          <w:szCs w:val="18"/>
          <w:color w:val="auto"/>
        </w:rPr>
        <w:t>: The drug is administered to an expanded patient population, generally at geographically dispersed clinical trial sites, in well-controlled 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244"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Unlike NDA products which must be shown to be safe and effective for their intended use, ANDA products must be shown to be the same as, and bioequivalent to, a reference listed drug, or RLD. A product is considered bioequivalent if there is no significant difference in the rate and extent to which the active ingredient in the generic product and in the RLD becomes available at the site of drug action when administered at the same molar dose under similar conditions in an appropriately designed study. Accordingly, an applicant typically compares the systemic exposure profile of the generic test drug product to that of the RLD at the same regimen and exposure period as the RLD to demonstrate bioequivalence. For most ANDAs, bioequivalence must be shown in human clinical trials, but in some cases, FDA will accept in vitro data. Specific requirements are typically outlined by FDA in product-specific bioequivalence guidance.</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Submission of an NDA to the FDA</w:t>
      </w:r>
    </w:p>
    <w:p>
      <w:pPr>
        <w:spacing w:after="0" w:line="28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application user fees, as well as the annual program fees required for approved products, can be substantial. The NDA application review fee alone can exceed $2.5 million, subject to certain limited deferrals, waivers and reductions that may be available.</w:t>
      </w:r>
    </w:p>
    <w:p>
      <w:pPr>
        <w:spacing w:after="0" w:line="23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246"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Under the Prescription Drug User Fee Act, the FDA has agreed to certain performance goals in the review of NDAs through a two-tiered classification system, Standard Review and Priority Review. An NDA for a product is eligible for Priority Review if it has the potential to provide a significant improvement in the treatment, diagnosis or prevention of a serious disease or condition compared to marketed products. For non-new molecular entities, such as those typically submitted in 505(b)(2) applications, the FDA endeavors to review applications subject to Standard Review within approximately 10 months of receipt, whereas the FDA’s goal is to review Priority Review applications within approximately six months of receipt. The FDA, however, may not approve a drug within these established goals, as the review process is often significantly extended by FDA requests for additional information or clarification, and its review goals are subject to change from time to time.</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74" w:name="page75"/>
    <w:bookmarkEnd w:id="74"/>
    <w:p>
      <w:pPr>
        <w:jc w:val="both"/>
        <w:ind w:firstLine="648"/>
        <w:spacing w:after="0" w:line="260" w:lineRule="auto"/>
        <w:rPr>
          <w:sz w:val="20"/>
          <w:szCs w:val="20"/>
          <w:color w:val="auto"/>
        </w:rPr>
      </w:pPr>
      <w:r>
        <w:rPr>
          <w:rFonts w:ascii="Arial" w:cs="Arial" w:eastAsia="Arial" w:hAnsi="Arial"/>
          <w:sz w:val="22"/>
          <w:szCs w:val="22"/>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w:t>
      </w:r>
    </w:p>
    <w:p>
      <w:pPr>
        <w:spacing w:after="0" w:line="246"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After the FDA evaluates the NDA and the manufacturing facilities, it issues either an approval letter or a complete response letter to indicate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 An approval letter authorizes commercial marketing of the drug with specific prescribing information for specific indications.</w:t>
      </w:r>
    </w:p>
    <w:p>
      <w:pPr>
        <w:spacing w:after="0" w:line="21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If a product is approved, the approval will impose limitations on the indicated uses for which the product may be marketed, may require that warning statements be included in the product 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238"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us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Post-Approval Requirements</w:t>
      </w:r>
    </w:p>
    <w:p>
      <w:pPr>
        <w:spacing w:after="0" w:line="2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Any drug products for which we receive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 Failure to comply with FDA requirements can have negative consequences, including the immediate discontinuation of noncomplying materials, adverse publicity, enforcement letters from the FDA, mandated corrective advertising or communications with doctors, and civil or criminal penalties. Such enforcement may also lead to scrutiny and enforcement by other government and regulatory bodies.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75" w:name="page76"/>
    <w:bookmarkEnd w:id="75"/>
    <w:p>
      <w:pPr>
        <w:jc w:val="both"/>
        <w:ind w:firstLine="648"/>
        <w:spacing w:after="0" w:line="273" w:lineRule="auto"/>
        <w:rPr>
          <w:sz w:val="20"/>
          <w:szCs w:val="20"/>
          <w:color w:val="auto"/>
        </w:rPr>
      </w:pPr>
      <w:r>
        <w:rPr>
          <w:rFonts w:ascii="Arial" w:cs="Arial" w:eastAsia="Arial" w:hAnsi="Arial"/>
          <w:sz w:val="21"/>
          <w:szCs w:val="21"/>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23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The manufacturing of any of our product candidates will be required to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 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216"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program user fee requirements for any approved products, as well as new application fees for supplemental applications with clinical data.</w:t>
      </w:r>
    </w:p>
    <w:p>
      <w:pPr>
        <w:spacing w:after="0" w:line="23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FDA also may require post-marketing testing, or Phase IV testing, as well as risk minimization action plans and surveillance to monitor the effects of an approved product or place conditions on an approval that could otherwise restrict the distribution or use of our product candidates.</w:t>
      </w:r>
    </w:p>
    <w:p>
      <w:pPr>
        <w:spacing w:after="0" w:line="239"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229" w:lineRule="exact"/>
        <w:rPr>
          <w:sz w:val="20"/>
          <w:szCs w:val="20"/>
          <w:color w:val="auto"/>
        </w:rPr>
      </w:pPr>
    </w:p>
    <w:p>
      <w:pPr>
        <w:ind w:left="860" w:hanging="488"/>
        <w:spacing w:after="0"/>
        <w:tabs>
          <w:tab w:leader="none" w:pos="860" w:val="left"/>
        </w:tabs>
        <w:numPr>
          <w:ilvl w:val="0"/>
          <w:numId w:val="53"/>
        </w:numPr>
        <w:rPr>
          <w:rFonts w:ascii="Arial" w:cs="Arial" w:eastAsia="Arial" w:hAnsi="Arial"/>
          <w:sz w:val="17"/>
          <w:szCs w:val="17"/>
          <w:color w:val="auto"/>
        </w:rPr>
      </w:pPr>
      <w:r>
        <w:rPr>
          <w:rFonts w:ascii="Arial" w:cs="Arial" w:eastAsia="Arial" w:hAnsi="Arial"/>
          <w:sz w:val="17"/>
          <w:szCs w:val="17"/>
          <w:color w:val="auto"/>
        </w:rPr>
        <w:t>restrictions on the marketing or manufacturing of the product, complete withdrawal of the product from the market or product recalls;</w:t>
      </w:r>
    </w:p>
    <w:p>
      <w:pPr>
        <w:spacing w:after="0" w:line="290" w:lineRule="exact"/>
        <w:rPr>
          <w:rFonts w:ascii="Arial" w:cs="Arial" w:eastAsia="Arial" w:hAnsi="Arial"/>
          <w:sz w:val="17"/>
          <w:szCs w:val="17"/>
          <w:color w:val="auto"/>
        </w:rPr>
      </w:pPr>
    </w:p>
    <w:p>
      <w:pPr>
        <w:ind w:left="860" w:hanging="488"/>
        <w:spacing w:after="0"/>
        <w:tabs>
          <w:tab w:leader="none" w:pos="8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fines, warning letters or holds on post-approval clinical trials;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53"/>
        </w:numPr>
        <w:rPr>
          <w:rFonts w:ascii="Arial" w:cs="Arial" w:eastAsia="Arial" w:hAnsi="Arial"/>
          <w:sz w:val="17"/>
          <w:szCs w:val="17"/>
          <w:color w:val="auto"/>
        </w:rPr>
      </w:pPr>
      <w:r>
        <w:rPr>
          <w:rFonts w:ascii="Arial" w:cs="Arial" w:eastAsia="Arial" w:hAnsi="Arial"/>
          <w:sz w:val="17"/>
          <w:szCs w:val="17"/>
          <w:color w:val="auto"/>
        </w:rPr>
        <w:t>refusal of the FDA to approve pending NDAs or supplements to approved NDAs, or suspension or revocation of product approvals;</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76" w:name="page77"/>
    <w:bookmarkEnd w:id="76"/>
    <w:p>
      <w:pPr>
        <w:ind w:left="860" w:hanging="488"/>
        <w:spacing w:after="0"/>
        <w:tabs>
          <w:tab w:leader="none" w:pos="8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product seizure or detention, or refusal to permit the import or export of products; or</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injunctions or the imposition of civil or criminal penalties.</w:t>
      </w:r>
    </w:p>
    <w:p>
      <w:pPr>
        <w:spacing w:after="0" w:line="285"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Pediatric trials and exclusivity</w:t>
      </w:r>
    </w:p>
    <w:p>
      <w:pPr>
        <w:spacing w:after="0" w:line="2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Sponsors must also submit pediatric study plans prior to the assessment data. Those plans must contain an outline of the proposed pediatric trials the applicant plans to conduct, including trial objectives and design, any deferral or waiver requests, and other information required by the statute. The applicant, the FDA, and the FDA’s internal review committee must then review the information submitted, consult with each other, and agree upon a final plan. The FDA or the applicant may request an amendment to the plan at any time.</w:t>
      </w:r>
    </w:p>
    <w:p>
      <w:pPr>
        <w:spacing w:after="0" w:line="233"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The FDA may also, on its own initiative or at the request of the applicant, grant deferrals for submission of some or all pediatric data until after approval of the product for use in adults, or full or partial waivers from the pediatric data requirements.</w:t>
      </w:r>
    </w:p>
    <w:p>
      <w:pPr>
        <w:spacing w:after="0" w:line="158"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Separately, in the event the FDA makes a written request for pediatric data relating to a drug product, an NDA sponsor who submits such data may be entitled to pediatric exclusivity. Pediatric exclusivity is another type of non-patent marketing exclusivity in the United States and, if granted, provides for the attachment of an additional six months of marketing protection to the term of any existing exclusivity.</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The Hatch-Waxman Amendments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ANDA Approval Process</w:t>
      </w:r>
    </w:p>
    <w:p>
      <w:pPr>
        <w:spacing w:after="0" w:line="28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The Hatch-Waxman Amendments established abbreviated FDA approval procedures for drugs that are shown to be equivalent to proprietary drugs previously approved by the FDA through the NDA process. Approval to market and distribute these drugs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 We are developing certain of our product candidates as generic drugs, for which we intend to submit ANDAs to the FDA.</w:t>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505(b)(2) NDAs</w:t>
      </w:r>
    </w:p>
    <w:p>
      <w:pPr>
        <w:spacing w:after="0" w:line="287"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Section 505(b)(2) was enacted as part of the Hatch-Waxman Amendment, and permits the filing of an NDA where at least some of the information required for approval comes from studies or trials not conducted by or for the applicant and for which the applicant has not obtained a right of reference. Section 505(b)(2) typically serves as an alternative path to FDA approval for modifications to formulations or uses of products previously approved by the FDA.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 new product candidate for all, or some, of the labeled indications for which the branded reference drug has been approved, as well as for any new indication sought by the 505(b)(2) applicant. We are developing our branded product candidates with the expectation that we will submit 505(b)(2) NDAs to FDA for these products.</w:t>
      </w:r>
    </w:p>
    <w:p>
      <w:pPr>
        <w:sectPr>
          <w:pgSz w:w="11900" w:h="16838" w:orient="portrait"/>
          <w:cols w:equalWidth="0" w:num="1">
            <w:col w:w="11240"/>
          </w:cols>
          <w:pgMar w:left="320" w:top="125" w:right="339" w:bottom="749" w:gutter="0" w:footer="0" w:header="0"/>
        </w:sect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749" w:gutter="0" w:footer="0" w:header="0"/>
          <w:type w:val="continuous"/>
        </w:sectPr>
      </w:pPr>
    </w:p>
    <w:bookmarkStart w:id="77" w:name="page78"/>
    <w:bookmarkEnd w:id="77"/>
    <w:p>
      <w:pPr>
        <w:spacing w:after="0"/>
        <w:rPr>
          <w:sz w:val="20"/>
          <w:szCs w:val="20"/>
          <w:color w:val="auto"/>
        </w:rPr>
      </w:pPr>
      <w:r>
        <w:rPr>
          <w:rFonts w:ascii="Arial" w:cs="Arial" w:eastAsia="Arial" w:hAnsi="Arial"/>
          <w:sz w:val="22"/>
          <w:szCs w:val="22"/>
          <w:i w:val="1"/>
          <w:iCs w:val="1"/>
          <w:color w:val="auto"/>
        </w:rPr>
        <w:t>Orange Book Listing</w:t>
      </w:r>
    </w:p>
    <w:p>
      <w:pPr>
        <w:spacing w:after="0" w:line="28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In seeking approval for a drug through an NDA, including a 505(b)(2) NDA, applicants are required to list with the FDA certain patents whose claims cover the applicant’s product or method of using the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(1) that no patent information on the drug product that is the subject of the application has been submitted to the FDA; (2) that such patent has expired; (3) the date on which such patent expires; or (4) that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a patented method-of-use rather than certify to a listed method-of-use patent.</w:t>
      </w:r>
    </w:p>
    <w:p>
      <w:pPr>
        <w:spacing w:after="0" w:line="21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245"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20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24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Notwithstanding the approval of many products by the FDA pursuant to Section 505(b)(2), over the last few years, some pharmaceutical companies and others have objected to the FDA’s interpretation of Section 505(b)(2). If the FDA changes its interpretation of Section 505(b)(2), or if the FDA’s interpretation is successfully challenged in court, this could delay or even prevent the FDA from approving any Section 505(b)(2) NDA that we submit.</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78" w:name="page79"/>
    <w:bookmarkEnd w:id="78"/>
    <w:p>
      <w:pPr>
        <w:spacing w:after="0"/>
        <w:rPr>
          <w:sz w:val="20"/>
          <w:szCs w:val="20"/>
          <w:color w:val="auto"/>
        </w:rPr>
      </w:pPr>
      <w:r>
        <w:rPr>
          <w:rFonts w:ascii="Arial" w:cs="Arial" w:eastAsia="Arial" w:hAnsi="Arial"/>
          <w:sz w:val="22"/>
          <w:szCs w:val="22"/>
          <w:i w:val="1"/>
          <w:iCs w:val="1"/>
          <w:color w:val="auto"/>
        </w:rPr>
        <w:t>Non-Patent Exclusivity</w:t>
      </w:r>
    </w:p>
    <w:p>
      <w:pPr>
        <w:spacing w:after="0" w:line="2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In addition to patent exclusivity, NDA holders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w:t>
      </w:r>
    </w:p>
    <w:p>
      <w:pPr>
        <w:spacing w:after="0" w:line="23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 or 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23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Patent Term Restoration and Extension</w:t>
      </w:r>
    </w:p>
    <w:p>
      <w:pPr>
        <w:spacing w:after="0" w:line="287"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A patent claiming a new drug product may be eligible for a limited patent term extension, or PTE, under the Hatch-Waxman Amendments, which permits an extended patent term of up to five years for the developed pharmaceutical to compensate for patent term lost during product development and the FDA regulatory review. The PTE period granted is typically one-half the time between the effective date of an IND and the submission date of an NDA, plus the time between the submission date of an NDA and the ultimate approval date. However, the PTE cannot be used to extend the remaining term of a patent past a total of 14 years from the product’s approval date. Only one patent applicable to an approved drug product is eligible for the extension, and the application for the extension must be submitted prior to the expiration of the patent in question. A patent that covers multiple drugs for which approval is sought can only be extended in connection with one of the approvals. The U.S. Patent and Trademark Office reviews and approves the PTE application in consultation with the FDA.</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Review and Approval of Drug Products Outside the United States</w:t>
      </w:r>
    </w:p>
    <w:p>
      <w:pPr>
        <w:spacing w:after="0" w:line="2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208"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2"/>
          <w:szCs w:val="22"/>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79" w:name="page80"/>
    <w:bookmarkEnd w:id="79"/>
    <w:p>
      <w:pPr>
        <w:spacing w:after="0"/>
        <w:rPr>
          <w:sz w:val="20"/>
          <w:szCs w:val="20"/>
          <w:color w:val="auto"/>
        </w:rPr>
      </w:pPr>
      <w:r>
        <w:rPr>
          <w:rFonts w:ascii="Arial" w:cs="Arial" w:eastAsia="Arial" w:hAnsi="Arial"/>
          <w:sz w:val="22"/>
          <w:szCs w:val="22"/>
          <w:b w:val="1"/>
          <w:bCs w:val="1"/>
          <w:i w:val="1"/>
          <w:iCs w:val="1"/>
          <w:color w:val="auto"/>
        </w:rPr>
        <w:t>Pharmaceutical Coverage, Pricing and Reimbursement</w:t>
      </w:r>
    </w:p>
    <w:p>
      <w:pPr>
        <w:spacing w:after="0" w:line="2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233"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Third-party payors are increasingly challenging the price and examining the medical necessity and cost-effectiveness of medical products and services, in addition to their safety and efficacy. We may need to conduct expensive pharmacoeconomic studies in order to demonstrate the medical necessity and cost-effectiveness of Epsolay® and Twyneo®, in addition to the costs required to obtain the FDA approvals. For example, Epsolay® and Twyneo®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21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In March 2010, the President of the United States signed the Affordable Care Act, one of the most significant healthcare reform measures in decades. The Affordable Care Act substantially changed the way healthcare is financed by both governmental and private insurers, and significantly impacted the pharmaceutical industry. The Affordable Care Act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w:t>
      </w:r>
    </w:p>
    <w:p>
      <w:pPr>
        <w:spacing w:after="0" w:line="249" w:lineRule="exact"/>
        <w:rPr>
          <w:sz w:val="20"/>
          <w:szCs w:val="20"/>
          <w:color w:val="auto"/>
        </w:rPr>
      </w:pPr>
    </w:p>
    <w:p>
      <w:pPr>
        <w:ind w:left="380"/>
        <w:spacing w:after="0"/>
        <w:rPr>
          <w:sz w:val="20"/>
          <w:szCs w:val="20"/>
          <w:color w:val="auto"/>
        </w:rPr>
      </w:pPr>
      <w:r>
        <w:rPr>
          <w:rFonts w:ascii="Arial" w:cs="Arial" w:eastAsia="Arial" w:hAnsi="Arial"/>
          <w:sz w:val="22"/>
          <w:szCs w:val="22"/>
          <w:color w:val="auto"/>
        </w:rPr>
        <w:t>Additionally, the Affordable Care Act:</w:t>
      </w:r>
    </w:p>
    <w:p>
      <w:pPr>
        <w:spacing w:after="0" w:line="281" w:lineRule="exact"/>
        <w:rPr>
          <w:sz w:val="20"/>
          <w:szCs w:val="20"/>
          <w:color w:val="auto"/>
        </w:rPr>
      </w:pPr>
    </w:p>
    <w:p>
      <w:pPr>
        <w:ind w:left="860" w:hanging="488"/>
        <w:spacing w:after="0"/>
        <w:tabs>
          <w:tab w:leader="none" w:pos="8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increased the minimum level of rebates payable by manufacturers of brand-name drugs from 15.1% to 23.1%; 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55"/>
        </w:numPr>
        <w:rPr>
          <w:rFonts w:ascii="Arial" w:cs="Arial" w:eastAsia="Arial" w:hAnsi="Arial"/>
          <w:sz w:val="18"/>
          <w:szCs w:val="18"/>
          <w:color w:val="auto"/>
        </w:rPr>
      </w:pPr>
      <w:r>
        <w:rPr>
          <w:rFonts w:ascii="Arial" w:cs="Arial" w:eastAsia="Arial" w:hAnsi="Arial"/>
          <w:sz w:val="18"/>
          <w:szCs w:val="18"/>
          <w:color w:val="auto"/>
        </w:rPr>
        <w:t>imposed a non-deductible annual fee on pharmaceutical manufacturers or importers who sell “branded prescription drugs” to specified federal government programs.</w:t>
      </w:r>
    </w:p>
    <w:p>
      <w:pPr>
        <w:spacing w:after="0" w:line="231"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Since its enactment, there have been judicial and Congressional challenges to certain aspects of the Affordable Care Act. By way of example, the Tax Act was enacted, which, among other things, removes penalties for not complying with the Affordable Care Act’s individual mandate to carry health insurance. On December 14, 2018, a U.S. District Court Judge in the Northern District of Texas, ruled that the individual mandate is a critical and inseverable feature of the Affordable Care Act, and therefore, because it was repealed as part of the Tax Act, the remaining provisions of the Affordable Care Act are invalid as well. On December 18, 2019, the U.S. Court of Appeals for the 5th Circuit upheld the District Court's decision that the individual mandate was unconstitutional but remanded the case back to the District Court to determine whether the remaining provisions of the Affordable Care Act are invalid as well. It is unclear how these decisions, subsequent appeals, or other efforts to challenge, repeal or replace the Affordable Care Act will impact the law or our business.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80" w:name="page81"/>
    <w:bookmarkEnd w:id="80"/>
    <w:p>
      <w:pPr>
        <w:jc w:val="both"/>
        <w:ind w:firstLine="648"/>
        <w:spacing w:after="0" w:line="300" w:lineRule="auto"/>
        <w:rPr>
          <w:sz w:val="20"/>
          <w:szCs w:val="20"/>
          <w:color w:val="auto"/>
        </w:rPr>
      </w:pPr>
      <w:r>
        <w:rPr>
          <w:rFonts w:ascii="Arial" w:cs="Arial" w:eastAsia="Arial" w:hAnsi="Arial"/>
          <w:sz w:val="19"/>
          <w:szCs w:val="19"/>
          <w:color w:val="auto"/>
        </w:rPr>
        <w:t>In addition, other legislative changes have been proposed and adopted since the Affordable Care Act was enacted. For example, the Budget Control Act of 2011 resulted in aggregate reductions to Medicare payments to providers of 2% per fiscal year, which went into effect on April 1, 2013 and, due to subsequent legislative amendments to the statute, will stay in effect through 2029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Recently there has also been heightened governmental scrutiny over the manner in which manufacturers set prices for their marketed products, which has resulted in several Congressional inquiries and proposed and enacted legislation designed to, among other things, bring more transparency to product pricing, review the relationship between pricing and manufacturer patient programs and reform government program reimbursement methodologies.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our product candidates, if approved.</w:t>
      </w:r>
    </w:p>
    <w:p>
      <w:pPr>
        <w:spacing w:after="0" w:line="223"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Healthcare Laws and Regulations</w:t>
      </w:r>
    </w:p>
    <w:p>
      <w:pPr>
        <w:spacing w:after="0" w:line="28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Although currently have any product candidates on the market, other than the first generic version of Zovirax® (acyclovir) cream, 5% for which Perrigo, our collaborator, received final FDA approval in February 2019, 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privacy and security, price reporting and physician sunshine laws. Some of our pre-commercial activities are subject to some of these laws.</w:t>
      </w:r>
    </w:p>
    <w:p>
      <w:pPr>
        <w:spacing w:after="0" w:line="236"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 Violations of this law are punishable by up to ten years in prison, and can also result in criminal fines, civil money penalties and exclusion from participation in federal healthcare programs. Moreover, a claim including items or services resulting from a violation of the federal Anti-Kickback Statute constitutes a false or fraudulent claim for purposes of the federal civil False Claims Act.</w:t>
      </w:r>
    </w:p>
    <w:p>
      <w:pPr>
        <w:sectPr>
          <w:pgSz w:w="11900" w:h="16838" w:orient="portrait"/>
          <w:cols w:equalWidth="0" w:num="1">
            <w:col w:w="11240"/>
          </w:cols>
          <w:pgMar w:left="320" w:top="132" w:right="339" w:bottom="371" w:gutter="0" w:footer="0" w:header="0"/>
        </w:sectPr>
      </w:pP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371" w:gutter="0" w:footer="0" w:header="0"/>
          <w:type w:val="continuous"/>
        </w:sectPr>
      </w:pPr>
    </w:p>
    <w:bookmarkStart w:id="81" w:name="page82"/>
    <w:bookmarkEnd w:id="81"/>
    <w:p>
      <w:pPr>
        <w:jc w:val="both"/>
        <w:ind w:firstLine="648"/>
        <w:spacing w:after="0" w:line="301" w:lineRule="auto"/>
        <w:rPr>
          <w:sz w:val="20"/>
          <w:szCs w:val="20"/>
          <w:color w:val="auto"/>
        </w:rPr>
      </w:pPr>
      <w:r>
        <w:rPr>
          <w:rFonts w:ascii="Arial" w:cs="Arial" w:eastAsia="Arial" w:hAnsi="Arial"/>
          <w:sz w:val="19"/>
          <w:szCs w:val="19"/>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knowingly making, using or causing to be made or used, a false record or statement material to a false or fraudulent claim, or from knowingly making a false statement to avoid, decrease or conceal an obligation to pay money to a federal program.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Penalties for federal civil False Claims Act violations may include up to three times the actual damages sustained by the government, plus mandatory civil penalties for each separate false claim, the potential for exclusion from participation in federal healthcare programs, and, although the federal False Claims Act is a civil statute, False Claims Act violations may also implicate various federal criminal statutes.</w:t>
      </w:r>
    </w:p>
    <w:p>
      <w:pPr>
        <w:spacing w:after="0" w:line="218"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23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239" w:lineRule="exact"/>
        <w:rPr>
          <w:sz w:val="20"/>
          <w:szCs w:val="20"/>
          <w:color w:val="auto"/>
        </w:rPr>
      </w:pPr>
    </w:p>
    <w:p>
      <w:pPr>
        <w:jc w:val="both"/>
        <w:ind w:firstLine="648"/>
        <w:spacing w:after="0" w:line="299" w:lineRule="auto"/>
        <w:rPr>
          <w:sz w:val="20"/>
          <w:szCs w:val="20"/>
          <w:color w:val="auto"/>
        </w:rPr>
      </w:pPr>
      <w:r>
        <w:rPr>
          <w:rFonts w:ascii="Arial" w:cs="Arial" w:eastAsia="Arial" w:hAnsi="Arial"/>
          <w:sz w:val="19"/>
          <w:szCs w:val="19"/>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 For example, the collection and use of personal health data in the European Union, previously governed by the provisions of the Data Protection Directive, is now governed by the GDPR, which became effective on May 25, 2018. While the Data Protection Directive did not apply to organizations based outside the EU, the GDPR has expanded its reach to include any business, regardless of its location, that provides goods or services to residents in the EU. This expansion would incorporate any clinical trial activities in EU members states. The GDPR imposes strict requirements on controllers and processors of personal data, including special protections for “sensitive information” which includes health and genetic information of data subjects residing in the EU. GDPR grants individuals the opportunity to object to the processing of their personal information, allows them to request deletion of personal information in certain circumstances, and provides the individual with an express right to seek legal remedies in the event the individual believes his or her rights have been violated. Further, the GDPR imposes strict rules on the transfer of personal data out of the European Union to the United States or other regions that have not been deemed to offer “adequate” privacy protections. Failure to comply with the requirements of the GDPR and the related national data protection laws of the European Union Member States, which may deviate slightly from the GDPR, may result in fines of up to 4% of global revenues, or € 20,000,000, whichever is greater. Additionally, following the United Kingdom’s withdrawal from the European Union, we will have to comply with the GDPR and the United Kingdom GDPR, each regime having the ability to fine up to the greater of €20 million/ £17.5 million or 4% of global turnover. The relationship between the United Kingdom and the European Union in relation to certain aspects of data protection law remains unclear, for example around how data can lawfully be transferred between each jurisdiction, which exposes us to further compliance risk.</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82" w:name="page83"/>
    <w:bookmarkEnd w:id="82"/>
    <w:p>
      <w:pPr>
        <w:jc w:val="both"/>
        <w:ind w:firstLine="648"/>
        <w:spacing w:after="0" w:line="300" w:lineRule="auto"/>
        <w:rPr>
          <w:sz w:val="20"/>
          <w:szCs w:val="20"/>
          <w:color w:val="auto"/>
        </w:rPr>
      </w:pPr>
      <w:r>
        <w:rPr>
          <w:rFonts w:ascii="Arial" w:cs="Arial" w:eastAsia="Arial" w:hAnsi="Arial"/>
          <w:sz w:val="19"/>
          <w:szCs w:val="19"/>
          <w:color w:val="auto"/>
        </w:rPr>
        <w:t>HIPAA, as amended by HITECH, and their implementing regulations, including the final omnibus rule published on January 25, 2013, mandates, among other things, the adoption of uniform standards for the electronic exchange of information in common healthcare transactions, as well as standards relating to the privacy and security of individually identifiable health information, which require the adoption of administrative, physical and technical safeguards to protect such information. Among other things, HITECH makes HIPAA’s security standards directly applicable to business associates, defined as independent contractors or agents of covered entities that create, receive or obtain protected health information in connection with providing a service for or on behalf of a covered entity. HITECH also increased the civil and criminal penalties that may be imposed against covered entities and business associates, and gave state attorneys general new authority to file civil actions for damages or injunctions in federal courts to enforce the federal HIPAA laws and seek attorney’s fees and costs associated with pursuing federal civil actions. In addition, certain state laws govern the privacy and security of health information in certain circumstances, some of which are more stringent than HIPAA and many of which differ from each other in significant ways and may not have the same effect, thus complicating compliance efforts. Failure to comply with these laws, where applicable, can result in the imposition of significant civil and/or criminal penalties. By way of example, California enacted the California Consumer Privacy Act, or CCPA, on June 28, 2018, which went into effect on January 1, 2020. The CCPA gives California residents expanded rights to access and delete their personal information, opt out of certain personal information sharing, and receive detailed information about how their personal information is used. The CCPA provides for civil penalties for violations, as well as a private right of action for data breaches that is expected to increase data breach litigation. The CCPA may increase our compliance costs and potential liability.</w:t>
      </w:r>
    </w:p>
    <w:p>
      <w:pPr>
        <w:spacing w:after="0" w:line="200" w:lineRule="exact"/>
        <w:rPr>
          <w:sz w:val="20"/>
          <w:szCs w:val="20"/>
          <w:color w:val="auto"/>
        </w:rPr>
      </w:pPr>
    </w:p>
    <w:p>
      <w:pPr>
        <w:spacing w:after="0" w:line="287"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 Affordable Care Act imposed, among other things, new annual reporting requirements for covered manufacturers for certain payments and other transfers of value provided to physicians (defined to include doctors, dentists, optometrists, podiatrists and chiropractors), certain other health care providers beginning in 2022, and teaching hospitals, as well as certain ownership and investment interests held by physicians as defined by statute and their immediate family members. Failure to submit timely, accurately and completely the required information for all payments, transfers of value and ownership or investment interests may result in civil monetary penalties.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20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Because we intend to commercialize products that could be covered by a federal healthcare program and other governmental healthcare programs, we intend to develop a comprehensive compliance program that establishes internal controls to facilitate adherence to the rules and program requirements to which we will or may become subject. Although the development and implementation of compliance programs designed to establish internal controls and facilitate compliance can mitigate the risk of investigation, prosecution, and penalties assessed for violations of these laws, the risks cannot be entirely eliminated.</w:t>
      </w:r>
    </w:p>
    <w:p>
      <w:pPr>
        <w:spacing w:after="0" w:line="20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or similar programs in other countries or jurisdictions, integrity oversight and reporting obligations, and individual imprisonment, any of which could adversely affect our ability to operate our business and our financial results.</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Innovation Authority</w:t>
      </w:r>
    </w:p>
    <w:p>
      <w:pPr>
        <w:spacing w:after="0" w:line="287"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We have received royalty-bearing grants from the government of Israel through the IIA, for the financing of a portion of our research and development expenditures in Israel.</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83" w:name="page84"/>
    <w:bookmarkEnd w:id="83"/>
    <w:p>
      <w:pPr>
        <w:ind w:firstLine="648"/>
        <w:spacing w:after="0" w:line="276" w:lineRule="auto"/>
        <w:rPr>
          <w:sz w:val="20"/>
          <w:szCs w:val="20"/>
          <w:color w:val="auto"/>
        </w:rPr>
      </w:pPr>
      <w:r>
        <w:rPr>
          <w:rFonts w:ascii="Arial" w:cs="Arial" w:eastAsia="Arial" w:hAnsi="Arial"/>
          <w:sz w:val="22"/>
          <w:szCs w:val="22"/>
          <w:color w:val="auto"/>
        </w:rPr>
        <w:t>Under the Innovation Law and the IIA’s rules and guidelines, recipients of grants, or Recipient Company(ies), are subject to certain obligations including, the following:</w:t>
      </w:r>
    </w:p>
    <w:p>
      <w:pPr>
        <w:spacing w:after="0" w:line="222" w:lineRule="exact"/>
        <w:rPr>
          <w:sz w:val="20"/>
          <w:szCs w:val="20"/>
          <w:color w:val="auto"/>
        </w:rPr>
      </w:pPr>
    </w:p>
    <w:p>
      <w:pPr>
        <w:jc w:val="both"/>
        <w:ind w:left="860" w:hanging="488"/>
        <w:spacing w:after="0" w:line="273" w:lineRule="auto"/>
        <w:tabs>
          <w:tab w:leader="none" w:pos="8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In general, the Recipient Company is obligated to pay the IIA royalties from the revenues generated from the sale of products (and related services) developed (in all or in part) as a result of, a research and development program funded by the IIA at rates which are determined under the IIA’s rules and guidelines (currently a yearly rate of 1.3% to 5% on sales of products or services developed under the approved programs, depending on the type of the Recipient Company — i.e., whether it is a “Small Company,” a “Large Company” or a “Traditional Industrial Company” as such terms are defined in the IIA’s rules and guidelines), up to the aggregate amount of the total grants received by the IIA, plus annual interest (as determined in the IIA’s rules and guidelines);</w:t>
      </w:r>
    </w:p>
    <w:p>
      <w:pPr>
        <w:spacing w:after="0" w:line="231" w:lineRule="exact"/>
        <w:rPr>
          <w:rFonts w:ascii="Arial" w:cs="Arial" w:eastAsia="Arial" w:hAnsi="Arial"/>
          <w:sz w:val="17"/>
          <w:szCs w:val="17"/>
          <w:color w:val="auto"/>
        </w:rPr>
      </w:pPr>
    </w:p>
    <w:p>
      <w:pPr>
        <w:jc w:val="both"/>
        <w:ind w:left="860" w:hanging="488"/>
        <w:spacing w:after="0" w:line="271" w:lineRule="auto"/>
        <w:tabs>
          <w:tab w:leader="none" w:pos="8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Products developed as a result of the IIA funded R&amp;D must, as a general matter, be manufactured in Israel. The Recipient Company is prohibited from manufacturing products developed using these IIA grants outside of the State of Israel without receiving prior approval from the IIA (except for the transfer of less than 10% of the manufacturing capacity in the aggregate which requires only a notice). If the Recipient Company receives approval to manufacture products developed with government grants outside of Israel, it will be required to pay increased royalties to the IIA, up to 300% of the grant amount plus interest, depending on the manufacturing volume that is performed outside of Israel. The Recipient Company may also be subject to an accelerated royalty repayment rate. A Recipient Company also has the option of declaring in its IIA grant application its intention to exercise a portion of the manufacturing capacity abroad, thus avoiding the need to obtain additional approval following the receipt of the grant; and</w:t>
      </w:r>
    </w:p>
    <w:p>
      <w:pPr>
        <w:spacing w:after="0" w:line="232" w:lineRule="exact"/>
        <w:rPr>
          <w:rFonts w:ascii="Arial" w:cs="Arial" w:eastAsia="Arial" w:hAnsi="Arial"/>
          <w:sz w:val="17"/>
          <w:szCs w:val="17"/>
          <w:color w:val="auto"/>
        </w:rPr>
      </w:pPr>
    </w:p>
    <w:p>
      <w:pPr>
        <w:jc w:val="both"/>
        <w:ind w:left="860" w:hanging="488"/>
        <w:spacing w:after="0" w:line="259" w:lineRule="auto"/>
        <w:tabs>
          <w:tab w:leader="none" w:pos="8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Under the IIA’s rules and guidelines, a Recipient Company is prohibited from transferring the IIA-financed know-how and related intellectual property rights outside of Israel except under limited circumstances, and only with the approval of the Research Committee and subject to certain payments to the IIA calculated according to formulas provided under the IIA’s rules and guidelines (which are capped to amounts specified under such rules and guidelines).</w:t>
      </w:r>
    </w:p>
    <w:p>
      <w:pPr>
        <w:spacing w:after="0" w:line="24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We have received grants from the IIA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w:t>
      </w:r>
    </w:p>
    <w:p>
      <w:pPr>
        <w:spacing w:after="0" w:line="24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Even if our IIA funded know-how is transferred to another Israeli entity, the transfer would require the IIA’s approval but will not be subject to the payment of a redemption fee (we note that there will be an obligation to pay royalties to the IIA from the income of such sale transaction as part of the royalty payment obligation). In such case, the acquiring company would have to assume all of our responsibilities towards the IIA as a condition to the IIA’s approval.</w:t>
      </w:r>
    </w:p>
    <w:p>
      <w:pPr>
        <w:spacing w:after="0" w:line="227"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The government of Israel does not own intellectual property rights in technology developed with IIA funding and there is no restriction on the export of products manufactured using technology developed with IIA funding. However, the know-how is subject to transfer of know-how and manufacturing rights restrictions as described above. The IIA’s approval is not required for the export of any products resulting from the IIA research or development grants. In addition, the IIA has recently published new rules and guidelines for the granting of licenses to use know-how developed as a result of research financed by the IIA to foreign entities. According to such rules, we will be required to receive the IIA’s prior approval for the grant of such use rights, and we will be subject to the IIA in accordance with the formula stipulated under these rules and guidelines.</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84" w:name="page85"/>
    <w:bookmarkEnd w:id="84"/>
    <w:p>
      <w:pPr>
        <w:jc w:val="both"/>
        <w:ind w:firstLine="648"/>
        <w:spacing w:after="0" w:line="273" w:lineRule="auto"/>
        <w:rPr>
          <w:sz w:val="20"/>
          <w:szCs w:val="20"/>
          <w:color w:val="auto"/>
        </w:rPr>
      </w:pPr>
      <w:r>
        <w:rPr>
          <w:rFonts w:ascii="Arial" w:cs="Arial" w:eastAsia="Arial" w:hAnsi="Arial"/>
          <w:sz w:val="21"/>
          <w:szCs w:val="21"/>
          <w:color w:val="auto"/>
        </w:rPr>
        <w:t>Pursuant to Amendment No. 7 of the Innovation Law, the IIA is authorized to change the restrictions imposed on the recipients of grants that were stipulated under the Innovation Law prior to the effectiveness of Amendment No. 7 with a new set of arrangements in connection with ownership obligations of know-how (including with respect to restrictions on transfer of know-how and manufacturing activities outside of Israel), as well as royalties obligations associated with approved programs. Amendment No. 7 also includes provisions with respect to sanctions imposed for violations of the Innovation Law. Although the IIA published rules which for the most part adopted the principal provisions and restrictions specified in the Innovation Law prior to the effectiveness of Amendment No. 7, as of the date of this annual report, we are unable to assess the effect on our business of any future rules which may be published by the IIA.</w:t>
      </w:r>
    </w:p>
    <w:p>
      <w:pPr>
        <w:spacing w:after="0" w:line="233"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We may not receive the required approvals for any actual proposed transfer and, if received, we may be required to pay the IIA a portion of the consideration that we receive upon any sale of the IIA funded know-how to a non-Israeli entity. The scope of the support received, the royalties that we have already paid to the IIA, the amount of time that has elapsed between the date on which the know-how was transferred and the date on which the IIA grants were received and the sale price and the form of transaction will be taken into account in calculating the amount of the payment to the IIA.</w:t>
      </w:r>
    </w:p>
    <w:p>
      <w:pPr>
        <w:spacing w:after="0" w:line="19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Environmental, Health and Safety Matters</w:t>
      </w:r>
    </w:p>
    <w:p>
      <w:pPr>
        <w:spacing w:after="0" w:line="293"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As of the date of this annual report, we are in the process of updating our business permit which was originally in effect until December 31, 2019.</w:t>
      </w:r>
    </w:p>
    <w:p>
      <w:pPr>
        <w:spacing w:after="0" w:line="212"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20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239"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19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Properties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principal executive offices are located in a leased facility in Weizmann Science Park, Ness Ziona 7403650, Israel. The facility is 2,040 square meters, and houses our offices, warehouse, laboratories and production area. Our lease will expire on December 31, 2023.</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85" w:name="page86"/>
    <w:bookmarkEnd w:id="85"/>
    <w:p>
      <w:pPr>
        <w:spacing w:after="0"/>
        <w:rPr>
          <w:sz w:val="20"/>
          <w:szCs w:val="20"/>
          <w:color w:val="auto"/>
        </w:rPr>
      </w:pPr>
      <w:r>
        <w:rPr>
          <w:rFonts w:ascii="Arial" w:cs="Arial" w:eastAsia="Arial" w:hAnsi="Arial"/>
          <w:sz w:val="22"/>
          <w:szCs w:val="22"/>
          <w:b w:val="1"/>
          <w:bCs w:val="1"/>
          <w:color w:val="auto"/>
        </w:rPr>
        <w:t>Legal Proceedings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We are not subject to any material legal proceedings.</w:t>
      </w:r>
    </w:p>
    <w:p>
      <w:pPr>
        <w:spacing w:after="0" w:line="281" w:lineRule="exact"/>
        <w:rPr>
          <w:sz w:val="20"/>
          <w:szCs w:val="20"/>
          <w:color w:val="auto"/>
        </w:rPr>
      </w:pPr>
    </w:p>
    <w:p>
      <w:pPr>
        <w:ind w:left="820" w:hanging="812"/>
        <w:spacing w:after="0"/>
        <w:tabs>
          <w:tab w:leader="none" w:pos="820" w:val="left"/>
        </w:tabs>
        <w:numPr>
          <w:ilvl w:val="0"/>
          <w:numId w:val="57"/>
        </w:numPr>
        <w:rPr>
          <w:rFonts w:ascii="Arial" w:cs="Arial" w:eastAsia="Arial" w:hAnsi="Arial"/>
          <w:sz w:val="22"/>
          <w:szCs w:val="22"/>
          <w:b w:val="1"/>
          <w:bCs w:val="1"/>
          <w:color w:val="auto"/>
        </w:rPr>
      </w:pPr>
      <w:r>
        <w:rPr>
          <w:rFonts w:ascii="Arial" w:cs="Arial" w:eastAsia="Arial" w:hAnsi="Arial"/>
          <w:sz w:val="22"/>
          <w:szCs w:val="22"/>
          <w:b w:val="1"/>
          <w:bCs w:val="1"/>
          <w:color w:val="auto"/>
        </w:rPr>
        <w:t>Organizational Structure</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820" w:hanging="812"/>
        <w:spacing w:after="0"/>
        <w:tabs>
          <w:tab w:leader="none" w:pos="820" w:val="left"/>
        </w:tabs>
        <w:numPr>
          <w:ilvl w:val="0"/>
          <w:numId w:val="58"/>
        </w:numPr>
        <w:rPr>
          <w:rFonts w:ascii="Arial" w:cs="Arial" w:eastAsia="Arial" w:hAnsi="Arial"/>
          <w:sz w:val="22"/>
          <w:szCs w:val="22"/>
          <w:b w:val="1"/>
          <w:bCs w:val="1"/>
          <w:color w:val="auto"/>
        </w:rPr>
      </w:pPr>
      <w:r>
        <w:rPr>
          <w:rFonts w:ascii="Arial" w:cs="Arial" w:eastAsia="Arial" w:hAnsi="Arial"/>
          <w:sz w:val="22"/>
          <w:szCs w:val="22"/>
          <w:b w:val="1"/>
          <w:bCs w:val="1"/>
          <w:color w:val="auto"/>
        </w:rPr>
        <w:t>Property, Plant and Equipment</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See “Item 4. Information on the Company—B. Business Overview—Properties”.</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4A.</w:t>
      </w:r>
      <w:r>
        <w:rPr>
          <w:sz w:val="20"/>
          <w:szCs w:val="20"/>
          <w:color w:val="auto"/>
        </w:rPr>
        <w:tab/>
      </w:r>
      <w:r>
        <w:rPr>
          <w:rFonts w:ascii="Arial" w:cs="Arial" w:eastAsia="Arial" w:hAnsi="Arial"/>
          <w:sz w:val="21"/>
          <w:szCs w:val="21"/>
          <w:b w:val="1"/>
          <w:bCs w:val="1"/>
          <w:color w:val="auto"/>
        </w:rPr>
        <w:t>UNRESOLVED STAFF COMMENTS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None.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21"/>
          <w:szCs w:val="21"/>
          <w:b w:val="1"/>
          <w:bCs w:val="1"/>
          <w:color w:val="auto"/>
        </w:rPr>
        <w:t>OPERATING AND FINANCIAL REVIEW AND PROSPECTS</w:t>
      </w:r>
    </w:p>
    <w:p>
      <w:pPr>
        <w:spacing w:after="0" w:line="293" w:lineRule="exact"/>
        <w:rPr>
          <w:sz w:val="20"/>
          <w:szCs w:val="20"/>
          <w:color w:val="auto"/>
        </w:rPr>
      </w:pPr>
    </w:p>
    <w:p>
      <w:pPr>
        <w:jc w:val="both"/>
        <w:spacing w:after="0" w:line="311" w:lineRule="auto"/>
        <w:rPr>
          <w:sz w:val="20"/>
          <w:szCs w:val="20"/>
          <w:color w:val="auto"/>
        </w:rPr>
      </w:pPr>
      <w:r>
        <w:rPr>
          <w:rFonts w:ascii="Arial" w:cs="Arial" w:eastAsia="Arial" w:hAnsi="Arial"/>
          <w:sz w:val="19"/>
          <w:szCs w:val="19"/>
          <w:i w:val="1"/>
          <w:iCs w:val="1"/>
          <w:color w:val="auto"/>
        </w:rPr>
        <w:t>You should read the following discussion of our financial condition and results of operations in conjunction with the financial statements and the notes thereto included elsewhere in this annual report.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particularly those in “Item 3. Key Information – D. Risk Factors.”</w:t>
      </w:r>
    </w:p>
    <w:p>
      <w:pPr>
        <w:spacing w:after="0" w:line="19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Overview</w:t>
      </w:r>
    </w:p>
    <w:p>
      <w:pPr>
        <w:spacing w:after="0" w:line="29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9"/>
          <w:szCs w:val="19"/>
          <w:color w:val="auto"/>
        </w:rPr>
        <w:t>We are a clinical-stage dermatology company focused on identifying, developing and commercializing branded and generic topical drug products for the treatment of skin diseases. Our current product candidate pipeline consists of late-stage and early-stage branded product candidates that leverage our proprietary, silica-based microencapsulation technology platform, other early-stage branded product candidates and several generic product candidates across multiple indications. Our lead product candidate, Twyneo</w:t>
      </w:r>
      <w:r>
        <w:rPr>
          <w:rFonts w:ascii="Arial" w:cs="Arial" w:eastAsia="Arial" w:hAnsi="Arial"/>
          <w:sz w:val="30"/>
          <w:szCs w:val="30"/>
          <w:color w:val="auto"/>
          <w:vertAlign w:val="superscript"/>
        </w:rPr>
        <w:t>®</w:t>
      </w:r>
      <w:r>
        <w:rPr>
          <w:rFonts w:ascii="Arial" w:cs="Arial" w:eastAsia="Arial" w:hAnsi="Arial"/>
          <w:sz w:val="19"/>
          <w:szCs w:val="19"/>
          <w:color w:val="auto"/>
        </w:rPr>
        <w:t>, is a novel, once-daily, non-antibiotic topical cream that we are developing for the treatment of acne vulgaris, or acne. We completed a 726 subject, double-blind, placebo-controlled, six-arm, multi-center Phase II clinical trial designed to assess the safety and efficacy of Twyneo</w:t>
      </w:r>
      <w:r>
        <w:rPr>
          <w:rFonts w:ascii="Arial" w:cs="Arial" w:eastAsia="Arial" w:hAnsi="Arial"/>
          <w:sz w:val="30"/>
          <w:szCs w:val="30"/>
          <w:color w:val="auto"/>
          <w:vertAlign w:val="superscript"/>
        </w:rPr>
        <w:t>®</w:t>
      </w:r>
      <w:r>
        <w:rPr>
          <w:rFonts w:ascii="Arial" w:cs="Arial" w:eastAsia="Arial" w:hAnsi="Arial"/>
          <w:sz w:val="19"/>
          <w:szCs w:val="19"/>
          <w:color w:val="auto"/>
        </w:rPr>
        <w:t xml:space="preserve"> in subjects with facial acne. In this trial, Twyneo</w:t>
      </w:r>
      <w:r>
        <w:rPr>
          <w:rFonts w:ascii="Arial" w:cs="Arial" w:eastAsia="Arial" w:hAnsi="Arial"/>
          <w:sz w:val="30"/>
          <w:szCs w:val="30"/>
          <w:color w:val="auto"/>
          <w:vertAlign w:val="superscript"/>
        </w:rPr>
        <w:t>®</w:t>
      </w:r>
      <w:r>
        <w:rPr>
          <w:rFonts w:ascii="Arial" w:cs="Arial" w:eastAsia="Arial" w:hAnsi="Arial"/>
          <w:sz w:val="19"/>
          <w:szCs w:val="19"/>
          <w:color w:val="auto"/>
        </w:rPr>
        <w:t xml:space="preserve"> demonstrated statistically significant improvements in all pre-defined co-primary and secondary efficacy endpoints, as compared to vehicle.</w:t>
      </w:r>
    </w:p>
    <w:p>
      <w:pPr>
        <w:spacing w:after="0" w:line="237" w:lineRule="exact"/>
        <w:rPr>
          <w:sz w:val="20"/>
          <w:szCs w:val="20"/>
          <w:color w:val="auto"/>
        </w:rPr>
      </w:pPr>
    </w:p>
    <w:p>
      <w:pPr>
        <w:jc w:val="both"/>
        <w:ind w:left="20" w:firstLine="646"/>
        <w:spacing w:after="0" w:line="297" w:lineRule="auto"/>
        <w:rPr>
          <w:sz w:val="20"/>
          <w:szCs w:val="20"/>
          <w:color w:val="auto"/>
        </w:rPr>
      </w:pPr>
      <w:r>
        <w:rPr>
          <w:rFonts w:ascii="Arial" w:cs="Arial" w:eastAsia="Arial" w:hAnsi="Arial"/>
          <w:sz w:val="19"/>
          <w:szCs w:val="19"/>
          <w:color w:val="auto"/>
        </w:rPr>
        <w:t>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w:t>
      </w:r>
    </w:p>
    <w:p>
      <w:pPr>
        <w:spacing w:after="0" w:line="2" w:lineRule="exact"/>
        <w:rPr>
          <w:sz w:val="20"/>
          <w:szCs w:val="20"/>
          <w:color w:val="auto"/>
        </w:rPr>
      </w:pPr>
    </w:p>
    <w:p>
      <w:pPr>
        <w:ind w:left="20" w:hanging="8"/>
        <w:spacing w:after="0" w:line="272" w:lineRule="auto"/>
        <w:tabs>
          <w:tab w:leader="none" w:pos="366" w:val="left"/>
        </w:tabs>
        <w:numPr>
          <w:ilvl w:val="0"/>
          <w:numId w:val="59"/>
        </w:numPr>
        <w:rPr>
          <w:rFonts w:ascii="Arial" w:cs="Arial" w:eastAsia="Arial" w:hAnsi="Arial"/>
          <w:sz w:val="22"/>
          <w:szCs w:val="22"/>
          <w:color w:val="auto"/>
        </w:rPr>
      </w:pPr>
      <w:r>
        <w:rPr>
          <w:rFonts w:ascii="Arial" w:cs="Arial" w:eastAsia="Arial" w:hAnsi="Arial"/>
          <w:sz w:val="22"/>
          <w:szCs w:val="22"/>
          <w:color w:val="auto"/>
        </w:rPr>
        <w:t>In addition, Twyneo was found to be well-tolerated. We intend to submit an NDA to the FDA for marketing approval of Twyneo in the second half of 2020.</w:t>
      </w:r>
    </w:p>
    <w:p>
      <w:pPr>
        <w:spacing w:after="0" w:line="226"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1"/>
          <w:szCs w:val="21"/>
          <w:color w:val="auto"/>
        </w:rPr>
        <w:t>Our second branded product candidate is Epsolay</w:t>
      </w:r>
      <w:r>
        <w:rPr>
          <w:rFonts w:ascii="Arial" w:cs="Arial" w:eastAsia="Arial" w:hAnsi="Arial"/>
          <w:sz w:val="34"/>
          <w:szCs w:val="34"/>
          <w:color w:val="auto"/>
          <w:vertAlign w:val="superscript"/>
        </w:rPr>
        <w:t>®</w:t>
      </w:r>
      <w:r>
        <w:rPr>
          <w:rFonts w:ascii="Arial" w:cs="Arial" w:eastAsia="Arial" w:hAnsi="Arial"/>
          <w:sz w:val="21"/>
          <w:szCs w:val="21"/>
          <w:color w:val="auto"/>
        </w:rPr>
        <w:t>, a potential treatment for subtype II rosacea.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well-tolerated.</w:t>
      </w:r>
    </w:p>
    <w:p>
      <w:pPr>
        <w:sectPr>
          <w:pgSz w:w="11900" w:h="16838" w:orient="portrait"/>
          <w:cols w:equalWidth="0" w:num="1">
            <w:col w:w="11240"/>
          </w:cols>
          <w:pgMar w:left="320" w:top="126" w:right="339" w:bottom="1440" w:gutter="0" w:footer="0" w:header="0"/>
        </w:sectPr>
      </w:pP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86" w:name="page87"/>
    <w:bookmarkEnd w:id="86"/>
    <w:p>
      <w:pPr>
        <w:jc w:val="both"/>
        <w:ind w:firstLine="646"/>
        <w:spacing w:after="0" w:line="306" w:lineRule="auto"/>
        <w:rPr>
          <w:sz w:val="20"/>
          <w:szCs w:val="20"/>
          <w:color w:val="auto"/>
        </w:rPr>
      </w:pPr>
      <w:r>
        <w:rPr>
          <w:rFonts w:ascii="Arial" w:cs="Arial" w:eastAsia="Arial" w:hAnsi="Arial"/>
          <w:sz w:val="19"/>
          <w:szCs w:val="19"/>
          <w:color w:val="auto"/>
        </w:rPr>
        <w:t>On February 12, 2020, we announced positive topline results from our open-label, long-term safety study, evaluating Epsolay® for a treatment duration up to 52 weeks. The study enrolled 547 subjects, all of whom had completed 12 weeks of treatment with Epsolay or vehicle in the preceding double-blind Phase 3 studies. Patients continued onto open-label treatment with Epsolay once-daily for up to an additional 40 weeks. The safety population of 535 subjects received Epsolay therapy for an overall period of at least 28 weeks. Of these 535 subjects, 209 subjects completed 52 weeks of treatment with Epsolay, exceeding the sample size requirements previously defined by the FDA for the Epsolay one-year safety evaluation. We intend to submit an NDA to the FDA for marketing approval of Epsolay in the second quarter of 2020.</w:t>
      </w:r>
    </w:p>
    <w:p>
      <w:pPr>
        <w:spacing w:after="0" w:line="210"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other branded product candidates are SGT-210, a potential treatment of palmoplantar keratoderma (PPK) and non-melanoma skin cancer, and tapinarof and roflumilast, each a potential treatment of psoriasis and other dermatological indications.</w:t>
      </w:r>
    </w:p>
    <w:p>
      <w:pPr>
        <w:spacing w:after="0" w:line="239" w:lineRule="exact"/>
        <w:rPr>
          <w:sz w:val="20"/>
          <w:szCs w:val="20"/>
          <w:color w:val="auto"/>
        </w:rPr>
      </w:pPr>
    </w:p>
    <w:p>
      <w:pPr>
        <w:jc w:val="both"/>
        <w:ind w:firstLine="646"/>
        <w:spacing w:after="0" w:line="302" w:lineRule="auto"/>
        <w:rPr>
          <w:sz w:val="20"/>
          <w:szCs w:val="20"/>
          <w:color w:val="auto"/>
        </w:rPr>
      </w:pPr>
      <w:r>
        <w:rPr>
          <w:rFonts w:ascii="Arial" w:cs="Arial" w:eastAsia="Arial" w:hAnsi="Arial"/>
          <w:sz w:val="19"/>
          <w:szCs w:val="19"/>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Twyneo and Epsolay to be conducted according to the FDA’s 505(b)(2) regulatory pathway, which may provide for a more efficient regulatory process by permitting us to rely, in part, upon the FDA’s previous findings of safety and efficacy of an approved product.</w:t>
      </w:r>
    </w:p>
    <w:p>
      <w:pPr>
        <w:spacing w:after="0" w:line="21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Since our inception, we have incurred significant operating losses. We incurred net losses of $31.6 million, $32.2 million $24.6 million for the years ended December 31, 2017, 2018 and 2019, respectively. As of December 31, 2019, we had an accumulated deficit of $152.1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if we obtain marketing approval for any of our product candidates, we expect to incur significant expenses related to product manufacturing, marketing, sales and distribution. In addition, we may incur expenses in connection with the in-license or acquisition of additional product candidates.</w:t>
      </w:r>
    </w:p>
    <w:p>
      <w:pPr>
        <w:spacing w:after="0" w:line="24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In February 2018 we closed our initial public offering, at which time we sold a total of 7,187,500 ordinary shares in the offering and received net proceeds of approximately $78.8 million, after deducting underwriting discounts and commissions and without deducting other offering expenses.</w:t>
      </w:r>
    </w:p>
    <w:p>
      <w:pPr>
        <w:spacing w:after="0" w:line="239"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On August 12, 2019, the Company completed an underwritten public offering, in which it issued 1,437,500 ordinary shares, including the full exercise by the underwriters of their option to purchase 187,500 additional ordinary shares, at a public offering price of $8.00 per ordinary share. The total proceeds received from the offering were approximately $10.8 million net of underwriting discounts and commissions and without deducting other offering expenses.</w:t>
      </w:r>
    </w:p>
    <w:p>
      <w:pPr>
        <w:spacing w:after="0" w:line="19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On February 19, 2020 the Company completed an underwritten public offering in which it issued 2,091,907 ordinary shares together with ordinary share warrants to purchase 1,673,525 ordinary shares. The ordinary shares and warrants were sold together at a combined public offering price of $11.00 per ordinary share and accompanying warrant. The total proceeds received from the offering were approximately $21.6 million net of underwriting discounts and commissions and without deducting other offering expenses.</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87" w:name="page88"/>
    <w:bookmarkEnd w:id="87"/>
    <w:p>
      <w:pPr>
        <w:jc w:val="both"/>
        <w:ind w:firstLine="648"/>
        <w:spacing w:after="0" w:line="260" w:lineRule="auto"/>
        <w:rPr>
          <w:sz w:val="20"/>
          <w:szCs w:val="20"/>
          <w:color w:val="auto"/>
        </w:rPr>
      </w:pPr>
      <w:r>
        <w:rPr>
          <w:rFonts w:ascii="Arial" w:cs="Arial" w:eastAsia="Arial" w:hAnsi="Arial"/>
          <w:sz w:val="22"/>
          <w:szCs w:val="22"/>
          <w:color w:val="auto"/>
        </w:rPr>
        <w:t>In addition M. Arkin Dermatology Ltd., the controlling shareholder of the Company, has agreed to purchase 454,628 ordinary shares and warrants to purchase up to 363,702 ordinary shares in a concurrent private placement, exempt from the registration of the Securities Act of 1933, as amended, at a price equal to the public offering price of the ordinary shares and accompanying warrants in the underwritten public offering. The private placement would generate proceeds of approximately $5 million and is contingent on disinterested shareholder approval. A shareholder meeting to approve the private placement is scheduled for April 8, 2020.</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Collaboration Agreements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For a description of our collaboration agreements, please see “Item 4. Information on the Company—B. Business Overview—Collaboration Agreements.”</w:t>
      </w:r>
    </w:p>
    <w:p>
      <w:pPr>
        <w:spacing w:after="0" w:line="222" w:lineRule="exact"/>
        <w:rPr>
          <w:sz w:val="20"/>
          <w:szCs w:val="20"/>
          <w:color w:val="auto"/>
        </w:rPr>
      </w:pPr>
    </w:p>
    <w:p>
      <w:pPr>
        <w:ind w:left="820" w:hanging="812"/>
        <w:spacing w:after="0"/>
        <w:tabs>
          <w:tab w:leader="none" w:pos="820" w:val="left"/>
        </w:tabs>
        <w:numPr>
          <w:ilvl w:val="0"/>
          <w:numId w:val="60"/>
        </w:numPr>
        <w:rPr>
          <w:rFonts w:ascii="Arial" w:cs="Arial" w:eastAsia="Arial" w:hAnsi="Arial"/>
          <w:sz w:val="22"/>
          <w:szCs w:val="22"/>
          <w:b w:val="1"/>
          <w:bCs w:val="1"/>
          <w:color w:val="auto"/>
        </w:rPr>
      </w:pPr>
      <w:r>
        <w:rPr>
          <w:rFonts w:ascii="Arial" w:cs="Arial" w:eastAsia="Arial" w:hAnsi="Arial"/>
          <w:sz w:val="22"/>
          <w:szCs w:val="22"/>
          <w:b w:val="1"/>
          <w:bCs w:val="1"/>
          <w:color w:val="auto"/>
        </w:rPr>
        <w:t>Operating Results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Collaboration Revenues</w:t>
      </w:r>
    </w:p>
    <w:p>
      <w:pPr>
        <w:spacing w:after="0" w:line="2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From 2013 until December 31, 2018, other than revenues of approximately $0.2 million and $0.1 million on royalties generated in 2017 and 2018, respectively, pursuant to sales of products overseas under past collaboration agreements with Merck, we did not recognize any revenue. In 2019, we generated approximately $0.1 million in revenues under such past collaboration agreements with Merck. In addition, in February 2019 we announced that Perrigo had received final approval from the FDA for the first generic version of Zovirax® (acyclovir) cream, 5%. The product was developed in a collaboration between us and Perrigo in which we shared development costs with Perrigo and are sharing equally the gross profits generated from sales of the product. During the year ended December 31, 2019, the Company recognized revenues from royalties related to sales of this product in the amount of $22.8 million.</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Operating expenses</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current operating expenses consist primarily of research and development as well as general and administrative expenses.</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Research and development expenses</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Research and development expenses consist principally of:</w:t>
      </w:r>
    </w:p>
    <w:p>
      <w:pPr>
        <w:spacing w:after="0" w:line="281" w:lineRule="exact"/>
        <w:rPr>
          <w:sz w:val="20"/>
          <w:szCs w:val="20"/>
          <w:color w:val="auto"/>
        </w:rPr>
      </w:pPr>
    </w:p>
    <w:p>
      <w:pPr>
        <w:ind w:left="860" w:hanging="488"/>
        <w:spacing w:after="0"/>
        <w:tabs>
          <w:tab w:leader="none" w:pos="860" w:val="left"/>
        </w:tabs>
        <w:numPr>
          <w:ilvl w:val="0"/>
          <w:numId w:val="61"/>
        </w:numPr>
        <w:rPr>
          <w:rFonts w:ascii="Arial" w:cs="Arial" w:eastAsia="Arial" w:hAnsi="Arial"/>
          <w:sz w:val="17"/>
          <w:szCs w:val="17"/>
          <w:color w:val="auto"/>
        </w:rPr>
      </w:pPr>
      <w:r>
        <w:rPr>
          <w:rFonts w:ascii="Arial" w:cs="Arial" w:eastAsia="Arial" w:hAnsi="Arial"/>
          <w:sz w:val="17"/>
          <w:szCs w:val="17"/>
          <w:color w:val="auto"/>
        </w:rPr>
        <w:t>salaries for research and development staff and related expenses, including employee benefits and share-based compensation expenses;</w:t>
      </w:r>
    </w:p>
    <w:p>
      <w:pPr>
        <w:spacing w:after="0" w:line="290" w:lineRule="exact"/>
        <w:rPr>
          <w:rFonts w:ascii="Arial" w:cs="Arial" w:eastAsia="Arial" w:hAnsi="Arial"/>
          <w:sz w:val="17"/>
          <w:szCs w:val="17"/>
          <w:color w:val="auto"/>
        </w:rPr>
      </w:pPr>
    </w:p>
    <w:p>
      <w:pPr>
        <w:ind w:left="860" w:right="20" w:hanging="488"/>
        <w:spacing w:after="0" w:line="277" w:lineRule="auto"/>
        <w:tabs>
          <w:tab w:leader="none" w:pos="8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paid to suppliers of disposables and raw materials, including drug substances, and related expenses, such as, external laboratory testing and development of analytical methods;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for production of our product candidates both in-house and by contract manufacturers;</w:t>
      </w:r>
    </w:p>
    <w:p>
      <w:pPr>
        <w:spacing w:after="0" w:line="279"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paid to contract research organizations and other third parties in connection with the performance of pre-clinical studies, clinical trials and related expenses;</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expenses incurred under agreements with other third parties, including subcontractors, suppliers and consultants that conduct formulation development, regulatory activities and pre-clinical studies;</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88" w:name="page89"/>
    <w:bookmarkEnd w:id="88"/>
    <w:p>
      <w:pPr>
        <w:ind w:left="860" w:hanging="488"/>
        <w:spacing w:after="0"/>
        <w:tabs>
          <w:tab w:leader="none" w:pos="8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expenses incurred to acquire, develop and manufacture materials for use in pre-clinical and other studies;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expenses incurred from the purchase and transfer of product candidates; and</w:t>
      </w:r>
    </w:p>
    <w:p>
      <w:pPr>
        <w:spacing w:after="0" w:line="279" w:lineRule="exact"/>
        <w:rPr>
          <w:rFonts w:ascii="Arial" w:cs="Arial" w:eastAsia="Arial" w:hAnsi="Arial"/>
          <w:sz w:val="18"/>
          <w:szCs w:val="18"/>
          <w:color w:val="auto"/>
        </w:rPr>
      </w:pPr>
    </w:p>
    <w:p>
      <w:pPr>
        <w:jc w:val="both"/>
        <w:ind w:left="860" w:hanging="488"/>
        <w:spacing w:after="0" w:line="263" w:lineRule="auto"/>
        <w:tabs>
          <w:tab w:leader="none" w:pos="8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244"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our research and development expenses to increase significantly over the next several years as we increase personnel expenses, including share-based compensation and conduct pre-clinical studies and clinical trials and prepare regulatory filings for our product candidates.</w:t>
      </w:r>
    </w:p>
    <w:p>
      <w:pPr>
        <w:spacing w:after="0" w:line="204"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198" w:lineRule="exact"/>
        <w:rPr>
          <w:sz w:val="20"/>
          <w:szCs w:val="20"/>
          <w:color w:val="auto"/>
        </w:rPr>
      </w:pPr>
    </w:p>
    <w:p>
      <w:pPr>
        <w:ind w:left="860" w:hanging="488"/>
        <w:spacing w:after="0"/>
        <w:tabs>
          <w:tab w:leader="none" w:pos="8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scope, rate of progress and expense of our research and development activities;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clinical trials and early-stage results;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terms and timing of regulatory requirements and approvals;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expense of filing, prosecuting, defending and enforcing patent claims and other intellectual property rights; 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ability to market, commercialize and achieve market acceptance of any product candidate that we are developing or may develop in the future.</w:t>
      </w:r>
    </w:p>
    <w:p>
      <w:pPr>
        <w:spacing w:after="0" w:line="231"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While we are currently focused on advancing our product development, our future research and development expenses will depend on the clinical success of our product candidates, as well as ongoing assessments of the candidates’ commercial potential. As we obtain results from clinical trials, we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23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General and administrative expenses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general and administrative expenses consist primarily of salaries and related expenses, including employee benefits and share-based compensation expenses, legal expenses and professional fees for auditors and other expenses not related to research and development activities.</w:t>
      </w:r>
    </w:p>
    <w:p>
      <w:pPr>
        <w:spacing w:after="0" w:line="23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If and when we believe a regulatory approval of our branded product candidates appears likely, we anticipate an increase in payroll and expense as a result of our preparation for commercial operations, especially as it relates to the sales and marketing of our product candidates.</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89" w:name="page90"/>
    <w:bookmarkEnd w:id="89"/>
    <w:p>
      <w:pPr>
        <w:spacing w:after="0"/>
        <w:rPr>
          <w:sz w:val="20"/>
          <w:szCs w:val="20"/>
          <w:color w:val="auto"/>
        </w:rPr>
      </w:pPr>
      <w:r>
        <w:rPr>
          <w:rFonts w:ascii="Arial" w:cs="Arial" w:eastAsia="Arial" w:hAnsi="Arial"/>
          <w:sz w:val="22"/>
          <w:szCs w:val="22"/>
          <w:b w:val="1"/>
          <w:bCs w:val="1"/>
          <w:i w:val="1"/>
          <w:iCs w:val="1"/>
          <w:color w:val="auto"/>
        </w:rPr>
        <w:t>Financial income, net</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financial income, net consists primarily of income generated on our marketable securities net of expenses related to bank charges and foreign currency exchange transactions.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Results of operations</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following table summarizes our results of operations for the indicated periods:</w:t>
      </w:r>
    </w:p>
    <w:p>
      <w:pPr>
        <w:spacing w:after="0" w:line="281" w:lineRule="exact"/>
        <w:rPr>
          <w:sz w:val="20"/>
          <w:szCs w:val="20"/>
          <w:color w:val="auto"/>
        </w:rPr>
      </w:pPr>
    </w:p>
    <w:tbl>
      <w:tblPr>
        <w:tblLayout w:type="fixed"/>
        <w:tblInd w:w="860" w:type="dxa"/>
        <w:tblCellMar>
          <w:top w:w="0" w:type="dxa"/>
          <w:left w:w="0" w:type="dxa"/>
          <w:bottom w:w="0" w:type="dxa"/>
          <w:right w:w="0" w:type="dxa"/>
        </w:tblCellMar>
      </w:tblPr>
      <w:tr>
        <w:trPr>
          <w:trHeight w:val="237"/>
        </w:trPr>
        <w:tc>
          <w:tcPr>
            <w:tcW w:w="2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8"/>
          </w:tcPr>
          <w:p>
            <w:pPr>
              <w:jc w:val="right"/>
              <w:spacing w:after="0"/>
              <w:rPr>
                <w:sz w:val="20"/>
                <w:szCs w:val="20"/>
                <w:color w:val="auto"/>
              </w:rPr>
            </w:pPr>
            <w:r>
              <w:rPr>
                <w:rFonts w:ascii="Arial" w:cs="Arial" w:eastAsia="Arial" w:hAnsi="Arial"/>
                <w:sz w:val="18"/>
                <w:szCs w:val="18"/>
                <w:color w:val="auto"/>
              </w:rPr>
              <w:t>Year ended December 31,</w:t>
            </w:r>
          </w:p>
        </w:tc>
        <w:tc>
          <w:tcPr>
            <w:tcW w:w="6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2017</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2018</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84"/>
              </w:rPr>
              <w:t>2019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Collaboration Revenues</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22,904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25,805</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28,146</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40,578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General and administrative</w:t>
            </w:r>
          </w:p>
        </w:tc>
        <w:tc>
          <w:tcPr>
            <w:tcW w:w="18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6,002</w:t>
            </w:r>
          </w:p>
        </w:tc>
        <w:tc>
          <w:tcPr>
            <w:tcW w:w="12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5,504</w:t>
            </w:r>
          </w:p>
        </w:tc>
        <w:tc>
          <w:tcPr>
            <w:tcW w:w="12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8,276</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Total operating loss</w:t>
            </w: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31,633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33,521</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25,950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Financial income, net</w:t>
            </w:r>
          </w:p>
        </w:tc>
        <w:tc>
          <w:tcPr>
            <w:tcW w:w="18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(65)</w:t>
            </w:r>
          </w:p>
        </w:tc>
        <w:tc>
          <w:tcPr>
            <w:tcW w:w="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(1,318)</w:t>
            </w:r>
          </w:p>
        </w:tc>
        <w:tc>
          <w:tcPr>
            <w:tcW w:w="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Loss before income taxes</w:t>
            </w:r>
          </w:p>
        </w:tc>
        <w:tc>
          <w:tcPr>
            <w:tcW w:w="18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31,568</w:t>
            </w:r>
          </w:p>
        </w:tc>
        <w:tc>
          <w:tcPr>
            <w:tcW w:w="12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32,203</w:t>
            </w:r>
          </w:p>
        </w:tc>
        <w:tc>
          <w:tcPr>
            <w:tcW w:w="120" w:type="dxa"/>
            <w:vAlign w:val="bottom"/>
            <w:tcBorders>
              <w:top w:val="single" w:sz="8" w:color="CCEEFF"/>
            </w:tcBorders>
          </w:tcPr>
          <w:p>
            <w:pPr>
              <w:spacing w:after="0"/>
              <w:rPr>
                <w:sz w:val="18"/>
                <w:szCs w:val="18"/>
                <w:color w:val="auto"/>
              </w:rPr>
            </w:pPr>
          </w:p>
        </w:tc>
        <w:tc>
          <w:tcPr>
            <w:tcW w:w="60" w:type="dxa"/>
            <w:vAlign w:val="bottom"/>
            <w:tcBorders>
              <w:top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24,576</w:t>
            </w: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vMerge w:val="continue"/>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Loss for the year</w:t>
            </w: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31,568</w:t>
            </w:r>
          </w:p>
        </w:tc>
        <w:tc>
          <w:tcPr>
            <w:tcW w:w="120" w:type="dxa"/>
            <w:vAlign w:val="bottom"/>
          </w:tcPr>
          <w:p>
            <w:pPr>
              <w:spacing w:after="0"/>
              <w:rPr>
                <w:sz w:val="18"/>
                <w:szCs w:val="18"/>
                <w:color w:val="auto"/>
              </w:rPr>
            </w:pPr>
          </w:p>
        </w:tc>
        <w:tc>
          <w:tcPr>
            <w:tcW w:w="26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32,203</w:t>
            </w:r>
          </w:p>
        </w:tc>
        <w:tc>
          <w:tcPr>
            <w:tcW w:w="120" w:type="dxa"/>
            <w:vAlign w:val="bottom"/>
          </w:tcPr>
          <w:p>
            <w:pPr>
              <w:spacing w:after="0"/>
              <w:rPr>
                <w:sz w:val="18"/>
                <w:szCs w:val="18"/>
                <w:color w:val="auto"/>
              </w:rPr>
            </w:pPr>
          </w:p>
        </w:tc>
        <w:tc>
          <w:tcPr>
            <w:tcW w:w="340" w:type="dxa"/>
            <w:vAlign w:val="bottom"/>
            <w:gridSpan w:val="2"/>
          </w:tcPr>
          <w:p>
            <w:pPr>
              <w:jc w:val="right"/>
              <w:ind w:right="127"/>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24,609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Year ended December 31, 2018 compared to year ended December 31, 2019</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Collaboration Revenues</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Revenues are comprised of royalties earned under a collaboration agreement with Perrigo related to the first generic version of Zovirax® (acyclovir) cream, 5%, and under an agreement entered into by the Company in 2007 that granted rights to a third party for use and commercialization of a product for skin protection. Revenues under both agreements amounted to $22.9 million in 2019, $22.8 million of which was generated from the collaboration agreement with Perrigo, compared with $0.1 million in 2018.</w:t>
      </w:r>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Research and development expenses</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following table describes the breakdown of our research and development expenses for the indicated periods:</w:t>
      </w:r>
    </w:p>
    <w:p>
      <w:pPr>
        <w:spacing w:after="0" w:line="311" w:lineRule="exact"/>
        <w:rPr>
          <w:sz w:val="20"/>
          <w:szCs w:val="20"/>
          <w:color w:val="auto"/>
        </w:rPr>
      </w:pPr>
    </w:p>
    <w:tbl>
      <w:tblPr>
        <w:tblLayout w:type="fixed"/>
        <w:tblInd w:w="86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340" w:type="dxa"/>
            <w:vAlign w:val="bottom"/>
          </w:tcPr>
          <w:p>
            <w:pPr>
              <w:spacing w:after="0"/>
              <w:rPr>
                <w:sz w:val="20"/>
                <w:szCs w:val="20"/>
                <w:color w:val="auto"/>
              </w:rPr>
            </w:pPr>
          </w:p>
        </w:tc>
        <w:tc>
          <w:tcPr>
            <w:tcW w:w="208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w w:val="91"/>
              </w:rPr>
              <w:t>Year Ended December 31,</w:t>
            </w: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2018</w:t>
            </w: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(in</w:t>
            </w:r>
          </w:p>
        </w:tc>
        <w:tc>
          <w:tcPr>
            <w:tcW w:w="1120" w:type="dxa"/>
            <w:vAlign w:val="bottom"/>
            <w:tcBorders>
              <w:bottom w:val="single" w:sz="8" w:color="auto"/>
            </w:tcBorders>
            <w:gridSpan w:val="3"/>
          </w:tcPr>
          <w:p>
            <w:pPr>
              <w:jc w:val="right"/>
              <w:ind w:right="410"/>
              <w:spacing w:after="0"/>
              <w:rPr>
                <w:sz w:val="20"/>
                <w:szCs w:val="20"/>
                <w:color w:val="auto"/>
              </w:rPr>
            </w:pPr>
            <w:r>
              <w:rPr>
                <w:rFonts w:ascii="Arial" w:cs="Arial" w:eastAsia="Arial" w:hAnsi="Arial"/>
                <w:sz w:val="15"/>
                <w:szCs w:val="15"/>
                <w:b w:val="1"/>
                <w:bCs w:val="1"/>
                <w:color w:val="auto"/>
                <w:w w:val="74"/>
              </w:rPr>
              <w:t>thousands)</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Arial" w:cs="Arial" w:eastAsia="Arial" w:hAnsi="Arial"/>
                <w:sz w:val="18"/>
                <w:szCs w:val="18"/>
                <w:color w:val="auto"/>
              </w:rPr>
              <w:t>Payroll and related expenses</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7,118</w:t>
            </w:r>
          </w:p>
        </w:tc>
        <w:tc>
          <w:tcPr>
            <w:tcW w:w="36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6,001</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Clinical trial expenses</w:t>
            </w: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10,569</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23,037</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Arial" w:cs="Arial" w:eastAsia="Arial" w:hAnsi="Arial"/>
                <w:sz w:val="18"/>
                <w:szCs w:val="18"/>
                <w:color w:val="auto"/>
              </w:rPr>
              <w:t>Professional consulting and subcontracted work</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6,907</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7,425</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3,552</w:t>
            </w: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4,115</w:t>
            </w:r>
          </w:p>
        </w:tc>
        <w:tc>
          <w:tcPr>
            <w:tcW w:w="100" w:type="dxa"/>
            <w:vAlign w:val="bottom"/>
          </w:tcPr>
          <w:p>
            <w:pPr>
              <w:spacing w:after="0"/>
              <w:rPr>
                <w:sz w:val="19"/>
                <w:szCs w:val="19"/>
                <w:color w:val="auto"/>
              </w:rPr>
            </w:pPr>
          </w:p>
        </w:tc>
      </w:tr>
      <w:tr>
        <w:trPr>
          <w:trHeight w:val="257"/>
        </w:trPr>
        <w:tc>
          <w:tcPr>
            <w:tcW w:w="20" w:type="dxa"/>
            <w:vAlign w:val="bottom"/>
          </w:tcPr>
          <w:p>
            <w:pPr>
              <w:spacing w:after="0"/>
              <w:rPr>
                <w:sz w:val="22"/>
                <w:szCs w:val="22"/>
                <w:color w:val="auto"/>
              </w:rPr>
            </w:pPr>
          </w:p>
        </w:tc>
        <w:tc>
          <w:tcPr>
            <w:tcW w:w="7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research and development expenses</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28,146</w:t>
            </w:r>
          </w:p>
        </w:tc>
        <w:tc>
          <w:tcPr>
            <w:tcW w:w="18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40,578</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6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Our research and development expenses were $28.1 million for the year ended December 31, 2018, compared to $40.6 million for the year ended December 31, 2019. The increase of $12.5 million was mainly attributed to an increase of $12.5 million in clinical trial expenses, mainly related to clinical trials of Epsolay and Twyneo, an increase of $0.5 million in manufacturing expenses and an increase of $0.5 million in other expenses, mainly purchase of raw material for manufacturing, partially offset by a decrease of $1.1 million in payroll and related expenses, mainly related to stock based compensation expenses.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90" w:name="page91"/>
    <w:bookmarkEnd w:id="90"/>
    <w:p>
      <w:pPr>
        <w:spacing w:after="0"/>
        <w:rPr>
          <w:sz w:val="20"/>
          <w:szCs w:val="20"/>
          <w:color w:val="auto"/>
        </w:rPr>
      </w:pPr>
      <w:r>
        <w:rPr>
          <w:rFonts w:ascii="Arial" w:cs="Arial" w:eastAsia="Arial" w:hAnsi="Arial"/>
          <w:sz w:val="22"/>
          <w:szCs w:val="22"/>
          <w:b w:val="1"/>
          <w:bCs w:val="1"/>
          <w:i w:val="1"/>
          <w:iCs w:val="1"/>
          <w:color w:val="auto"/>
        </w:rPr>
        <w:t>General and administrative expenses</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Our general and administrative expenses were $5.5 million for the year ended December 31, 2018, compared to $8.3 million for the year ended December 31, 2019. The increase of $2.8 million was mainly attributed to an increase of $0.9 million in legal fees, an increase of $1.5 million in commercialization expenses and an increase of $0.3 million in professional service expenses.</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Financial income, net</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financial income, net, was $1.3 million for the year ended December 31, 2018 compared to $1.4 million for the year ended December 31, 2019.</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Year ended December 31, 2017 compared to year ended December 31, 2018</w:t>
      </w:r>
    </w:p>
    <w:p>
      <w:pPr>
        <w:spacing w:after="0" w:line="293" w:lineRule="exact"/>
        <w:rPr>
          <w:sz w:val="20"/>
          <w:szCs w:val="20"/>
          <w:color w:val="auto"/>
        </w:rPr>
      </w:pPr>
    </w:p>
    <w:p>
      <w:pPr>
        <w:ind w:left="660"/>
        <w:spacing w:after="0" w:line="219" w:lineRule="exact"/>
        <w:rPr>
          <w:sz w:val="20"/>
          <w:szCs w:val="20"/>
          <w:color w:val="auto"/>
        </w:rPr>
      </w:pPr>
      <w:r>
        <w:rPr>
          <w:rFonts w:ascii="Arial" w:cs="Arial" w:eastAsia="Arial" w:hAnsi="Arial"/>
          <w:sz w:val="19"/>
          <w:szCs w:val="19"/>
          <w:color w:val="auto"/>
        </w:rPr>
        <w:t>This analysis can be found in Item 5 of the Company’s Annual Report on Form 20</w:t>
      </w:r>
      <w:r>
        <w:rPr>
          <w:rFonts w:ascii="MS PGothic" w:cs="MS PGothic" w:eastAsia="MS PGothic" w:hAnsi="MS PGothic"/>
          <w:sz w:val="19"/>
          <w:szCs w:val="19"/>
          <w:color w:val="auto"/>
        </w:rPr>
        <w:t>‑</w:t>
      </w:r>
      <w:r>
        <w:rPr>
          <w:rFonts w:ascii="Arial" w:cs="Arial" w:eastAsia="Arial" w:hAnsi="Arial"/>
          <w:sz w:val="19"/>
          <w:szCs w:val="19"/>
          <w:color w:val="auto"/>
        </w:rPr>
        <w:t>F for the year ended December 31,</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2018.</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Significant Accounting Policies and Estimates</w:t>
      </w:r>
    </w:p>
    <w:p>
      <w:pPr>
        <w:spacing w:after="0" w:line="293"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We prepare our consolidated financial statements in conformity with U.S. GAAP. We describe our significant accounting policies and estimates more fully in Note 2 to our consolidated financial statements as of and for the year ended December 31, 2019, included elsewhere in this annual report. We believe that the accounting policies and estimates below are critical in order to fully understand and evaluate our financial condition and results of operations. In preparing these consolidated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financial statements included in this annual report, the most significant estimates and assumptions relate to the fair value of share-based compensation.</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Share-based Compensation</w:t>
      </w:r>
    </w:p>
    <w:p>
      <w:pPr>
        <w:spacing w:after="0" w:line="29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Options Valuation</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We selected the Black-Scholes option pricing model as the most appropriate method for determining the estimated fair value of the shared based compensation.</w:t>
      </w:r>
    </w:p>
    <w:p>
      <w:pPr>
        <w:spacing w:after="0" w:line="22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as well as our results and the number of options that will vest. These parameters include the expected volatility of our share price over the expected term of the options, the risk-free interest rate assumption, the share option exercise and forfeitures behaviors and expected dividends.</w:t>
      </w:r>
    </w:p>
    <w:p>
      <w:pPr>
        <w:spacing w:after="0" w:line="231"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Prior to the initial public offering of our ordinary shares, the fair value of our ordinary shares was determined in good faith by our management and approved by our board of directors. Our management considered the fair value of our ordinary shares based on a number of objective and subjective variables, consistent with the methodologies outlined in the American Institute of Certified Public Accountants Practice Aid, Valuation of Private-Held-Company Equity Securities issued as Compensation, referred to as the AICPA Practice Aid.</w:t>
      </w:r>
    </w:p>
    <w:p>
      <w:pPr>
        <w:sectPr>
          <w:pgSz w:w="11900" w:h="16838" w:orient="portrait"/>
          <w:cols w:equalWidth="0" w:num="1">
            <w:col w:w="11240"/>
          </w:cols>
          <w:pgMar w:left="320" w:top="132" w:right="339" w:bottom="911" w:gutter="0" w:footer="0" w:header="0"/>
        </w:sect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911" w:gutter="0" w:footer="0" w:header="0"/>
          <w:type w:val="continuous"/>
        </w:sectPr>
      </w:pPr>
    </w:p>
    <w:bookmarkStart w:id="91" w:name="page92"/>
    <w:bookmarkEnd w:id="91"/>
    <w:p>
      <w:pPr>
        <w:jc w:val="both"/>
        <w:ind w:firstLine="648"/>
        <w:spacing w:after="0" w:line="358" w:lineRule="auto"/>
        <w:rPr>
          <w:sz w:val="20"/>
          <w:szCs w:val="20"/>
          <w:color w:val="auto"/>
        </w:rPr>
      </w:pPr>
      <w:r>
        <w:rPr>
          <w:rFonts w:ascii="Arial" w:cs="Arial" w:eastAsia="Arial" w:hAnsi="Arial"/>
          <w:sz w:val="19"/>
          <w:szCs w:val="19"/>
          <w:color w:val="auto"/>
        </w:rPr>
        <w:t>Upon the commencement of public trading of our ordinary shares in February 2018 in connection with our initial public offering, estimates by our board of directors are no longer necessary to determine the fair value of ordinary shares.</w:t>
      </w:r>
    </w:p>
    <w:p>
      <w:pPr>
        <w:spacing w:after="0" w:line="1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Recently Adopted Accounting Pronouncements</w:t>
      </w:r>
    </w:p>
    <w:p>
      <w:pPr>
        <w:spacing w:after="0" w:line="293" w:lineRule="exact"/>
        <w:rPr>
          <w:sz w:val="20"/>
          <w:szCs w:val="20"/>
          <w:color w:val="auto"/>
        </w:rPr>
      </w:pPr>
    </w:p>
    <w:p>
      <w:pPr>
        <w:jc w:val="both"/>
        <w:ind w:left="20" w:firstLine="648"/>
        <w:spacing w:after="0" w:line="259" w:lineRule="auto"/>
        <w:rPr>
          <w:sz w:val="20"/>
          <w:szCs w:val="20"/>
          <w:color w:val="auto"/>
        </w:rPr>
      </w:pPr>
      <w:r>
        <w:rPr>
          <w:rFonts w:ascii="Arial" w:cs="Arial" w:eastAsia="Arial" w:hAnsi="Arial"/>
          <w:sz w:val="22"/>
          <w:szCs w:val="22"/>
          <w:color w:val="auto"/>
        </w:rPr>
        <w:t>In June 2018, the FASB issued ASU 2018-07, “Compensation – Stock Compensation (Topic 718): Improvements to Nonemployee Share-based Payment Accounting”, which expands the scope of ASC Topic 718 to include share-based payment transactions for acquiring goods and services from non-employees. An entity is required to apply the requirements of ASC Topic 718 to non-employee awards except for certain exemptions specified in the amendment. The guidance is effective for fiscal years beginning after December 15, 2018, including interim reporting periods within such fiscal years. Early adoption is permitted, but no earlier than an entity’s adoption date of Topic 606. This standard had no material impact on the Company’s financial statements.</w:t>
      </w:r>
    </w:p>
    <w:p>
      <w:pPr>
        <w:spacing w:after="0" w:line="249" w:lineRule="exact"/>
        <w:rPr>
          <w:sz w:val="20"/>
          <w:szCs w:val="20"/>
          <w:color w:val="auto"/>
        </w:rPr>
      </w:pPr>
    </w:p>
    <w:p>
      <w:pPr>
        <w:ind w:left="760"/>
        <w:spacing w:after="0"/>
        <w:rPr>
          <w:sz w:val="20"/>
          <w:szCs w:val="20"/>
          <w:color w:val="auto"/>
        </w:rPr>
      </w:pPr>
      <w:r>
        <w:rPr>
          <w:rFonts w:ascii="Arial" w:cs="Arial" w:eastAsia="Arial" w:hAnsi="Arial"/>
          <w:sz w:val="22"/>
          <w:szCs w:val="22"/>
          <w:color w:val="auto"/>
        </w:rPr>
        <w:t>In February 2016, the FASB issued ASU No. 2016-02, Leases (Topic 842),</w:t>
      </w:r>
    </w:p>
    <w:p>
      <w:pPr>
        <w:spacing w:after="0" w:line="21" w:lineRule="exact"/>
        <w:rPr>
          <w:sz w:val="20"/>
          <w:szCs w:val="20"/>
          <w:color w:val="auto"/>
        </w:rPr>
      </w:pPr>
    </w:p>
    <w:p>
      <w:pPr>
        <w:jc w:val="both"/>
        <w:ind w:left="20"/>
        <w:spacing w:after="0" w:line="304" w:lineRule="auto"/>
        <w:rPr>
          <w:sz w:val="20"/>
          <w:szCs w:val="20"/>
          <w:color w:val="auto"/>
        </w:rPr>
      </w:pPr>
      <w:r>
        <w:rPr>
          <w:rFonts w:ascii="Arial" w:cs="Arial" w:eastAsia="Arial" w:hAnsi="Arial"/>
          <w:sz w:val="19"/>
          <w:szCs w:val="19"/>
          <w:color w:val="auto"/>
        </w:rPr>
        <w:t>which supersedes the existing guidance for lease accounting, Leases (Topic 840). The new standard requires lessees to record assets and liabilities on the balance sheet for all leases with terms longer than 12 months. Leases will be classified as either finance or operating, with classification affecting the pattern of expense recognition in the income statement. The Company adopted the standard as of January 1, 2019 on a modified retrospective basis and will not restate comparative periods. The Company will elect the package of practical expedients permitted under the transition guidance within the new standard, which among other things, allows the Company to carry forward the historical lease classification. The Company will make an accounting policy election to keep leases with an initial term of 12 months or less off of the balance sheet. The Company recognizes those lease payments in the Statements of Operations on a straight-line basis over the lease period.</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JOBS Act</w:t>
      </w:r>
    </w:p>
    <w:p>
      <w:pPr>
        <w:spacing w:after="0" w:line="293"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21"/>
          <w:szCs w:val="21"/>
          <w:color w:val="auto"/>
        </w:rPr>
        <w:t>On April 5, 2012, the JOBS Act was signed into law. Subject to certain conditions set forth in the JOBS Act, as an “emerging growth company,” we elected or may elect to rely on certain exemptions, including without limitation, not</w:t>
      </w:r>
    </w:p>
    <w:p>
      <w:pPr>
        <w:spacing w:after="0" w:line="1" w:lineRule="exact"/>
        <w:rPr>
          <w:sz w:val="20"/>
          <w:szCs w:val="20"/>
          <w:color w:val="auto"/>
        </w:rPr>
      </w:pPr>
    </w:p>
    <w:p>
      <w:pPr>
        <w:ind w:left="260" w:hanging="252"/>
        <w:spacing w:after="0"/>
        <w:tabs>
          <w:tab w:leader="none" w:pos="260" w:val="left"/>
        </w:tabs>
        <w:numPr>
          <w:ilvl w:val="0"/>
          <w:numId w:val="64"/>
        </w:numPr>
        <w:rPr>
          <w:rFonts w:ascii="Arial" w:cs="Arial" w:eastAsia="Arial" w:hAnsi="Arial"/>
          <w:sz w:val="19"/>
          <w:szCs w:val="19"/>
          <w:color w:val="auto"/>
        </w:rPr>
      </w:pPr>
      <w:r>
        <w:rPr>
          <w:rFonts w:ascii="Arial" w:cs="Arial" w:eastAsia="Arial" w:hAnsi="Arial"/>
          <w:sz w:val="19"/>
          <w:szCs w:val="19"/>
          <w:color w:val="auto"/>
        </w:rPr>
        <w:t>providing an auditor’s attestation report on our system of internal controls over financial reporting pursuant to Section 404 and</w:t>
      </w:r>
    </w:p>
    <w:p>
      <w:pPr>
        <w:spacing w:after="0" w:line="51" w:lineRule="exact"/>
        <w:rPr>
          <w:rFonts w:ascii="Arial" w:cs="Arial" w:eastAsia="Arial" w:hAnsi="Arial"/>
          <w:sz w:val="19"/>
          <w:szCs w:val="19"/>
          <w:color w:val="auto"/>
        </w:rPr>
      </w:pPr>
    </w:p>
    <w:p>
      <w:pPr>
        <w:jc w:val="both"/>
        <w:ind w:firstLine="8"/>
        <w:spacing w:after="0" w:line="273" w:lineRule="auto"/>
        <w:tabs>
          <w:tab w:leader="none" w:pos="366" w:val="left"/>
        </w:tabs>
        <w:numPr>
          <w:ilvl w:val="0"/>
          <w:numId w:val="64"/>
        </w:numPr>
        <w:rPr>
          <w:rFonts w:ascii="Arial" w:cs="Arial" w:eastAsia="Arial" w:hAnsi="Arial"/>
          <w:sz w:val="21"/>
          <w:szCs w:val="21"/>
          <w:color w:val="auto"/>
        </w:rPr>
      </w:pPr>
      <w:r>
        <w:rPr>
          <w:rFonts w:ascii="Arial" w:cs="Arial" w:eastAsia="Arial" w:hAnsi="Arial"/>
          <w:sz w:val="21"/>
          <w:szCs w:val="21"/>
          <w:color w:val="auto"/>
        </w:rPr>
        <w:t>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w:t>
      </w:r>
    </w:p>
    <w:p>
      <w:pPr>
        <w:spacing w:after="0" w:line="227" w:lineRule="exact"/>
        <w:rPr>
          <w:sz w:val="20"/>
          <w:szCs w:val="20"/>
          <w:color w:val="auto"/>
        </w:rPr>
      </w:pPr>
    </w:p>
    <w:p>
      <w:pPr>
        <w:ind w:left="860" w:hanging="852"/>
        <w:spacing w:after="0"/>
        <w:tabs>
          <w:tab w:leader="none" w:pos="860" w:val="left"/>
        </w:tabs>
        <w:numPr>
          <w:ilvl w:val="0"/>
          <w:numId w:val="65"/>
        </w:numPr>
        <w:rPr>
          <w:rFonts w:ascii="Arial" w:cs="Arial" w:eastAsia="Arial" w:hAnsi="Arial"/>
          <w:sz w:val="22"/>
          <w:szCs w:val="22"/>
          <w:b w:val="1"/>
          <w:bCs w:val="1"/>
          <w:color w:val="auto"/>
        </w:rPr>
      </w:pPr>
      <w:r>
        <w:rPr>
          <w:rFonts w:ascii="Arial" w:cs="Arial" w:eastAsia="Arial" w:hAnsi="Arial"/>
          <w:sz w:val="22"/>
          <w:szCs w:val="22"/>
          <w:b w:val="1"/>
          <w:bCs w:val="1"/>
          <w:color w:val="auto"/>
        </w:rPr>
        <w:t>Liquidity and Capital Resources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Overview</w:t>
      </w:r>
    </w:p>
    <w:p>
      <w:pPr>
        <w:spacing w:after="0" w:line="287"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We do not currently have any approved products other than the first generic version of Zovirax® (acyclovir) cream, 5% for which Perrigo, our collaborator, received final FDA approval in February 2019.</w:t>
      </w:r>
    </w:p>
    <w:p>
      <w:pPr>
        <w:spacing w:after="0" w:line="196"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From inception through December 31, 2019, we have funded our operations primarily through proceeds from our public offerings, the issuance of equity securities to and loans from our controlling shareholder, funding received from the IIA and from amounts received pursuant to past and current collaboration agreements. We automatically converted our outstanding promissory note between us and our controlling shareholder into an aggregate of 5,444,825 ordinary shares immediately prior to the closing of our initial public offering. For a description of the conversion of our shareholder loan agreement, see “Item 7. Major Shareholders and Related Party Transactions – B. Related Party Transactions — Loan Agreements with Our Controlling Shareholder.” As of December 31, 2019, our cash and cash equivalents was $50.4 million.</w:t>
      </w:r>
    </w:p>
    <w:p>
      <w:pPr>
        <w:sectPr>
          <w:pgSz w:w="11900" w:h="16838" w:orient="portrait"/>
          <w:cols w:equalWidth="0" w:num="1">
            <w:col w:w="11240"/>
          </w:cols>
          <w:pgMar w:left="320" w:top="132" w:right="339" w:bottom="1440" w:gutter="0" w:footer="0" w:header="0"/>
        </w:sect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92" w:name="page93"/>
    <w:bookmarkEnd w:id="92"/>
    <w:p>
      <w:pPr>
        <w:jc w:val="both"/>
        <w:ind w:firstLine="723"/>
        <w:spacing w:after="0" w:line="279" w:lineRule="auto"/>
        <w:rPr>
          <w:sz w:val="20"/>
          <w:szCs w:val="20"/>
          <w:color w:val="auto"/>
        </w:rPr>
      </w:pPr>
      <w:r>
        <w:rPr>
          <w:rFonts w:ascii="Arial" w:cs="Arial" w:eastAsia="Arial" w:hAnsi="Arial"/>
          <w:sz w:val="21"/>
          <w:szCs w:val="21"/>
          <w:color w:val="auto"/>
        </w:rPr>
        <w:t>On February 5, 2018, we announced the closing of our initial public offering of 7,187,500 ordinary shares at a public offering price of $12.00 per ordinary share, which included the exercise in full by the underwriters of their option to purchase up to 937,500 additional shares. The aggregate net proceeds to us from the offering were approximately $78.8 million, after deducting underwriting discounts and commissions and before deducting other offering expenses.</w:t>
      </w:r>
    </w:p>
    <w:p>
      <w:pPr>
        <w:spacing w:after="0" w:line="227"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On August 12, 2019, the Company completed an underwritten public offering in which it issued 1,437,500 ordinary shares, including the full exercise by the underwriters of their option to purchase 187,500 additional ordinary shares, at a public offering price of $8.00 per ordinary share. The total proceeds received from the offering were approximately $10.8 million net of underwriting discounts and commissions and without deducting other offering expenses.</w:t>
      </w:r>
    </w:p>
    <w:p>
      <w:pPr>
        <w:spacing w:after="0" w:line="22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On February 19, 2020 the Company completed an underwritten public offering in which it issued 2,091,907 ordinary shares together with ordinary share warrants to purchase 1,673,525 ordinary shares. The ordinary shares and accompanying warrants were sold together at a combined public offering price of $11.00 per ordinary share and accompanying warrant. Each warrant sold in the underwritten public offering is exercisable for 0.80 of an ordinary share and has an initial exercise price of $14.00 per share, subject to certain adjustments. The warrants are immediately exercisable and will expire on February 19, 2023. The total proceeds received from the offering were approximately $21.6 million net of underwriting discounts and commissions and without deducting other offering expenses.</w:t>
      </w:r>
    </w:p>
    <w:p>
      <w:pPr>
        <w:spacing w:after="0" w:line="23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In addition M. Arkin Dermatology Ltd., the controlling shareholder of the Company, has agreed to purchase 454,628 ordinary shares and warrants to purchase up to 363,702 ordinary shares in a concurrent private placement, exempt from the registration of the Securities Act of 1933, as amended, at a price equal to the public offering price of the ordinary shares and accompanying warrants in the underwritten public offering. The private placement would generate proceeds of approximately $5 million and is contingent on disinterested shareholder approval. A shareholder meeting to approve the private placement is scheduled for April 8, 2020.</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color w:val="auto"/>
        </w:rPr>
        <w:t>The table below summarizes our cash flow activities for the indicated periods:</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gridSpan w:val="3"/>
          </w:tcPr>
          <w:p>
            <w:pPr>
              <w:jc w:val="right"/>
              <w:ind w:right="340"/>
              <w:spacing w:after="0"/>
              <w:rPr>
                <w:sz w:val="20"/>
                <w:szCs w:val="20"/>
                <w:color w:val="auto"/>
              </w:rPr>
            </w:pPr>
            <w:r>
              <w:rPr>
                <w:rFonts w:ascii="Arial" w:cs="Arial" w:eastAsia="Arial" w:hAnsi="Arial"/>
                <w:sz w:val="18"/>
                <w:szCs w:val="18"/>
                <w:b w:val="1"/>
                <w:bCs w:val="1"/>
                <w:color w:val="auto"/>
                <w:w w:val="96"/>
              </w:rPr>
              <w:t>Year Ended</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73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gridSpan w:val="3"/>
          </w:tcPr>
          <w:p>
            <w:pPr>
              <w:spacing w:after="0"/>
              <w:rPr>
                <w:sz w:val="20"/>
                <w:szCs w:val="20"/>
                <w:color w:val="auto"/>
              </w:rPr>
            </w:pPr>
            <w:r>
              <w:rPr>
                <w:rFonts w:ascii="Arial" w:cs="Arial" w:eastAsia="Arial" w:hAnsi="Arial"/>
                <w:sz w:val="18"/>
                <w:szCs w:val="18"/>
                <w:b w:val="1"/>
                <w:bCs w:val="1"/>
                <w:color w:val="auto"/>
              </w:rPr>
              <w:t>December 31,</w:t>
            </w:r>
          </w:p>
        </w:tc>
        <w:tc>
          <w:tcPr>
            <w:tcW w:w="2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3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23"/>
        </w:trPr>
        <w:tc>
          <w:tcPr>
            <w:tcW w:w="73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87"/>
              </w:rPr>
              <w:t>(in thousands)</w:t>
            </w:r>
          </w:p>
        </w:tc>
        <w:tc>
          <w:tcPr>
            <w:tcW w:w="2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(24,089)</w:t>
            </w:r>
          </w:p>
        </w:tc>
        <w:tc>
          <w:tcPr>
            <w:tcW w:w="34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(23,467)</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(22,500)</w:t>
            </w: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Net cash provided by (used in) investing activities</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(5,938)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(54,735)</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16,024</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78,819</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10,613</w:t>
            </w:r>
          </w:p>
        </w:tc>
      </w:tr>
      <w:tr>
        <w:trPr>
          <w:trHeight w:val="27"/>
        </w:trPr>
        <w:tc>
          <w:tcPr>
            <w:tcW w:w="73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Increase (decrease) in cash and cash equivalents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(1,977)</w:t>
            </w:r>
          </w:p>
        </w:tc>
        <w:tc>
          <w:tcPr>
            <w:tcW w:w="34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617</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4,037</w:t>
            </w:r>
          </w:p>
        </w:tc>
      </w:tr>
      <w:tr>
        <w:trPr>
          <w:trHeight w:val="20"/>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6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Operating Activities</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Net cash used in operating activities was $23.5 million during the year ended December 31, 2018, compared to $22.5 million during the year ended December 31, 2019.</w:t>
      </w:r>
    </w:p>
    <w:p>
      <w:pPr>
        <w:spacing w:after="0" w:line="228"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Net cash used in operating activities in the year ended December 31, 2019 primarily resulted from our loss of $24.6 million during the period, a net increase of $1.5 million in working capital, $2.6 million due to share-based compensation expenses and $0.9 million of depreciation of property and equipment.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93" w:name="page94"/>
    <w:bookmarkEnd w:id="93"/>
    <w:p>
      <w:pPr>
        <w:ind w:right="600" w:firstLine="646"/>
        <w:spacing w:after="0" w:line="266" w:lineRule="auto"/>
        <w:rPr>
          <w:sz w:val="20"/>
          <w:szCs w:val="20"/>
          <w:color w:val="auto"/>
        </w:rPr>
      </w:pPr>
      <w:r>
        <w:rPr>
          <w:rFonts w:ascii="Arial" w:cs="Arial" w:eastAsia="Arial" w:hAnsi="Arial"/>
          <w:sz w:val="22"/>
          <w:szCs w:val="22"/>
          <w:color w:val="auto"/>
        </w:rPr>
        <w:t>Net cash used in operating activities in the year ended December 31, 2018 primarily resulted from our loss of $32.2 million during the period, a net increase of $3.2 million in working capital, $4.7 million due to share-based compensation expenses and $0.8 million of depreciation of property and equipment.</w:t>
      </w:r>
    </w:p>
    <w:p>
      <w:pPr>
        <w:spacing w:after="0" w:line="23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Net cash used in operating activities was $24.1 million during the year ended December 31, 2017, compared to $23.5 million during the year ended December 31, 2018.</w:t>
      </w:r>
    </w:p>
    <w:p>
      <w:pPr>
        <w:spacing w:after="0" w:line="228" w:lineRule="exact"/>
        <w:rPr>
          <w:sz w:val="20"/>
          <w:szCs w:val="20"/>
          <w:color w:val="auto"/>
        </w:rPr>
      </w:pPr>
    </w:p>
    <w:p>
      <w:pPr>
        <w:jc w:val="both"/>
        <w:ind w:firstLine="646"/>
        <w:spacing w:after="0" w:line="311" w:lineRule="auto"/>
        <w:rPr>
          <w:sz w:val="20"/>
          <w:szCs w:val="20"/>
          <w:color w:val="auto"/>
        </w:rPr>
      </w:pPr>
      <w:r>
        <w:rPr>
          <w:rFonts w:ascii="Arial" w:cs="Arial" w:eastAsia="Arial" w:hAnsi="Arial"/>
          <w:sz w:val="19"/>
          <w:szCs w:val="19"/>
          <w:color w:val="auto"/>
        </w:rPr>
        <w:t>Net cash used in operating activities in the year ended December 31, 2017 primarily resulted from our loss of $31.6 million during the period, a net increase of $2.9 million in working capital and $0.3 million used as advance payments for long term receivables in connection with the Phase II clinical trial for TWIN and the collaboration agreement with Perrigo UK for Ivermectin cream, 1%. This amount was partially offset by $6.2 million due to acquiring an in-process research and development product candidate, $0.5 million of depreciation of property and equipment and $4 million of share-based compensation expenses.</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Investing Activities</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Net cash used in investing activities was $54.7 million during the year ended December 31, 2018, compared to net cash provided by investing activities of $16.0 million during the year ended December 31, 2019. The change was due to a decrease of $72.3 million in investment in marketable securities, net and a decrease of $0.5 million in property and equipment, offset by an increase of $2.0 million in bank deposits.</w:t>
      </w:r>
    </w:p>
    <w:p>
      <w:pPr>
        <w:spacing w:after="0" w:line="245"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Net cash used in investing activities was $5.9 million during the year ended December 31, 2017, compared to net cash used in investing activities of $54.7 million during the year ended December 31, 2018. The increase was due to an increase of $56.7 million in investment in marketable securities, net, offset by a decrease of $7.0 million in bank deposits and a decrease of $0.9 million in property and equipment.</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Financing Activities</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Net cash from financing activities was $78.8 million during the year ended December 31, 2018, compared to $10.6 million during the year ended December 31, 2019. The decrease was due to our initial public offering in 2018, net of issuance cost, of $78.9 million, compared to our underwritten public offering in 2019, net of issuance cost, of $10.6 million. Net cash from financing activities was $28.0 million during the year ended December 31, 2017, compared to $78.8 million during the year ended December 31, 2018. The increase was due to the Company’s initial public offering in 2018, net of issuance cost, of $78.8 million.</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Funding Requirements</w:t>
      </w:r>
    </w:p>
    <w:p>
      <w:pPr>
        <w:spacing w:after="0" w:line="28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 our product candidates. We believe that the our existing cash resources together with the net proceeds of the follow on offering in February 2020, without giving effect to anticipated net proceeds from our private placement agreement with our controlling shareholder, if approved, will be sufficient to enable us to fund our operating expenses and capital expenditure requirements into the second quarter of 2021.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94" w:name="page95"/>
    <w:bookmarkEnd w:id="94"/>
    <w:p>
      <w:pPr>
        <w:jc w:val="both"/>
        <w:ind w:firstLine="648"/>
        <w:spacing w:after="0" w:line="260" w:lineRule="auto"/>
        <w:rPr>
          <w:sz w:val="20"/>
          <w:szCs w:val="20"/>
          <w:color w:val="auto"/>
        </w:rPr>
      </w:pPr>
      <w:r>
        <w:rPr>
          <w:rFonts w:ascii="Arial" w:cs="Arial" w:eastAsia="Arial" w:hAnsi="Arial"/>
          <w:sz w:val="22"/>
          <w:szCs w:val="22"/>
          <w:color w:val="auto"/>
        </w:rPr>
        <w:t>Developing drugs, conducting clinical trials, obtaining commercial manufacturing capabilities and commercializing products is expensive and we will need to raise substantial additional funds 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239" w:lineRule="exact"/>
        <w:rPr>
          <w:sz w:val="20"/>
          <w:szCs w:val="20"/>
          <w:color w:val="auto"/>
        </w:rPr>
      </w:pPr>
    </w:p>
    <w:p>
      <w:pPr>
        <w:ind w:left="860" w:hanging="488"/>
        <w:spacing w:after="0"/>
        <w:tabs>
          <w:tab w:leader="none" w:pos="8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progress and expenses of our pre-clinical studies, clinical trials and other research and development activities;</w:t>
      </w:r>
    </w:p>
    <w:p>
      <w:pPr>
        <w:spacing w:after="0" w:line="23" w:lineRule="exact"/>
        <w:rPr>
          <w:rFonts w:ascii="Arial" w:cs="Arial" w:eastAsia="Arial" w:hAnsi="Arial"/>
          <w:sz w:val="18"/>
          <w:szCs w:val="18"/>
          <w:color w:val="auto"/>
        </w:rPr>
      </w:pPr>
    </w:p>
    <w:p>
      <w:pPr>
        <w:ind w:left="860" w:hanging="488"/>
        <w:spacing w:after="0"/>
        <w:tabs>
          <w:tab w:leader="none" w:pos="8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scope, prioritization and number of our clinical trials and other research and development programs;</w:t>
      </w:r>
    </w:p>
    <w:p>
      <w:pPr>
        <w:spacing w:after="0" w:line="9" w:lineRule="exact"/>
        <w:rPr>
          <w:rFonts w:ascii="Arial" w:cs="Arial" w:eastAsia="Arial" w:hAnsi="Arial"/>
          <w:sz w:val="18"/>
          <w:szCs w:val="18"/>
          <w:color w:val="auto"/>
        </w:rPr>
      </w:pPr>
    </w:p>
    <w:p>
      <w:pPr>
        <w:ind w:left="860" w:hanging="488"/>
        <w:spacing w:after="0"/>
        <w:tabs>
          <w:tab w:leader="none" w:pos="8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expenses and timing of obtaining regulatory approval, if any, for our product candidates;</w:t>
      </w:r>
    </w:p>
    <w:p>
      <w:pPr>
        <w:spacing w:after="0" w:line="9" w:lineRule="exact"/>
        <w:rPr>
          <w:rFonts w:ascii="Arial" w:cs="Arial" w:eastAsia="Arial" w:hAnsi="Arial"/>
          <w:sz w:val="18"/>
          <w:szCs w:val="18"/>
          <w:color w:val="auto"/>
        </w:rPr>
      </w:pPr>
    </w:p>
    <w:p>
      <w:pPr>
        <w:ind w:left="860" w:hanging="488"/>
        <w:spacing w:after="0"/>
        <w:tabs>
          <w:tab w:leader="none" w:pos="8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expenses of filing, prosecuting, enforcing and defending patent claims and other intellectual property rights;</w:t>
      </w:r>
    </w:p>
    <w:p>
      <w:pPr>
        <w:spacing w:after="0" w:line="9" w:lineRule="exact"/>
        <w:rPr>
          <w:rFonts w:ascii="Arial" w:cs="Arial" w:eastAsia="Arial" w:hAnsi="Arial"/>
          <w:sz w:val="18"/>
          <w:szCs w:val="18"/>
          <w:color w:val="auto"/>
        </w:rPr>
      </w:pPr>
    </w:p>
    <w:p>
      <w:pPr>
        <w:ind w:left="860" w:hanging="488"/>
        <w:spacing w:after="0" w:line="250" w:lineRule="auto"/>
        <w:tabs>
          <w:tab w:leader="none" w:pos="8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expenses of, and timing for, expanding our manufacturing agreements for production of sufficient clinical and commercial quantities of our product candidates; and</w:t>
      </w:r>
    </w:p>
    <w:p>
      <w:pPr>
        <w:ind w:left="860" w:hanging="488"/>
        <w:spacing w:after="0" w:line="260" w:lineRule="auto"/>
        <w:tabs>
          <w:tab w:leader="none" w:pos="8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potential expenses of contracting with third parties to provide marketing and distribution services for us or for building such capacities internally.</w:t>
      </w:r>
    </w:p>
    <w:p>
      <w:pPr>
        <w:spacing w:after="0" w:line="24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Other than revenue that we expect to generate from a collaboration between us and Perrigo with respect to the first generic version of Zovirax® (acyclovir) cream, 5%, until we can generate recurring revenues, we expect to satisfy our future cash needs through existing cash resources as well as the net proceeds from our public offering in February 2020, additional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 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232" w:lineRule="exact"/>
        <w:rPr>
          <w:sz w:val="20"/>
          <w:szCs w:val="20"/>
          <w:color w:val="auto"/>
        </w:rPr>
      </w:pPr>
    </w:p>
    <w:p>
      <w:pPr>
        <w:ind w:left="820" w:hanging="812"/>
        <w:spacing w:after="0"/>
        <w:tabs>
          <w:tab w:leader="none" w:pos="820" w:val="left"/>
        </w:tabs>
        <w:numPr>
          <w:ilvl w:val="0"/>
          <w:numId w:val="67"/>
        </w:numPr>
        <w:rPr>
          <w:rFonts w:ascii="Arial" w:cs="Arial" w:eastAsia="Arial" w:hAnsi="Arial"/>
          <w:sz w:val="22"/>
          <w:szCs w:val="22"/>
          <w:b w:val="1"/>
          <w:bCs w:val="1"/>
          <w:color w:val="auto"/>
        </w:rPr>
      </w:pPr>
      <w:r>
        <w:rPr>
          <w:rFonts w:ascii="Arial" w:cs="Arial" w:eastAsia="Arial" w:hAnsi="Arial"/>
          <w:sz w:val="22"/>
          <w:szCs w:val="22"/>
          <w:b w:val="1"/>
          <w:bCs w:val="1"/>
          <w:color w:val="auto"/>
        </w:rPr>
        <w:t>Research and Development, Patents and Licenses</w:t>
      </w:r>
    </w:p>
    <w:p>
      <w:pPr>
        <w:spacing w:after="0" w:line="293"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For a description of our research and development programs and the amounts that we have incurred over the last two years pursuant to those programs, please see “Item 5. Operating and Financial Review and Prospects — A. Operating Results — Research and Development Expenses”; and “Item 5. Operating and Financial Review and Prospects — A. Operating Results — Year Ended December 31, 2018 compared to Year ended December 31, 2019 - Research and Development Expenses.”; and “Item</w:t>
      </w:r>
    </w:p>
    <w:p>
      <w:pPr>
        <w:spacing w:after="0" w:line="3" w:lineRule="exact"/>
        <w:rPr>
          <w:sz w:val="20"/>
          <w:szCs w:val="20"/>
          <w:color w:val="auto"/>
        </w:rPr>
      </w:pPr>
    </w:p>
    <w:p>
      <w:pPr>
        <w:ind w:firstLine="8"/>
        <w:spacing w:after="0" w:line="272" w:lineRule="auto"/>
        <w:tabs>
          <w:tab w:leader="none" w:pos="225" w:val="left"/>
        </w:tabs>
        <w:numPr>
          <w:ilvl w:val="0"/>
          <w:numId w:val="68"/>
        </w:numPr>
        <w:rPr>
          <w:rFonts w:ascii="Arial" w:cs="Arial" w:eastAsia="Arial" w:hAnsi="Arial"/>
          <w:sz w:val="22"/>
          <w:szCs w:val="22"/>
          <w:color w:val="auto"/>
        </w:rPr>
      </w:pPr>
      <w:r>
        <w:rPr>
          <w:rFonts w:ascii="Arial" w:cs="Arial" w:eastAsia="Arial" w:hAnsi="Arial"/>
          <w:sz w:val="22"/>
          <w:szCs w:val="22"/>
          <w:color w:val="auto"/>
        </w:rPr>
        <w:t>Operating and Financial Review and Prospects — A. Operating Results — Year Ended December 31, 2017 compared to Year ended December 31, 2018 - Research and Development Expenses.”</w:t>
      </w:r>
    </w:p>
    <w:p>
      <w:pPr>
        <w:spacing w:after="0" w:line="226" w:lineRule="exact"/>
        <w:rPr>
          <w:sz w:val="20"/>
          <w:szCs w:val="20"/>
          <w:color w:val="auto"/>
        </w:rPr>
      </w:pPr>
    </w:p>
    <w:p>
      <w:pPr>
        <w:ind w:left="800" w:hanging="792"/>
        <w:spacing w:after="0"/>
        <w:tabs>
          <w:tab w:leader="none" w:pos="800" w:val="left"/>
        </w:tabs>
        <w:numPr>
          <w:ilvl w:val="0"/>
          <w:numId w:val="69"/>
        </w:numPr>
        <w:rPr>
          <w:rFonts w:ascii="Arial" w:cs="Arial" w:eastAsia="Arial" w:hAnsi="Arial"/>
          <w:sz w:val="22"/>
          <w:szCs w:val="22"/>
          <w:b w:val="1"/>
          <w:bCs w:val="1"/>
          <w:color w:val="auto"/>
        </w:rPr>
      </w:pPr>
      <w:r>
        <w:rPr>
          <w:rFonts w:ascii="Arial" w:cs="Arial" w:eastAsia="Arial" w:hAnsi="Arial"/>
          <w:sz w:val="22"/>
          <w:szCs w:val="22"/>
          <w:b w:val="1"/>
          <w:bCs w:val="1"/>
          <w:color w:val="auto"/>
        </w:rPr>
        <w:t>Trend Information</w:t>
      </w:r>
    </w:p>
    <w:p>
      <w:pPr>
        <w:spacing w:after="0" w:line="293"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Other than as disclosed elsewhere in this annual report, we are not aware of any trends, uncertainties, demands, commitments or events for the period from January 1, 2019 to December 31, 2019 that are reasonably likely to have a material adverse effect on our revenue, income, profitability, liquidity or capital resources, or that caused that disclosed financial information to be not necessarily indicative of future operating results or financial condition.</w:t>
      </w:r>
    </w:p>
    <w:p>
      <w:pPr>
        <w:spacing w:after="0" w:line="221" w:lineRule="exact"/>
        <w:rPr>
          <w:sz w:val="20"/>
          <w:szCs w:val="20"/>
          <w:color w:val="auto"/>
        </w:rPr>
      </w:pPr>
    </w:p>
    <w:p>
      <w:pPr>
        <w:ind w:left="860" w:hanging="852"/>
        <w:spacing w:after="0"/>
        <w:tabs>
          <w:tab w:leader="none" w:pos="860" w:val="left"/>
        </w:tabs>
        <w:numPr>
          <w:ilvl w:val="0"/>
          <w:numId w:val="70"/>
        </w:numPr>
        <w:rPr>
          <w:rFonts w:ascii="Arial" w:cs="Arial" w:eastAsia="Arial" w:hAnsi="Arial"/>
          <w:sz w:val="22"/>
          <w:szCs w:val="22"/>
          <w:b w:val="1"/>
          <w:bCs w:val="1"/>
          <w:color w:val="auto"/>
        </w:rPr>
      </w:pPr>
      <w:r>
        <w:rPr>
          <w:rFonts w:ascii="Arial" w:cs="Arial" w:eastAsia="Arial" w:hAnsi="Arial"/>
          <w:sz w:val="22"/>
          <w:szCs w:val="22"/>
          <w:b w:val="1"/>
          <w:bCs w:val="1"/>
          <w:color w:val="auto"/>
        </w:rPr>
        <w:t>Off-Balance Sheet Arrangements</w:t>
      </w:r>
    </w:p>
    <w:p>
      <w:pPr>
        <w:spacing w:after="0" w:line="293"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We do not have any, and during the periods presented we did not have any, off-balance sheet arrangements as defined in the rules and regulations of the SEC.</w:t>
      </w:r>
    </w:p>
    <w:p>
      <w:pPr>
        <w:sectPr>
          <w:pgSz w:w="11900" w:h="16838" w:orient="portrait"/>
          <w:cols w:equalWidth="0" w:num="1">
            <w:col w:w="11240"/>
          </w:cols>
          <w:pgMar w:left="320" w:top="132" w:right="339" w:bottom="1440" w:gutter="0" w:footer="0" w:header="0"/>
        </w:sectPr>
      </w:pP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95" w:name="page96"/>
    <w:bookmarkEnd w:id="95"/>
    <w:p>
      <w:pPr>
        <w:ind w:left="820" w:hanging="812"/>
        <w:spacing w:after="0"/>
        <w:tabs>
          <w:tab w:leader="none" w:pos="820" w:val="left"/>
        </w:tabs>
        <w:numPr>
          <w:ilvl w:val="0"/>
          <w:numId w:val="71"/>
        </w:numPr>
        <w:rPr>
          <w:rFonts w:ascii="Arial" w:cs="Arial" w:eastAsia="Arial" w:hAnsi="Arial"/>
          <w:sz w:val="22"/>
          <w:szCs w:val="22"/>
          <w:b w:val="1"/>
          <w:bCs w:val="1"/>
          <w:color w:val="auto"/>
        </w:rPr>
      </w:pPr>
      <w:r>
        <w:rPr>
          <w:rFonts w:ascii="Arial" w:cs="Arial" w:eastAsia="Arial" w:hAnsi="Arial"/>
          <w:sz w:val="22"/>
          <w:szCs w:val="22"/>
          <w:b w:val="1"/>
          <w:bCs w:val="1"/>
          <w:color w:val="auto"/>
        </w:rPr>
        <w:t>Tabular Disclosure of Contractual Obligations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The following table summarizes our contractual obligations as of December 31, 2019:</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Less than</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More than</w:t>
            </w:r>
          </w:p>
        </w:tc>
      </w:tr>
      <w:tr>
        <w:trPr>
          <w:trHeight w:val="241"/>
        </w:trPr>
        <w:tc>
          <w:tcPr>
            <w:tcW w:w="46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b w:val="1"/>
                <w:bCs w:val="1"/>
                <w:color w:val="auto"/>
              </w:rPr>
              <w:t>Total</w:t>
            </w:r>
          </w:p>
        </w:tc>
        <w:tc>
          <w:tcPr>
            <w:tcW w:w="140" w:type="dxa"/>
            <w:vAlign w:val="bottom"/>
          </w:tcPr>
          <w:p>
            <w:pPr>
              <w:spacing w:after="0"/>
              <w:rPr>
                <w:sz w:val="20"/>
                <w:szCs w:val="20"/>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1 year</w:t>
            </w: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89"/>
              </w:rPr>
              <w:t>1 – 3 years</w:t>
            </w:r>
          </w:p>
        </w:tc>
        <w:tc>
          <w:tcPr>
            <w:tcW w:w="132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3 – 5 years</w:t>
            </w:r>
          </w:p>
        </w:tc>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5 years</w:t>
            </w:r>
          </w:p>
        </w:tc>
      </w:tr>
      <w:tr>
        <w:trPr>
          <w:trHeight w:val="223"/>
        </w:trPr>
        <w:tc>
          <w:tcPr>
            <w:tcW w:w="462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87"/>
              </w:rPr>
              <w:t>(in thousands)</w:t>
            </w:r>
          </w:p>
        </w:tc>
        <w:tc>
          <w:tcPr>
            <w:tcW w:w="220" w:type="dxa"/>
            <w:vAlign w:val="bottom"/>
            <w:tcBorders>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obligations (1)</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2,273</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w:t>
            </w:r>
          </w:p>
        </w:tc>
        <w:tc>
          <w:tcPr>
            <w:tcW w:w="100" w:type="dxa"/>
            <w:vAlign w:val="bottom"/>
            <w:shd w:val="clear" w:color="auto" w:fill="CCEEFF"/>
          </w:tcPr>
          <w:p>
            <w:pPr>
              <w:spacing w:after="0"/>
              <w:rPr>
                <w:sz w:val="18"/>
                <w:szCs w:val="18"/>
                <w:color w:val="auto"/>
              </w:rPr>
            </w:pPr>
          </w:p>
        </w:tc>
        <w:tc>
          <w:tcPr>
            <w:tcW w:w="26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1,083</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518</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7"/>
        </w:trPr>
        <w:tc>
          <w:tcPr>
            <w:tcW w:w="46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Total</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2,273</w:t>
            </w:r>
          </w:p>
        </w:tc>
        <w:tc>
          <w:tcPr>
            <w:tcW w:w="2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672</w:t>
            </w:r>
          </w:p>
        </w:tc>
        <w:tc>
          <w:tcPr>
            <w:tcW w:w="100" w:type="dxa"/>
            <w:vAlign w:val="bottom"/>
          </w:tcPr>
          <w:p>
            <w:pPr>
              <w:spacing w:after="0"/>
              <w:rPr>
                <w:sz w:val="18"/>
                <w:szCs w:val="18"/>
                <w:color w:val="auto"/>
              </w:rPr>
            </w:pPr>
          </w:p>
        </w:tc>
        <w:tc>
          <w:tcPr>
            <w:tcW w:w="260" w:type="dxa"/>
            <w:vAlign w:val="bottom"/>
            <w:gridSpan w:val="2"/>
          </w:tcPr>
          <w:p>
            <w:pPr>
              <w:ind w:left="14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1,083</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518</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
        </w:trPr>
        <w:tc>
          <w:tcPr>
            <w:tcW w:w="46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54380"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54380" cy="8255"/>
                    </a:xfrm>
                    <a:prstGeom prst="rect">
                      <a:avLst/>
                    </a:prstGeom>
                    <a:noFill/>
                  </pic:spPr>
                </pic:pic>
              </a:graphicData>
            </a:graphic>
          </wp:anchor>
        </w:drawing>
      </w:r>
    </w:p>
    <w:p>
      <w:pPr>
        <w:spacing w:after="0" w:line="236" w:lineRule="exact"/>
        <w:rPr>
          <w:sz w:val="20"/>
          <w:szCs w:val="20"/>
          <w:color w:val="auto"/>
        </w:rPr>
      </w:pPr>
    </w:p>
    <w:p>
      <w:pPr>
        <w:ind w:left="500" w:hanging="492"/>
        <w:spacing w:after="0"/>
        <w:tabs>
          <w:tab w:leader="none" w:pos="500" w:val="left"/>
        </w:tabs>
        <w:numPr>
          <w:ilvl w:val="0"/>
          <w:numId w:val="72"/>
        </w:numPr>
        <w:rPr>
          <w:rFonts w:ascii="Arial" w:cs="Arial" w:eastAsia="Arial" w:hAnsi="Arial"/>
          <w:sz w:val="17"/>
          <w:szCs w:val="17"/>
          <w:color w:val="auto"/>
        </w:rPr>
      </w:pPr>
      <w:r>
        <w:rPr>
          <w:rFonts w:ascii="Arial" w:cs="Arial" w:eastAsia="Arial" w:hAnsi="Arial"/>
          <w:sz w:val="17"/>
          <w:szCs w:val="17"/>
          <w:color w:val="auto"/>
        </w:rPr>
        <w:t>Operating lease obligations consist of payments pursuant to several lease agreements that are scheduled to expire on December 31, 2023.</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96" w:name="page97"/>
    <w:bookmarkEnd w:id="96"/>
    <w:p>
      <w:pPr>
        <w:spacing w:after="0"/>
        <w:tabs>
          <w:tab w:leader="none" w:pos="132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21"/>
          <w:szCs w:val="21"/>
          <w:b w:val="1"/>
          <w:bCs w:val="1"/>
          <w:color w:val="auto"/>
        </w:rPr>
        <w:t>DIRECTORS, SENIOR MANAGEMENT AND EMPLOYEES</w:t>
      </w:r>
    </w:p>
    <w:p>
      <w:pPr>
        <w:spacing w:after="0" w:line="287" w:lineRule="exact"/>
        <w:rPr>
          <w:sz w:val="20"/>
          <w:szCs w:val="20"/>
          <w:color w:val="auto"/>
        </w:rPr>
      </w:pPr>
    </w:p>
    <w:p>
      <w:pPr>
        <w:ind w:left="760" w:hanging="752"/>
        <w:spacing w:after="0"/>
        <w:tabs>
          <w:tab w:leader="none" w:pos="760" w:val="left"/>
        </w:tabs>
        <w:numPr>
          <w:ilvl w:val="0"/>
          <w:numId w:val="73"/>
        </w:numPr>
        <w:rPr>
          <w:rFonts w:ascii="Arial" w:cs="Arial" w:eastAsia="Arial" w:hAnsi="Arial"/>
          <w:sz w:val="22"/>
          <w:szCs w:val="22"/>
          <w:b w:val="1"/>
          <w:bCs w:val="1"/>
          <w:color w:val="auto"/>
        </w:rPr>
      </w:pPr>
      <w:r>
        <w:rPr>
          <w:rFonts w:ascii="Arial" w:cs="Arial" w:eastAsia="Arial" w:hAnsi="Arial"/>
          <w:sz w:val="22"/>
          <w:szCs w:val="22"/>
          <w:b w:val="1"/>
          <w:bCs w:val="1"/>
          <w:color w:val="auto"/>
        </w:rPr>
        <w:t>Directors and Senior Management</w:t>
      </w:r>
    </w:p>
    <w:p>
      <w:pPr>
        <w:spacing w:after="0" w:line="293"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The following table sets forth information concerning our directors and senior management, which includes members of our administrative, supervisory and management bodies, including their ages, as of the date of this annual report:</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00" w:type="dxa"/>
            <w:vAlign w:val="bottom"/>
          </w:tcPr>
          <w:p>
            <w:pPr>
              <w:ind w:left="40"/>
              <w:spacing w:after="0"/>
              <w:rPr>
                <w:sz w:val="20"/>
                <w:szCs w:val="20"/>
                <w:color w:val="auto"/>
              </w:rPr>
            </w:pPr>
            <w:r>
              <w:rPr>
                <w:rFonts w:ascii="Arial" w:cs="Arial" w:eastAsia="Arial" w:hAnsi="Arial"/>
                <w:sz w:val="18"/>
                <w:szCs w:val="18"/>
                <w:b w:val="1"/>
                <w:bCs w:val="1"/>
                <w:color w:val="auto"/>
              </w:rPr>
              <w:t>Name</w:t>
            </w:r>
          </w:p>
        </w:tc>
        <w:tc>
          <w:tcPr>
            <w:tcW w:w="160" w:type="dxa"/>
            <w:vAlign w:val="bottom"/>
          </w:tcPr>
          <w:p>
            <w:pPr>
              <w:spacing w:after="0"/>
              <w:rPr>
                <w:sz w:val="20"/>
                <w:szCs w:val="20"/>
                <w:color w:val="auto"/>
              </w:rPr>
            </w:pPr>
          </w:p>
        </w:tc>
        <w:tc>
          <w:tcPr>
            <w:tcW w:w="520" w:type="dxa"/>
            <w:vAlign w:val="bottom"/>
          </w:tcPr>
          <w:p>
            <w:pPr>
              <w:jc w:val="center"/>
              <w:spacing w:after="0"/>
              <w:rPr>
                <w:sz w:val="20"/>
                <w:szCs w:val="20"/>
                <w:color w:val="auto"/>
              </w:rPr>
            </w:pPr>
            <w:r>
              <w:rPr>
                <w:rFonts w:ascii="Arial" w:cs="Arial" w:eastAsia="Arial" w:hAnsi="Arial"/>
                <w:sz w:val="18"/>
                <w:szCs w:val="18"/>
                <w:b w:val="1"/>
                <w:bCs w:val="1"/>
                <w:color w:val="auto"/>
                <w:w w:val="88"/>
              </w:rPr>
              <w:t>Age</w:t>
            </w:r>
          </w:p>
        </w:tc>
        <w:tc>
          <w:tcPr>
            <w:tcW w:w="140" w:type="dxa"/>
            <w:vAlign w:val="bottom"/>
          </w:tcPr>
          <w:p>
            <w:pPr>
              <w:spacing w:after="0"/>
              <w:rPr>
                <w:sz w:val="20"/>
                <w:szCs w:val="20"/>
                <w:color w:val="auto"/>
              </w:rPr>
            </w:pPr>
          </w:p>
        </w:tc>
        <w:tc>
          <w:tcPr>
            <w:tcW w:w="692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34"/>
        </w:trPr>
        <w:tc>
          <w:tcPr>
            <w:tcW w:w="3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Borders>
              <w:bottom w:val="single" w:sz="8" w:color="auto"/>
            </w:tcBorders>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Moshe Arkin</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67</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Chairman of the Board of Directors</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Alon Seri-Levy</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58</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Chief Executive Officer and Director</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Gilad Mamlok</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51</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Chief Financial Officer</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Ofer Toledano</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55</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Vice President Research and Development</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Ofra Levy-Hacham</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54</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Vice President Clinical and Regulatory Affairs</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Karine Neimann</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48</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Vice President Projects and Planning, Chief Chemist</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Itzik Yosef</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43</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Vice President Operations</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Dubi Zamir</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66</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Vice President Special Projects</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Nissim Bilman</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58</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Vice President Quality</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John Vieira</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50</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U.S. Head of Commercialization</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Itai Arkin</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31</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Shmuel Ben Zvi</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59</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Hani Lerman</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47</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Yaffa Krindel-Sieradzki</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65</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50"/>
        </w:trPr>
        <w:tc>
          <w:tcPr>
            <w:tcW w:w="3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Jonathan B. Siegel</w:t>
            </w:r>
          </w:p>
        </w:tc>
        <w:tc>
          <w:tcPr>
            <w:tcW w:w="680" w:type="dxa"/>
            <w:vAlign w:val="bottom"/>
            <w:tcBorders>
              <w:bottom w:val="single" w:sz="8" w:color="CCEEFF"/>
            </w:tcBorders>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46</w:t>
            </w:r>
          </w:p>
        </w:tc>
        <w:tc>
          <w:tcPr>
            <w:tcW w:w="140" w:type="dxa"/>
            <w:vAlign w:val="bottom"/>
            <w:tcBorders>
              <w:bottom w:val="single" w:sz="8" w:color="CCEEFF"/>
            </w:tcBorders>
            <w:shd w:val="clear" w:color="auto" w:fill="CCEEFF"/>
          </w:tcPr>
          <w:p>
            <w:pPr>
              <w:spacing w:after="0"/>
              <w:rPr>
                <w:sz w:val="21"/>
                <w:szCs w:val="21"/>
                <w:color w:val="auto"/>
              </w:rPr>
            </w:pPr>
          </w:p>
        </w:tc>
        <w:tc>
          <w:tcPr>
            <w:tcW w:w="6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43"/>
        </w:trPr>
        <w:tc>
          <w:tcPr>
            <w:tcW w:w="3500" w:type="dxa"/>
            <w:vAlign w:val="bottom"/>
          </w:tcPr>
          <w:p>
            <w:pPr>
              <w:ind w:left="40"/>
              <w:spacing w:after="0"/>
              <w:rPr>
                <w:sz w:val="20"/>
                <w:szCs w:val="20"/>
                <w:color w:val="auto"/>
              </w:rPr>
            </w:pPr>
            <w:r>
              <w:rPr>
                <w:rFonts w:ascii="Arial" w:cs="Arial" w:eastAsia="Arial" w:hAnsi="Arial"/>
                <w:sz w:val="18"/>
                <w:szCs w:val="18"/>
                <w:color w:val="auto"/>
              </w:rPr>
              <w:t>Ran Gottfried</w:t>
            </w:r>
          </w:p>
        </w:tc>
        <w:tc>
          <w:tcPr>
            <w:tcW w:w="680" w:type="dxa"/>
            <w:vAlign w:val="bottom"/>
            <w:gridSpan w:val="2"/>
          </w:tcPr>
          <w:p>
            <w:pPr>
              <w:jc w:val="center"/>
              <w:ind w:left="50"/>
              <w:spacing w:after="0"/>
              <w:rPr>
                <w:sz w:val="20"/>
                <w:szCs w:val="20"/>
                <w:color w:val="auto"/>
              </w:rPr>
            </w:pPr>
            <w:r>
              <w:rPr>
                <w:rFonts w:ascii="Arial" w:cs="Arial" w:eastAsia="Arial" w:hAnsi="Arial"/>
                <w:sz w:val="18"/>
                <w:szCs w:val="18"/>
                <w:color w:val="auto"/>
                <w:w w:val="89"/>
              </w:rPr>
              <w:t>75</w:t>
            </w:r>
          </w:p>
        </w:tc>
        <w:tc>
          <w:tcPr>
            <w:tcW w:w="140" w:type="dxa"/>
            <w:vAlign w:val="bottom"/>
          </w:tcPr>
          <w:p>
            <w:pPr>
              <w:spacing w:after="0"/>
              <w:rPr>
                <w:sz w:val="21"/>
                <w:szCs w:val="21"/>
                <w:color w:val="auto"/>
              </w:rPr>
            </w:pPr>
          </w:p>
        </w:tc>
        <w:tc>
          <w:tcPr>
            <w:tcW w:w="6920" w:type="dxa"/>
            <w:vAlign w:val="bottom"/>
          </w:tcPr>
          <w:p>
            <w:pPr>
              <w:ind w:left="20"/>
              <w:spacing w:after="0"/>
              <w:rPr>
                <w:sz w:val="20"/>
                <w:szCs w:val="20"/>
                <w:color w:val="auto"/>
              </w:rPr>
            </w:pPr>
            <w:r>
              <w:rPr>
                <w:rFonts w:ascii="Arial" w:cs="Arial" w:eastAsia="Arial" w:hAnsi="Arial"/>
                <w:sz w:val="18"/>
                <w:szCs w:val="18"/>
                <w:color w:val="auto"/>
              </w:rPr>
              <w:t>External Director</w:t>
            </w:r>
          </w:p>
        </w:tc>
      </w:tr>
      <w:tr>
        <w:trPr>
          <w:trHeight w:val="27"/>
        </w:trPr>
        <w:tc>
          <w:tcPr>
            <w:tcW w:w="350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920" w:type="dxa"/>
            <w:vAlign w:val="bottom"/>
          </w:tcPr>
          <w:p>
            <w:pPr>
              <w:spacing w:after="0"/>
              <w:rPr>
                <w:sz w:val="2"/>
                <w:szCs w:val="2"/>
                <w:color w:val="auto"/>
              </w:rPr>
            </w:pPr>
          </w:p>
        </w:tc>
      </w:tr>
      <w:tr>
        <w:trPr>
          <w:trHeight w:val="243"/>
        </w:trPr>
        <w:tc>
          <w:tcPr>
            <w:tcW w:w="3500" w:type="dxa"/>
            <w:vAlign w:val="bottom"/>
            <w:shd w:val="clear" w:color="auto" w:fill="CCEEFF"/>
          </w:tcPr>
          <w:p>
            <w:pPr>
              <w:ind w:left="40"/>
              <w:spacing w:after="0"/>
              <w:rPr>
                <w:sz w:val="20"/>
                <w:szCs w:val="20"/>
                <w:color w:val="auto"/>
              </w:rPr>
            </w:pPr>
            <w:r>
              <w:rPr>
                <w:rFonts w:ascii="Arial" w:cs="Arial" w:eastAsia="Arial" w:hAnsi="Arial"/>
                <w:sz w:val="18"/>
                <w:szCs w:val="18"/>
                <w:color w:val="auto"/>
              </w:rPr>
              <w:t>Jerrold S. Gattegno</w:t>
            </w:r>
          </w:p>
        </w:tc>
        <w:tc>
          <w:tcPr>
            <w:tcW w:w="680" w:type="dxa"/>
            <w:vAlign w:val="bottom"/>
            <w:gridSpan w:val="2"/>
            <w:shd w:val="clear" w:color="auto" w:fill="CCEEFF"/>
          </w:tcPr>
          <w:p>
            <w:pPr>
              <w:jc w:val="center"/>
              <w:ind w:left="50"/>
              <w:spacing w:after="0"/>
              <w:rPr>
                <w:sz w:val="20"/>
                <w:szCs w:val="20"/>
                <w:color w:val="auto"/>
              </w:rPr>
            </w:pPr>
            <w:r>
              <w:rPr>
                <w:rFonts w:ascii="Arial" w:cs="Arial" w:eastAsia="Arial" w:hAnsi="Arial"/>
                <w:sz w:val="18"/>
                <w:szCs w:val="18"/>
                <w:color w:val="auto"/>
                <w:w w:val="89"/>
              </w:rPr>
              <w:t>67</w:t>
            </w:r>
          </w:p>
        </w:tc>
        <w:tc>
          <w:tcPr>
            <w:tcW w:w="140" w:type="dxa"/>
            <w:vAlign w:val="bottom"/>
            <w:shd w:val="clear" w:color="auto" w:fill="CCEEFF"/>
          </w:tcPr>
          <w:p>
            <w:pPr>
              <w:spacing w:after="0"/>
              <w:rPr>
                <w:sz w:val="21"/>
                <w:szCs w:val="21"/>
                <w:color w:val="auto"/>
              </w:rPr>
            </w:pPr>
          </w:p>
        </w:tc>
        <w:tc>
          <w:tcPr>
            <w:tcW w:w="6920" w:type="dxa"/>
            <w:vAlign w:val="bottom"/>
            <w:shd w:val="clear" w:color="auto" w:fill="CCEEFF"/>
          </w:tcPr>
          <w:p>
            <w:pPr>
              <w:ind w:left="20"/>
              <w:spacing w:after="0"/>
              <w:rPr>
                <w:sz w:val="20"/>
                <w:szCs w:val="20"/>
                <w:color w:val="auto"/>
              </w:rPr>
            </w:pPr>
            <w:r>
              <w:rPr>
                <w:rFonts w:ascii="Arial" w:cs="Arial" w:eastAsia="Arial" w:hAnsi="Arial"/>
                <w:sz w:val="18"/>
                <w:szCs w:val="18"/>
                <w:color w:val="auto"/>
              </w:rPr>
              <w:t>External Director</w:t>
            </w:r>
          </w:p>
        </w:tc>
      </w:tr>
      <w:tr>
        <w:trPr>
          <w:trHeight w:val="27"/>
        </w:trPr>
        <w:tc>
          <w:tcPr>
            <w:tcW w:w="3500" w:type="dxa"/>
            <w:vAlign w:val="bottom"/>
            <w:shd w:val="clear" w:color="auto" w:fill="CCEEFF"/>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6920" w:type="dxa"/>
            <w:vAlign w:val="bottom"/>
            <w:shd w:val="clear" w:color="auto" w:fill="CCEEFF"/>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308610</wp:posOffset>
            </wp:positionV>
            <wp:extent cx="891540"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89154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b w:val="1"/>
          <w:bCs w:val="1"/>
          <w:i w:val="1"/>
          <w:iCs w:val="1"/>
          <w:color w:val="auto"/>
        </w:rPr>
        <w:t xml:space="preserve">Mr. Moshe Arkin </w:t>
      </w:r>
      <w:r>
        <w:rPr>
          <w:rFonts w:ascii="Arial" w:cs="Arial" w:eastAsia="Arial" w:hAnsi="Arial"/>
          <w:sz w:val="21"/>
          <w:szCs w:val="21"/>
          <w:color w:val="auto"/>
        </w:rPr>
        <w:t>has served as chairman of our board of directors since 2014. Mr. Moshe Arkin currently sits on the</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board of directors of several private pharmaceutical and medical device companies including Exalenz Bioscience Ltd., a developer of advanced systems for gastrointestinal and liver disorders since 2006, SoniVie Ltd., a company developing systems for the treatment of pulmonary arterial hypertension, Digma Medical, a company developing systems to treat insulin resistance present in type 2 diabetes and other metabolic syndrome diseases, and Valcare Medical, a company developing heart valve devices. From 2005 to 2008, Mr. Moshe Arkin served as the head of generics at Perrigo Company and from 2005 until 2011 as the vice chairman of its board of directors. Prior to joining us, Mr. Moshe Arkin served as a director of cCAM Biotherapeutics Ltd., a company focused on the discovery and development of novel immunotherapies to treat cancer from 2012 until its acquisition in 2015 by Merck &amp; Co., Inc. Mr. Moshe Arkin served as chairman of Agis Industries Ltd. from its inception in 1972 until its acquisition by Perrigo Company in 2005. Mr. Moshe Arkin holds a B.A. in psychology from the Tel Aviv University, Israel.</w:t>
      </w:r>
    </w:p>
    <w:p>
      <w:pPr>
        <w:spacing w:after="0" w:line="241"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b w:val="1"/>
          <w:bCs w:val="1"/>
          <w:i w:val="1"/>
          <w:iCs w:val="1"/>
          <w:color w:val="auto"/>
        </w:rPr>
        <w:t xml:space="preserve">Dr. Alon Seri-Levy </w:t>
      </w:r>
      <w:r>
        <w:rPr>
          <w:rFonts w:ascii="Arial" w:cs="Arial" w:eastAsia="Arial" w:hAnsi="Arial"/>
          <w:sz w:val="21"/>
          <w:szCs w:val="21"/>
          <w:color w:val="auto"/>
        </w:rPr>
        <w:t>co-founded Sol-Gel and has served as our chief executive officer since our inception in 1997 and as a</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member of our board of 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of directors immediately following the pricing of our initial public offering.</w:t>
      </w:r>
    </w:p>
    <w:p>
      <w:pPr>
        <w:sectPr>
          <w:pgSz w:w="11900" w:h="16838" w:orient="portrait"/>
          <w:cols w:equalWidth="0" w:num="1">
            <w:col w:w="11240"/>
          </w:cols>
          <w:pgMar w:left="320" w:top="396" w:right="339" w:bottom="1440" w:gutter="0" w:footer="0" w:header="0"/>
        </w:sectPr>
      </w:pPr>
    </w:p>
    <w:p>
      <w:pPr>
        <w:spacing w:after="0" w:line="398"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type w:val="continuous"/>
        </w:sectPr>
      </w:pPr>
    </w:p>
    <w:bookmarkStart w:id="97" w:name="page98"/>
    <w:bookmarkEnd w:id="97"/>
    <w:p>
      <w:pPr>
        <w:jc w:val="both"/>
        <w:ind w:firstLine="648"/>
        <w:spacing w:after="0" w:line="273" w:lineRule="auto"/>
        <w:rPr>
          <w:sz w:val="20"/>
          <w:szCs w:val="20"/>
          <w:color w:val="auto"/>
        </w:rPr>
      </w:pPr>
      <w:r>
        <w:rPr>
          <w:rFonts w:ascii="Arial" w:cs="Arial" w:eastAsia="Arial" w:hAnsi="Arial"/>
          <w:sz w:val="21"/>
          <w:szCs w:val="21"/>
          <w:b w:val="1"/>
          <w:bCs w:val="1"/>
          <w:i w:val="1"/>
          <w:iCs w:val="1"/>
          <w:color w:val="auto"/>
        </w:rPr>
        <w:t xml:space="preserve">Mr. Gilad Mamlok </w:t>
      </w:r>
      <w:r>
        <w:rPr>
          <w:rFonts w:ascii="Arial" w:cs="Arial" w:eastAsia="Arial" w:hAnsi="Arial"/>
          <w:sz w:val="21"/>
          <w:szCs w:val="21"/>
          <w:color w:val="auto"/>
        </w:rPr>
        <w:t>has served as our chief financial officer since February 2017. From August 2015 to January 2017,</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Mr. Mamlok served as the chief financial officer for Medigus Ltd., a medical device company dual listed on Nasdaq and the Tel Aviv Stock Exchange, or the TASE. From September 2005 to March 2015, Mr. Mamlok served as senior vice president, global finance and 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237"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b w:val="1"/>
          <w:bCs w:val="1"/>
          <w:i w:val="1"/>
          <w:iCs w:val="1"/>
          <w:color w:val="auto"/>
        </w:rPr>
        <w:t xml:space="preserve">Dr. Ofer Toledano </w:t>
      </w:r>
      <w:r>
        <w:rPr>
          <w:rFonts w:ascii="Arial" w:cs="Arial" w:eastAsia="Arial" w:hAnsi="Arial"/>
          <w:sz w:val="21"/>
          <w:szCs w:val="21"/>
          <w:color w:val="auto"/>
        </w:rPr>
        <w:t>has served as our vice president of research and development since 2004. Prior to joining Sol-Gel, Dr.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Toledano served as manager of 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22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b w:val="1"/>
          <w:bCs w:val="1"/>
          <w:i w:val="1"/>
          <w:iCs w:val="1"/>
          <w:color w:val="auto"/>
        </w:rPr>
        <w:t xml:space="preserve">Dr. Ofra Levy-Hacham </w:t>
      </w:r>
      <w:r>
        <w:rPr>
          <w:rFonts w:ascii="Arial" w:cs="Arial" w:eastAsia="Arial" w:hAnsi="Arial"/>
          <w:sz w:val="21"/>
          <w:szCs w:val="21"/>
          <w:color w:val="auto"/>
        </w:rPr>
        <w:t>has served as our vice president of clinical assurance and regulatory affairs since 2018, and as our</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vice president of quality and regulatory affairs from 2011 to 2018. Prior to joining Sol-Gel, Dr. Levy-Hacham served as a scientific specialist and project manager at Biotechnology General Ltd., a wholly owned subsidiary of Ferring Pharmaceuticals Ltd., and a fully integrated biopharmaceutical services private company from 2010 until 2011. From 2005 until 2010, Dr. Levy-Hacham served as vice president chemistry, manufacturing and controls at HealOr Ltd., a private company engaging in the development of therapeutics for the treatment of various skin disorders. Dr. Levy-Hacham holds a Ph.D. in chemistry from The Technion – Israel Institute of Technology, Israel.</w:t>
      </w:r>
    </w:p>
    <w:p>
      <w:pPr>
        <w:spacing w:after="0" w:line="23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b w:val="1"/>
          <w:bCs w:val="1"/>
          <w:i w:val="1"/>
          <w:iCs w:val="1"/>
          <w:color w:val="auto"/>
        </w:rPr>
        <w:t xml:space="preserve">Dr. Karine Neimann </w:t>
      </w:r>
      <w:r>
        <w:rPr>
          <w:rFonts w:ascii="Arial" w:cs="Arial" w:eastAsia="Arial" w:hAnsi="Arial"/>
          <w:sz w:val="22"/>
          <w:szCs w:val="22"/>
          <w:color w:val="auto"/>
        </w:rPr>
        <w:t>has served as our vice president of projects and planning and chief chemist since September 2016.</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Since joining us in 2008, Dr. Neimann held various positions, including as chief chemist and laboratory manager. Dr. Neimann holds a Ph.D. in chemistry from The Hebrew University of Jerusalem, Israel.</w:t>
      </w:r>
    </w:p>
    <w:p>
      <w:pPr>
        <w:spacing w:after="0" w:line="23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b w:val="1"/>
          <w:bCs w:val="1"/>
          <w:i w:val="1"/>
          <w:iCs w:val="1"/>
          <w:color w:val="auto"/>
        </w:rPr>
        <w:t xml:space="preserve">Dr. Itzik Yosef </w:t>
      </w:r>
      <w:r>
        <w:rPr>
          <w:rFonts w:ascii="Arial" w:cs="Arial" w:eastAsia="Arial" w:hAnsi="Arial"/>
          <w:sz w:val="22"/>
          <w:szCs w:val="22"/>
          <w:color w:val="auto"/>
        </w:rPr>
        <w:t>has served as our vice president of operations since August 2016. Since joining us in 2010, Dr. Yosef held</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various positions including as head of operations. Dr. Yosef holds a Ph.D. in chemistry from The Hebrew University of Jerusalem, Israel.</w:t>
      </w:r>
    </w:p>
    <w:p>
      <w:pPr>
        <w:spacing w:after="0" w:line="239"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b w:val="1"/>
          <w:bCs w:val="1"/>
          <w:i w:val="1"/>
          <w:iCs w:val="1"/>
          <w:color w:val="auto"/>
        </w:rPr>
        <w:t xml:space="preserve">Dr. Dubi Zamir </w:t>
      </w:r>
      <w:r>
        <w:rPr>
          <w:rFonts w:ascii="Arial" w:cs="Arial" w:eastAsia="Arial" w:hAnsi="Arial"/>
          <w:sz w:val="22"/>
          <w:szCs w:val="22"/>
          <w:color w:val="auto"/>
        </w:rPr>
        <w:t>has served as our vice president special projects since August 2016. Prior to joining us, Dr. Zamir lead</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the R&amp;D group in Cima NanoTech Ltd., a private company developing sophisticated nanotechnology-based coating formulations from 2007 until 2016. From 2004 to 2007, Dr. Zamir was VP of Pharma and Analytical R&amp;D at Taro Pharmaceutical Industries in Haifa, and for three years prior to that he managed its Analytical R&amp;D lab. Dr. Zamir holds a Ph.D. in organic chemistry from Tel-Aviv University, Israel.</w:t>
      </w:r>
    </w:p>
    <w:p>
      <w:pPr>
        <w:spacing w:after="0" w:line="24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b w:val="1"/>
          <w:bCs w:val="1"/>
          <w:i w:val="1"/>
          <w:iCs w:val="1"/>
          <w:color w:val="auto"/>
        </w:rPr>
        <w:t xml:space="preserve">Mr. Nissim Bilman </w:t>
      </w:r>
      <w:r>
        <w:rPr>
          <w:rFonts w:ascii="Arial" w:cs="Arial" w:eastAsia="Arial" w:hAnsi="Arial"/>
          <w:sz w:val="22"/>
          <w:szCs w:val="22"/>
          <w:color w:val="auto"/>
        </w:rPr>
        <w:t>became Vice President Quality of Sol-Gel on the August 15, 2018. From 2004 until 2018, Mr. Bilman</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served as CEO of QPRO Pharma, a project management and consulting company offering services related to the pharmaceutical industry. From 2011 until 2018, he served as the Vice President Drug Development of Exalenz Bioscience. From 2007 until 2010, Mr. Bilman served as VP R&amp;D and Manufacturing and Site Manager for Gelesis Inc./Gelesis R&amp;D Ltd. Mr. Bilman holds a Bachelor Degree in Chemistry and Meteorology, as well as a Master of Science in Applied Chemistry, both from the Hebrew University in Israel.</w:t>
      </w:r>
    </w:p>
    <w:p>
      <w:pPr>
        <w:spacing w:after="0" w:line="24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b w:val="1"/>
          <w:bCs w:val="1"/>
          <w:i w:val="1"/>
          <w:iCs w:val="1"/>
          <w:color w:val="auto"/>
        </w:rPr>
        <w:t xml:space="preserve">Mr. John Vieira </w:t>
      </w:r>
      <w:r>
        <w:rPr>
          <w:rFonts w:ascii="Arial" w:cs="Arial" w:eastAsia="Arial" w:hAnsi="Arial"/>
          <w:sz w:val="22"/>
          <w:szCs w:val="22"/>
          <w:color w:val="auto"/>
        </w:rPr>
        <w:t>has served as our U.S. head of commercialization since January 2019. Prior to joining Sol-Gel, Mr.</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Vieira served in U.S. and Global Marketing roles at Leo Pharmaceuticals. Prior to Leo Pharmaceuticals, Mr. Vieira was Executive Director, Thrombosis, at Daiichi Sankyo, where he led the global launch of a major anti-coagulant, following various senior leadership roles in the U.S. commercial operations. Prior to Daiichi Sankyo, Mr. Vieira held leadership positions at several healthcare companies, including Organon Biopharmaceuticals and GlaxoSmithKline, successfully launching over six new global and U.S. products in diverse therapeutic areas. Mr. Vieira holds an M.B.A. degree from Rutgers University and a B.A. degree from York University in Toronto, Canada.</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71755</wp:posOffset>
            </wp:positionV>
            <wp:extent cx="71323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98" w:name="page99"/>
    <w:bookmarkEnd w:id="98"/>
    <w:p>
      <w:pPr>
        <w:jc w:val="both"/>
        <w:ind w:firstLine="648"/>
        <w:spacing w:after="0" w:line="259" w:lineRule="auto"/>
        <w:rPr>
          <w:sz w:val="20"/>
          <w:szCs w:val="20"/>
          <w:color w:val="auto"/>
        </w:rPr>
      </w:pPr>
      <w:r>
        <w:rPr>
          <w:rFonts w:ascii="Arial" w:cs="Arial" w:eastAsia="Arial" w:hAnsi="Arial"/>
          <w:sz w:val="22"/>
          <w:szCs w:val="22"/>
          <w:b w:val="1"/>
          <w:bCs w:val="1"/>
          <w:i w:val="1"/>
          <w:iCs w:val="1"/>
          <w:color w:val="auto"/>
        </w:rPr>
        <w:t xml:space="preserve">Mr. Itai Arkin </w:t>
      </w:r>
      <w:r>
        <w:rPr>
          <w:rFonts w:ascii="Arial" w:cs="Arial" w:eastAsia="Arial" w:hAnsi="Arial"/>
          <w:sz w:val="22"/>
          <w:szCs w:val="22"/>
          <w:color w:val="auto"/>
        </w:rPr>
        <w:t>became a member of our board of directors immediately following the pricing of our initial public offering.</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Mr. Itai Arkin currently serves as Investment Manager at Arkin Holdings Ltd. and on the boards of directors of Exalenz Bioscience Ltd. Mr. Itai Arkin is an investment committee member of both Accelmed, a leading Israeli MedTech investment firm since March 2014, and of Sphera Global Healthcare, a leading healthcare hedge fund. Mr. Itai Arkin holds a B.A. in business administration (cum laude) from Interdisciplinary Center, Herzliya, Israel, and an MBA (cum laude) from Tel Aviv University. Mr. Itai Arkin is the son of Mr. Moshe Arkin, the chairman of our board of directors and sole beneficial owner of Arkin Dermatology, our controlling shareholder.</w:t>
      </w:r>
    </w:p>
    <w:p>
      <w:pPr>
        <w:spacing w:after="0" w:line="249"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b w:val="1"/>
          <w:bCs w:val="1"/>
          <w:i w:val="1"/>
          <w:iCs w:val="1"/>
          <w:color w:val="auto"/>
        </w:rPr>
        <w:t xml:space="preserve">Dr. Shmuel (Muli) Ben Zvi </w:t>
      </w:r>
      <w:r>
        <w:rPr>
          <w:rFonts w:ascii="Arial" w:cs="Arial" w:eastAsia="Arial" w:hAnsi="Arial"/>
          <w:sz w:val="19"/>
          <w:szCs w:val="19"/>
          <w:color w:val="auto"/>
        </w:rPr>
        <w:t>became a member of our board of directors immediately following pricing of our initial</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public offering. Dr. Ben Zvi is currently a board member and member of the audit, risk management, technology and strategy committees at Bank Leumi, and a board member and member of the audit committee of VBL Therapeutics.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210"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b w:val="1"/>
          <w:bCs w:val="1"/>
          <w:i w:val="1"/>
          <w:iCs w:val="1"/>
          <w:color w:val="auto"/>
        </w:rPr>
        <w:t xml:space="preserve">Ms. Hani Lerman </w:t>
      </w:r>
      <w:r>
        <w:rPr>
          <w:rFonts w:ascii="Arial" w:cs="Arial" w:eastAsia="Arial" w:hAnsi="Arial"/>
          <w:sz w:val="21"/>
          <w:szCs w:val="21"/>
          <w:color w:val="auto"/>
        </w:rPr>
        <w:t>became a member of our board of directors immediately following pricing of our initial public</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offering. Ms. Lerman has served as chief financial officer at Arkin Holdings since 2015. From 2010 until 2014, Ms. Lerman served as chief financial officer of Sansa Security (f/k/a Discretix Technologies), and from 2006 until 2010, she served as chief financial officer of Storwize, which was acquired by IBM in 2010. She serves as a board member of Exalenz Bioscience and of Sphera Global Healthcare. She holds a Master's degree in business administration with a major in finance from Tel-Aviv University, Israel, and a B.A. in economics and accounting from Tel-Aviv University, Israel.</w:t>
      </w:r>
    </w:p>
    <w:p>
      <w:pPr>
        <w:spacing w:after="0" w:line="236"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b w:val="1"/>
          <w:bCs w:val="1"/>
          <w:i w:val="1"/>
          <w:iCs w:val="1"/>
          <w:color w:val="auto"/>
        </w:rPr>
        <w:t>Ms. Yaffa Krindel</w:t>
      </w:r>
      <w:r>
        <w:rPr>
          <w:rFonts w:ascii="Arial" w:cs="Arial" w:eastAsia="Arial" w:hAnsi="Arial"/>
          <w:sz w:val="19"/>
          <w:szCs w:val="19"/>
          <w:color w:val="auto"/>
        </w:rPr>
        <w:t>-</w:t>
      </w:r>
      <w:r>
        <w:rPr>
          <w:rFonts w:ascii="Arial" w:cs="Arial" w:eastAsia="Arial" w:hAnsi="Arial"/>
          <w:sz w:val="19"/>
          <w:szCs w:val="19"/>
          <w:b w:val="1"/>
          <w:bCs w:val="1"/>
          <w:i w:val="1"/>
          <w:iCs w:val="1"/>
          <w:color w:val="auto"/>
        </w:rPr>
        <w:t xml:space="preserve">Sieradzki </w:t>
      </w:r>
      <w:r>
        <w:rPr>
          <w:rFonts w:ascii="Arial" w:cs="Arial" w:eastAsia="Arial" w:hAnsi="Arial"/>
          <w:sz w:val="19"/>
          <w:szCs w:val="19"/>
          <w:color w:val="auto"/>
        </w:rPr>
        <w:t>became a member of our board of directors on February 23, 2018. Ms. Krindel-Sieradzki</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currently serves on the board of Itamar Medical Ltd., a medical device company publicly traded on the Tel Aviv Stock Exchange ("TASE"), BGN Technologies Ltd., the technology transfer company of Ben Gurion University, and three private medical device companies, as follows: EZbra Advanced Wound Care Ltd., Theranica Bio Electronics Ltd. and Trisol Medical Ltd. Ms. Krindel-Sieradzki has served on the board of directors of numerous companies publicly traded on Nasdaq. From 1997 until 2007, Ms. Krindel-Sieradzki served as Partner and Managing Partner of Star Ventures, a private venture capital fund headquartered in Munich, Germany. Before joining Star Ventures, Ms. Krindel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Krindel-Sieradzki has earned an M.B.A. from Tel Aviv University and a B.A. in Economics and Japanese Studies from the Hebrew University in Jerusalem.</w:t>
      </w:r>
    </w:p>
    <w:p>
      <w:pPr>
        <w:spacing w:after="0" w:line="21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b w:val="1"/>
          <w:bCs w:val="1"/>
          <w:i w:val="1"/>
          <w:iCs w:val="1"/>
          <w:color w:val="auto"/>
        </w:rPr>
        <w:t xml:space="preserve">Jonathan B. Siegel </w:t>
      </w:r>
      <w:r>
        <w:rPr>
          <w:rFonts w:ascii="Arial" w:cs="Arial" w:eastAsia="Arial" w:hAnsi="Arial"/>
          <w:sz w:val="21"/>
          <w:szCs w:val="21"/>
          <w:color w:val="auto"/>
        </w:rPr>
        <w:t>became a member of our board of directors on September 13, 2018. Mr. Siegel is the founder and</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CEO of JBS Healthcare Ventures since formation in 2017. Previously, he was a partner and healthcare sector head at Kingdon Capital Management from 2011 until 2017. Prior to joining Kingdon, Mr. Siegel was a healthcare portfolio manager at SAC Capital Advisors from 2005 until 2011; an associate director of pharmaceutical and specialty pharmaceutical research at Bear, Stearns &amp; Co.; a pharmaceuticals research associate at Dresdner Kleinwort Wasserstein; and a consultant to the Life Sciences Division of Computer Sciences Corporation. Mr. Siegel has worked as a research associate at the Novartis Center for Immunobiology at Harvard Medical School and as a research assistant at Tufts University School of Medicine. He is also a director at Jaguar Health, Inc., a Nasdaq listed company, and has served on the board of advisors of Vitalis LLC, a private pharmaceutical company, since March 2019. Mr. Siegel received a BS in Psychology from Tufts University in 1995 and an MBA from Columbia Business School on 1999.</w:t>
      </w:r>
    </w:p>
    <w:p>
      <w:pPr>
        <w:spacing w:after="0" w:line="243"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b w:val="1"/>
          <w:bCs w:val="1"/>
          <w:i w:val="1"/>
          <w:iCs w:val="1"/>
          <w:color w:val="auto"/>
        </w:rPr>
        <w:t xml:space="preserve">Mr. Ran Gottfried </w:t>
      </w:r>
      <w:r>
        <w:rPr>
          <w:rFonts w:ascii="Arial" w:cs="Arial" w:eastAsia="Arial" w:hAnsi="Arial"/>
          <w:sz w:val="21"/>
          <w:szCs w:val="21"/>
          <w:color w:val="auto"/>
        </w:rPr>
        <w:t>became a member of our board of directors immediately following the pricing of our initial public</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offering and serves as an external director under the Companies Law.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 He is currently a board member and member of the audit and investment committee at Shufersal Ltd.</w:t>
      </w:r>
    </w:p>
    <w:p>
      <w:pPr>
        <w:sectPr>
          <w:pgSz w:w="11900" w:h="16838" w:orient="portrait"/>
          <w:cols w:equalWidth="0" w:num="1">
            <w:col w:w="11240"/>
          </w:cols>
          <w:pgMar w:left="320" w:top="132" w:right="339" w:bottom="641" w:gutter="0" w:footer="0" w:header="0"/>
        </w:sectPr>
      </w:pP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641" w:gutter="0" w:footer="0" w:header="0"/>
          <w:type w:val="continuous"/>
        </w:sectPr>
      </w:pPr>
    </w:p>
    <w:bookmarkStart w:id="99" w:name="page100"/>
    <w:bookmarkEnd w:id="99"/>
    <w:p>
      <w:pPr>
        <w:jc w:val="both"/>
        <w:ind w:firstLine="648"/>
        <w:spacing w:after="0" w:line="272" w:lineRule="auto"/>
        <w:rPr>
          <w:sz w:val="20"/>
          <w:szCs w:val="20"/>
          <w:color w:val="auto"/>
        </w:rPr>
      </w:pPr>
      <w:r>
        <w:rPr>
          <w:rFonts w:ascii="Arial" w:cs="Arial" w:eastAsia="Arial" w:hAnsi="Arial"/>
          <w:sz w:val="21"/>
          <w:szCs w:val="21"/>
          <w:b w:val="1"/>
          <w:bCs w:val="1"/>
          <w:i w:val="1"/>
          <w:iCs w:val="1"/>
          <w:color w:val="auto"/>
        </w:rPr>
        <w:t xml:space="preserve">Mr. Jerrold S. Gattegno </w:t>
      </w:r>
      <w:r>
        <w:rPr>
          <w:rFonts w:ascii="Arial" w:cs="Arial" w:eastAsia="Arial" w:hAnsi="Arial"/>
          <w:sz w:val="21"/>
          <w:szCs w:val="21"/>
          <w:color w:val="auto"/>
        </w:rPr>
        <w:t>became a member of our board of directors immediately following the pricing of our initial</w:t>
      </w:r>
      <w:r>
        <w:rPr>
          <w:rFonts w:ascii="Arial" w:cs="Arial" w:eastAsia="Arial" w:hAnsi="Arial"/>
          <w:sz w:val="21"/>
          <w:szCs w:val="21"/>
          <w:b w:val="1"/>
          <w:bCs w:val="1"/>
          <w:i w:val="1"/>
          <w:iCs w:val="1"/>
          <w:color w:val="auto"/>
        </w:rPr>
        <w:t xml:space="preserve"> </w:t>
      </w:r>
      <w:r>
        <w:rPr>
          <w:rFonts w:ascii="Arial" w:cs="Arial" w:eastAsia="Arial" w:hAnsi="Arial"/>
          <w:sz w:val="21"/>
          <w:szCs w:val="21"/>
          <w:color w:val="auto"/>
        </w:rPr>
        <w:t>public offering and serves as an external director under the Companies Law. Mr. Gattegno worked in the New York, Washington D.C. and London offices of Deloitte Touche Tohmatsu Limited, a public accounting firm, from 1973 until 2015, where he served in various senior positions, including as the partner-in-charge and founding partner of Deloitte’s multistate tax practice and as a managing partner in Deloitte’s Washington National Tax Office, and as managing director and principal of Deloitte Tax Overseas Services LLC. Mr. Gattegno served as a governing board member of the Hispanic Association of Colleges and Universities and a member of its finance and audit committee, from 2012 until 2015. Mr. Gattegno is a certified public accountant and holds a B.S. in accounting (cum laude) from the City University of New York and an M.B.A. in taxation (with honors) from Pace University, New York.</w:t>
      </w:r>
    </w:p>
    <w:p>
      <w:pPr>
        <w:spacing w:after="0" w:line="231" w:lineRule="exact"/>
        <w:rPr>
          <w:sz w:val="20"/>
          <w:szCs w:val="20"/>
          <w:color w:val="auto"/>
        </w:rPr>
      </w:pPr>
    </w:p>
    <w:p>
      <w:pPr>
        <w:ind w:left="800" w:hanging="792"/>
        <w:spacing w:after="0"/>
        <w:tabs>
          <w:tab w:leader="none" w:pos="800" w:val="left"/>
        </w:tabs>
        <w:numPr>
          <w:ilvl w:val="0"/>
          <w:numId w:val="74"/>
        </w:numPr>
        <w:rPr>
          <w:rFonts w:ascii="Arial" w:cs="Arial" w:eastAsia="Arial" w:hAnsi="Arial"/>
          <w:sz w:val="22"/>
          <w:szCs w:val="22"/>
          <w:b w:val="1"/>
          <w:bCs w:val="1"/>
          <w:color w:val="auto"/>
        </w:rPr>
      </w:pPr>
      <w:r>
        <w:rPr>
          <w:rFonts w:ascii="Arial" w:cs="Arial" w:eastAsia="Arial" w:hAnsi="Arial"/>
          <w:sz w:val="22"/>
          <w:szCs w:val="22"/>
          <w:b w:val="1"/>
          <w:bCs w:val="1"/>
          <w:color w:val="auto"/>
        </w:rPr>
        <w:t>Compensation</w:t>
      </w:r>
    </w:p>
    <w:p>
      <w:pPr>
        <w:spacing w:after="0" w:line="293"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The aggregate compensation paid by us to our executive officers and directors for the year ended December 31, 2019 was approximately $5.0 million. This amount includes approximately $0.2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196"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table and summary below outline the compensation granted to our five highest compensated directors and officers during the year ended December 31, 2019. The compensation detailed in the table below refers to actual compensation granted or paid to the director or officer during the year 2019.</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Value of</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Base Salary or</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Value of</w:t>
            </w: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Equity Based</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5"/>
              </w:rPr>
              <w:t>Other</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6"/>
              </w:rPr>
              <w:t>Social</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6"/>
              </w:rPr>
              <w:t>Compensation</w:t>
            </w: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7"/>
              </w:rPr>
              <w:t>All Other</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Payment</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Benefits</w:t>
            </w: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5"/>
              </w:rPr>
              <w:t>Granted</w:t>
            </w:r>
          </w:p>
        </w:tc>
        <w:tc>
          <w:tcPr>
            <w:tcW w:w="13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Compensation</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4500" w:type="dxa"/>
            <w:vAlign w:val="bottom"/>
            <w:tcBorders>
              <w:bottom w:val="single" w:sz="8" w:color="auto"/>
            </w:tcBorders>
          </w:tcPr>
          <w:p>
            <w:pPr>
              <w:ind w:left="720"/>
              <w:spacing w:after="0"/>
              <w:rPr>
                <w:sz w:val="20"/>
                <w:szCs w:val="20"/>
                <w:color w:val="auto"/>
              </w:rPr>
            </w:pPr>
            <w:r>
              <w:rPr>
                <w:rFonts w:ascii="Arial" w:cs="Arial" w:eastAsia="Arial" w:hAnsi="Arial"/>
                <w:sz w:val="18"/>
                <w:szCs w:val="18"/>
                <w:b w:val="1"/>
                <w:bCs w:val="1"/>
                <w:color w:val="auto"/>
              </w:rPr>
              <w:t>Name and Position of director or officer</w:t>
            </w:r>
          </w:p>
        </w:tc>
        <w:tc>
          <w:tcPr>
            <w:tcW w:w="120" w:type="dxa"/>
            <w:vAlign w:val="bottom"/>
          </w:tcPr>
          <w:p>
            <w:pPr>
              <w:spacing w:after="0"/>
              <w:rPr>
                <w:sz w:val="20"/>
                <w:szCs w:val="20"/>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(1)</w:t>
            </w:r>
          </w:p>
        </w:tc>
        <w:tc>
          <w:tcPr>
            <w:tcW w:w="240" w:type="dxa"/>
            <w:vAlign w:val="bottom"/>
          </w:tcPr>
          <w:p>
            <w:pPr>
              <w:spacing w:after="0"/>
              <w:rPr>
                <w:sz w:val="20"/>
                <w:szCs w:val="20"/>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(2)</w:t>
            </w:r>
          </w:p>
        </w:tc>
        <w:tc>
          <w:tcPr>
            <w:tcW w:w="240" w:type="dxa"/>
            <w:vAlign w:val="bottom"/>
          </w:tcPr>
          <w:p>
            <w:pPr>
              <w:spacing w:after="0"/>
              <w:rPr>
                <w:sz w:val="20"/>
                <w:szCs w:val="20"/>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(3)</w:t>
            </w:r>
          </w:p>
        </w:tc>
        <w:tc>
          <w:tcPr>
            <w:tcW w:w="220" w:type="dxa"/>
            <w:vAlign w:val="bottom"/>
          </w:tcPr>
          <w:p>
            <w:pPr>
              <w:spacing w:after="0"/>
              <w:rPr>
                <w:sz w:val="20"/>
                <w:szCs w:val="20"/>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(4)</w:t>
            </w:r>
          </w:p>
        </w:tc>
        <w:tc>
          <w:tcPr>
            <w:tcW w:w="220" w:type="dxa"/>
            <w:vAlign w:val="bottom"/>
          </w:tcPr>
          <w:p>
            <w:pPr>
              <w:spacing w:after="0"/>
              <w:rPr>
                <w:sz w:val="20"/>
                <w:szCs w:val="20"/>
                <w:color w:val="auto"/>
              </w:rPr>
            </w:pPr>
          </w:p>
        </w:tc>
        <w:tc>
          <w:tcPr>
            <w:tcW w:w="11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20"/>
                <w:szCs w:val="20"/>
                <w:color w:val="auto"/>
              </w:rPr>
            </w:pPr>
          </w:p>
        </w:tc>
      </w:tr>
      <w:tr>
        <w:trPr>
          <w:trHeight w:val="216"/>
        </w:trPr>
        <w:tc>
          <w:tcPr>
            <w:tcW w:w="10020" w:type="dxa"/>
            <w:vAlign w:val="bottom"/>
            <w:gridSpan w:val="10"/>
          </w:tcPr>
          <w:p>
            <w:pPr>
              <w:ind w:left="1320"/>
              <w:spacing w:after="0"/>
              <w:rPr>
                <w:sz w:val="20"/>
                <w:szCs w:val="20"/>
                <w:color w:val="auto"/>
              </w:rPr>
            </w:pPr>
            <w:r>
              <w:rPr>
                <w:rFonts w:ascii="Arial" w:cs="Arial" w:eastAsia="Arial" w:hAnsi="Arial"/>
                <w:sz w:val="18"/>
                <w:szCs w:val="18"/>
                <w:b w:val="1"/>
                <w:bCs w:val="1"/>
                <w:color w:val="auto"/>
                <w:w w:val="91"/>
              </w:rPr>
              <w:t>(Amounts in U.S. dollars are based on 2019 monthly average representative U.S. dollar – NIS rate of exchange)</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Alon Seri-Levy / CEO</w:t>
            </w:r>
          </w:p>
        </w:tc>
        <w:tc>
          <w:tcPr>
            <w:tcW w:w="15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303</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59</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539</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384</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1,285</w:t>
            </w:r>
          </w:p>
        </w:tc>
      </w:tr>
      <w:tr>
        <w:trPr>
          <w:trHeight w:val="216"/>
        </w:trPr>
        <w:tc>
          <w:tcPr>
            <w:tcW w:w="4500" w:type="dxa"/>
            <w:vAlign w:val="bottom"/>
          </w:tcPr>
          <w:p>
            <w:pPr>
              <w:spacing w:after="0"/>
              <w:rPr>
                <w:sz w:val="20"/>
                <w:szCs w:val="20"/>
                <w:color w:val="auto"/>
              </w:rPr>
            </w:pPr>
            <w:r>
              <w:rPr>
                <w:rFonts w:ascii="Arial" w:cs="Arial" w:eastAsia="Arial" w:hAnsi="Arial"/>
                <w:sz w:val="18"/>
                <w:szCs w:val="18"/>
                <w:color w:val="auto"/>
              </w:rPr>
              <w:t>Gilad Mamlok / CFO</w:t>
            </w:r>
          </w:p>
        </w:tc>
        <w:tc>
          <w:tcPr>
            <w:tcW w:w="1500" w:type="dxa"/>
            <w:vAlign w:val="bottom"/>
            <w:gridSpan w:val="3"/>
          </w:tcPr>
          <w:p>
            <w:pPr>
              <w:jc w:val="right"/>
              <w:ind w:right="240"/>
              <w:spacing w:after="0"/>
              <w:rPr>
                <w:sz w:val="20"/>
                <w:szCs w:val="20"/>
                <w:color w:val="auto"/>
              </w:rPr>
            </w:pPr>
            <w:r>
              <w:rPr>
                <w:rFonts w:ascii="Arial" w:cs="Arial" w:eastAsia="Arial" w:hAnsi="Arial"/>
                <w:sz w:val="18"/>
                <w:szCs w:val="18"/>
                <w:color w:val="auto"/>
              </w:rPr>
              <w:t>222</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48</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334</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231</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835</w:t>
            </w:r>
          </w:p>
        </w:tc>
      </w:tr>
      <w:tr>
        <w:trPr>
          <w:trHeight w:val="216"/>
        </w:trPr>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Ofer Toledano / VP R&amp;D</w:t>
            </w:r>
          </w:p>
        </w:tc>
        <w:tc>
          <w:tcPr>
            <w:tcW w:w="15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192</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53</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178</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157</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580</w:t>
            </w:r>
          </w:p>
        </w:tc>
      </w:tr>
      <w:tr>
        <w:trPr>
          <w:trHeight w:val="216"/>
        </w:trPr>
        <w:tc>
          <w:tcPr>
            <w:tcW w:w="4500" w:type="dxa"/>
            <w:vAlign w:val="bottom"/>
          </w:tcPr>
          <w:p>
            <w:pPr>
              <w:spacing w:after="0"/>
              <w:rPr>
                <w:sz w:val="20"/>
                <w:szCs w:val="20"/>
                <w:color w:val="auto"/>
              </w:rPr>
            </w:pPr>
            <w:r>
              <w:rPr>
                <w:rFonts w:ascii="Arial" w:cs="Arial" w:eastAsia="Arial" w:hAnsi="Arial"/>
                <w:sz w:val="18"/>
                <w:szCs w:val="18"/>
                <w:color w:val="auto"/>
              </w:rPr>
              <w:t>John Vieira / U.S. Head of Commercialization</w:t>
            </w:r>
          </w:p>
        </w:tc>
        <w:tc>
          <w:tcPr>
            <w:tcW w:w="1500" w:type="dxa"/>
            <w:vAlign w:val="bottom"/>
            <w:gridSpan w:val="3"/>
          </w:tcPr>
          <w:p>
            <w:pPr>
              <w:jc w:val="right"/>
              <w:ind w:right="240"/>
              <w:spacing w:after="0"/>
              <w:rPr>
                <w:sz w:val="20"/>
                <w:szCs w:val="20"/>
                <w:color w:val="auto"/>
              </w:rPr>
            </w:pPr>
            <w:r>
              <w:rPr>
                <w:rFonts w:ascii="Arial" w:cs="Arial" w:eastAsia="Arial" w:hAnsi="Arial"/>
                <w:sz w:val="18"/>
                <w:szCs w:val="18"/>
                <w:color w:val="auto"/>
              </w:rPr>
              <w:t>227</w:t>
            </w: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47</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210</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68</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551</w:t>
            </w:r>
          </w:p>
        </w:tc>
      </w:tr>
      <w:tr>
        <w:trPr>
          <w:trHeight w:val="216"/>
        </w:trPr>
        <w:tc>
          <w:tcPr>
            <w:tcW w:w="4500" w:type="dxa"/>
            <w:vAlign w:val="bottom"/>
            <w:shd w:val="clear" w:color="auto" w:fill="CCEEFF"/>
          </w:tcPr>
          <w:p>
            <w:pPr>
              <w:spacing w:after="0"/>
              <w:rPr>
                <w:sz w:val="20"/>
                <w:szCs w:val="20"/>
                <w:color w:val="auto"/>
              </w:rPr>
            </w:pPr>
            <w:r>
              <w:rPr>
                <w:rFonts w:ascii="Arial" w:cs="Arial" w:eastAsia="Arial" w:hAnsi="Arial"/>
                <w:sz w:val="18"/>
                <w:szCs w:val="18"/>
                <w:color w:val="auto"/>
              </w:rPr>
              <w:t>Ofra Levy-Hacham / VP Clinical &amp; RA</w:t>
            </w:r>
          </w:p>
        </w:tc>
        <w:tc>
          <w:tcPr>
            <w:tcW w:w="150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141</w:t>
            </w: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42</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142</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91</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417</w:t>
            </w:r>
          </w:p>
        </w:tc>
      </w:tr>
    </w:tbl>
    <w:p>
      <w:pPr>
        <w:spacing w:after="0" w:line="256" w:lineRule="exact"/>
        <w:rPr>
          <w:sz w:val="20"/>
          <w:szCs w:val="20"/>
          <w:color w:val="auto"/>
        </w:rPr>
      </w:pPr>
    </w:p>
    <w:p>
      <w:pPr>
        <w:ind w:left="480" w:hanging="472"/>
        <w:spacing w:after="0" w:line="277" w:lineRule="auto"/>
        <w:tabs>
          <w:tab w:leader="none" w:pos="480" w:val="left"/>
        </w:tabs>
        <w:numPr>
          <w:ilvl w:val="0"/>
          <w:numId w:val="75"/>
        </w:numPr>
        <w:rPr>
          <w:rFonts w:ascii="Arial" w:cs="Arial" w:eastAsia="Arial" w:hAnsi="Arial"/>
          <w:sz w:val="18"/>
          <w:szCs w:val="18"/>
          <w:color w:val="auto"/>
        </w:rPr>
      </w:pPr>
      <w:r>
        <w:rPr>
          <w:rFonts w:ascii="Arial" w:cs="Arial" w:eastAsia="Arial" w:hAnsi="Arial"/>
          <w:sz w:val="18"/>
          <w:szCs w:val="18"/>
          <w:color w:val="auto"/>
        </w:rPr>
        <w:t>“Base Salary or Other Payment” means the aggregate yearly gross monthly salaries or other payments with respect to the Company's Executive Officers and members of the board of directors for the year 2019.</w:t>
      </w:r>
    </w:p>
    <w:p>
      <w:pPr>
        <w:spacing w:after="0" w:line="224" w:lineRule="exact"/>
        <w:rPr>
          <w:rFonts w:ascii="Arial" w:cs="Arial" w:eastAsia="Arial" w:hAnsi="Arial"/>
          <w:sz w:val="18"/>
          <w:szCs w:val="18"/>
          <w:color w:val="auto"/>
        </w:rPr>
      </w:pPr>
    </w:p>
    <w:p>
      <w:pPr>
        <w:ind w:left="480" w:hanging="472"/>
        <w:spacing w:after="0" w:line="277" w:lineRule="auto"/>
        <w:tabs>
          <w:tab w:leader="none" w:pos="480" w:val="left"/>
        </w:tabs>
        <w:numPr>
          <w:ilvl w:val="0"/>
          <w:numId w:val="75"/>
        </w:numPr>
        <w:rPr>
          <w:rFonts w:ascii="Arial" w:cs="Arial" w:eastAsia="Arial" w:hAnsi="Arial"/>
          <w:sz w:val="18"/>
          <w:szCs w:val="18"/>
          <w:color w:val="auto"/>
        </w:rPr>
      </w:pPr>
      <w:r>
        <w:rPr>
          <w:rFonts w:ascii="Arial" w:cs="Arial" w:eastAsia="Arial" w:hAnsi="Arial"/>
          <w:sz w:val="18"/>
          <w:szCs w:val="18"/>
          <w:color w:val="auto"/>
        </w:rPr>
        <w:t>“Social Benefits” include payments to the National Insurance Institute, advanced education funds, managers’ insurance and pension funds; vacation pay; and recuperation pay as mandated by Israeli law.</w:t>
      </w:r>
    </w:p>
    <w:p>
      <w:pPr>
        <w:spacing w:after="0" w:line="224" w:lineRule="exact"/>
        <w:rPr>
          <w:rFonts w:ascii="Arial" w:cs="Arial" w:eastAsia="Arial" w:hAnsi="Arial"/>
          <w:sz w:val="18"/>
          <w:szCs w:val="18"/>
          <w:color w:val="auto"/>
        </w:rPr>
      </w:pPr>
    </w:p>
    <w:p>
      <w:pPr>
        <w:jc w:val="both"/>
        <w:ind w:left="480" w:hanging="472"/>
        <w:spacing w:after="0" w:line="263" w:lineRule="auto"/>
        <w:tabs>
          <w:tab w:leader="none" w:pos="480" w:val="left"/>
        </w:tabs>
        <w:numPr>
          <w:ilvl w:val="0"/>
          <w:numId w:val="75"/>
        </w:numPr>
        <w:rPr>
          <w:rFonts w:ascii="Arial" w:cs="Arial" w:eastAsia="Arial" w:hAnsi="Arial"/>
          <w:sz w:val="18"/>
          <w:szCs w:val="18"/>
          <w:color w:val="auto"/>
        </w:rPr>
      </w:pPr>
      <w:r>
        <w:rPr>
          <w:rFonts w:ascii="Arial" w:cs="Arial" w:eastAsia="Arial" w:hAnsi="Arial"/>
          <w:sz w:val="18"/>
          <w:szCs w:val="18"/>
          <w:color w:val="auto"/>
        </w:rPr>
        <w:t>Consists of the fair value of the equity-based compensation granted during 2019 in exchange for the directors and officers services recognized as an expense in profit or loss and is carried to the accumulated deficit under equity. The total amount recognized as an expense over the vesting period of the options.</w:t>
      </w:r>
    </w:p>
    <w:p>
      <w:pPr>
        <w:spacing w:after="0" w:line="237" w:lineRule="exact"/>
        <w:rPr>
          <w:rFonts w:ascii="Arial" w:cs="Arial" w:eastAsia="Arial" w:hAnsi="Arial"/>
          <w:sz w:val="18"/>
          <w:szCs w:val="18"/>
          <w:color w:val="auto"/>
        </w:rPr>
      </w:pPr>
    </w:p>
    <w:p>
      <w:pPr>
        <w:ind w:left="500" w:hanging="492"/>
        <w:spacing w:after="0" w:line="277" w:lineRule="auto"/>
        <w:tabs>
          <w:tab w:leader="none" w:pos="5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“All Other Compensation” includes, among other things, car-related expenses, communication expenses, basic health insurance, holiday presents, and 2018 and 2019 special bonuses that officers received, both of which were paid in 2019.</w:t>
      </w:r>
    </w:p>
    <w:p>
      <w:pPr>
        <w:spacing w:after="0" w:line="231" w:lineRule="exact"/>
        <w:rPr>
          <w:sz w:val="20"/>
          <w:szCs w:val="20"/>
          <w:color w:val="auto"/>
        </w:rPr>
      </w:pPr>
    </w:p>
    <w:p>
      <w:pPr>
        <w:spacing w:after="0" w:line="276" w:lineRule="auto"/>
        <w:rPr>
          <w:sz w:val="20"/>
          <w:szCs w:val="20"/>
          <w:color w:val="auto"/>
        </w:rPr>
      </w:pPr>
      <w:r>
        <w:rPr>
          <w:rFonts w:ascii="Arial" w:cs="Arial" w:eastAsia="Arial" w:hAnsi="Arial"/>
          <w:sz w:val="22"/>
          <w:szCs w:val="22"/>
          <w:color w:val="auto"/>
        </w:rPr>
        <w:t>In addition, all of our directors and executive officers are covered under our directors’ and executive officers’ liability insurance policies and were granted letters of indemnification by us.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00" w:name="page101"/>
    <w:bookmarkEnd w:id="100"/>
    <w:p>
      <w:pPr>
        <w:spacing w:after="0"/>
        <w:rPr>
          <w:sz w:val="20"/>
          <w:szCs w:val="20"/>
          <w:color w:val="auto"/>
        </w:rPr>
      </w:pPr>
      <w:r>
        <w:rPr>
          <w:rFonts w:ascii="Arial" w:cs="Arial" w:eastAsia="Arial" w:hAnsi="Arial"/>
          <w:sz w:val="22"/>
          <w:szCs w:val="22"/>
          <w:b w:val="1"/>
          <w:bCs w:val="1"/>
          <w:color w:val="auto"/>
        </w:rPr>
        <w:t>Employment Agreements</w:t>
      </w:r>
    </w:p>
    <w:p>
      <w:pPr>
        <w:spacing w:after="0" w:line="29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“Item 3. Key Information – D. Risk Factors — Risks Related to Employee Matters — Under applicable employment laws, we may not be able to enforce covenants not to compete” for a further description of the enforceability of non-competition clauses.</w:t>
      </w:r>
    </w:p>
    <w:p>
      <w:pPr>
        <w:spacing w:after="0" w:line="23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For information on exemption and indemnification letters granted to our directors and officers, please see “ – C. Board Practices – Exculpation, Insurance and Indemnification of Directors and Officers”.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Director Compensation</w:t>
      </w:r>
    </w:p>
    <w:p>
      <w:pPr>
        <w:spacing w:after="0" w:line="293" w:lineRule="exact"/>
        <w:rPr>
          <w:sz w:val="20"/>
          <w:szCs w:val="20"/>
          <w:color w:val="auto"/>
        </w:rPr>
      </w:pPr>
    </w:p>
    <w:p>
      <w:pPr>
        <w:ind w:right="120" w:firstLine="648"/>
        <w:spacing w:after="0" w:line="279" w:lineRule="auto"/>
        <w:rPr>
          <w:sz w:val="20"/>
          <w:szCs w:val="20"/>
          <w:color w:val="auto"/>
        </w:rPr>
      </w:pPr>
      <w:r>
        <w:rPr>
          <w:rFonts w:ascii="Arial" w:cs="Arial" w:eastAsia="Arial" w:hAnsi="Arial"/>
          <w:sz w:val="21"/>
          <w:szCs w:val="21"/>
          <w:color w:val="auto"/>
        </w:rPr>
        <w:t>We currently pay our external directors and our other independent directors: (i) $35,000 annually in cash; (ii) $5,000 annually in cash for service on each of the Audit Committee and/or Compensation Committee (as the case may be) and (iii) $10,000 annually in cash for service as chairman of the Audit Committee and/or Compensation Committee (as the case may be), which includes amounts payable under clause (ii) (all cash amounts to be paid quarterly).</w:t>
      </w:r>
    </w:p>
    <w:p>
      <w:pPr>
        <w:spacing w:after="0" w:line="227" w:lineRule="exact"/>
        <w:rPr>
          <w:sz w:val="20"/>
          <w:szCs w:val="20"/>
          <w:color w:val="auto"/>
        </w:rPr>
      </w:pPr>
    </w:p>
    <w:p>
      <w:pPr>
        <w:ind w:right="160" w:firstLine="648"/>
        <w:spacing w:after="0" w:line="276" w:lineRule="auto"/>
        <w:rPr>
          <w:sz w:val="20"/>
          <w:szCs w:val="20"/>
          <w:color w:val="auto"/>
        </w:rPr>
      </w:pPr>
      <w:r>
        <w:rPr>
          <w:rFonts w:ascii="Arial" w:cs="Arial" w:eastAsia="Arial" w:hAnsi="Arial"/>
          <w:sz w:val="22"/>
          <w:szCs w:val="22"/>
          <w:color w:val="auto"/>
        </w:rPr>
        <w:t>There shall be no limit regarding the number and/or hours of meetings, and it includes all meetings of the Board and any Board’s committees.</w:t>
      </w:r>
    </w:p>
    <w:p>
      <w:pPr>
        <w:spacing w:after="0" w:line="228"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In addition, each of our external directors and our other independent directors has received 11,500 Restricted Share Units ("RSU's") for the first three years of their service as a director, with a three-year vesting, one-third of the RSU's to vest after each year (if they continue to serve as directors), and otherwise in accordance with the Company's 2014 Share Incentive Plan.</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do not pay compensation to the other directors of the Company in their capacity as directors.</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Compensation Policy</w:t>
      </w:r>
    </w:p>
    <w:p>
      <w:pPr>
        <w:spacing w:after="0" w:line="293"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Our compensation policy, which became effective immediately after the pricing of our initial public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01" w:name="page102"/>
    <w:bookmarkEnd w:id="101"/>
    <w:p>
      <w:pPr>
        <w:jc w:val="both"/>
        <w:ind w:firstLine="648"/>
        <w:spacing w:after="0" w:line="303" w:lineRule="auto"/>
        <w:rPr>
          <w:sz w:val="20"/>
          <w:szCs w:val="20"/>
          <w:color w:val="auto"/>
        </w:rPr>
      </w:pPr>
      <w:r>
        <w:rPr>
          <w:rFonts w:ascii="Arial" w:cs="Arial" w:eastAsia="Arial" w:hAnsi="Arial"/>
          <w:sz w:val="19"/>
          <w:szCs w:val="19"/>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equity-based compensation) may not exceed 85% of each executive officer’s total compensation package with respect to any given calendar year.</w:t>
      </w:r>
    </w:p>
    <w:p>
      <w:pPr>
        <w:spacing w:after="0" w:line="212"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23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24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24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244"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244"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Our compensation policy, which was approved by our board of directors and our controlling shareholder on October 2, 2017, became effective upon the pricing of our initial public offering.</w:t>
      </w:r>
    </w:p>
    <w:p>
      <w:pPr>
        <w:spacing w:after="0" w:line="222" w:lineRule="exact"/>
        <w:rPr>
          <w:sz w:val="20"/>
          <w:szCs w:val="20"/>
          <w:color w:val="auto"/>
        </w:rPr>
      </w:pPr>
    </w:p>
    <w:p>
      <w:pPr>
        <w:ind w:left="860" w:hanging="852"/>
        <w:spacing w:after="0"/>
        <w:tabs>
          <w:tab w:leader="none" w:pos="860" w:val="left"/>
        </w:tabs>
        <w:numPr>
          <w:ilvl w:val="0"/>
          <w:numId w:val="76"/>
        </w:numPr>
        <w:rPr>
          <w:rFonts w:ascii="Arial" w:cs="Arial" w:eastAsia="Arial" w:hAnsi="Arial"/>
          <w:sz w:val="22"/>
          <w:szCs w:val="22"/>
          <w:b w:val="1"/>
          <w:bCs w:val="1"/>
          <w:color w:val="auto"/>
        </w:rPr>
      </w:pPr>
      <w:r>
        <w:rPr>
          <w:rFonts w:ascii="Arial" w:cs="Arial" w:eastAsia="Arial" w:hAnsi="Arial"/>
          <w:sz w:val="22"/>
          <w:szCs w:val="22"/>
          <w:b w:val="1"/>
          <w:bCs w:val="1"/>
          <w:color w:val="auto"/>
        </w:rPr>
        <w:t>Board Practices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Appointment of Directors and Terms of Officers</w:t>
      </w:r>
    </w:p>
    <w:p>
      <w:pPr>
        <w:spacing w:after="0" w:line="293"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Our board of directors consists of eight directors, including two external directors, and appointment fulfills the requirements of the Companies Law for the company to have two external directors (see “ – External Directors”). These two directors, as well as one additional director, qualify as independent directors under the corporate governance standards of the Nasdaq corporate governance rules and the independence requirements of Rule 10A-3 of the Exchange Act.</w:t>
      </w:r>
    </w:p>
    <w:p>
      <w:pPr>
        <w:sectPr>
          <w:pgSz w:w="11900" w:h="16838" w:orient="portrait"/>
          <w:cols w:equalWidth="0" w:num="1">
            <w:col w:w="11240"/>
          </w:cols>
          <w:pgMar w:left="320" w:top="132" w:right="339" w:bottom="138" w:gutter="0" w:footer="0" w:header="0"/>
        </w:sectPr>
      </w:pPr>
    </w:p>
    <w:bookmarkStart w:id="102" w:name="page103"/>
    <w:bookmarkEnd w:id="102"/>
    <w:p>
      <w:pPr>
        <w:jc w:val="center"/>
        <w:spacing w:after="0"/>
        <w:rPr>
          <w:sz w:val="20"/>
          <w:szCs w:val="20"/>
          <w:color w:val="auto"/>
        </w:rPr>
      </w:pPr>
      <w:r>
        <w:rPr>
          <w:rFonts w:ascii="Arial" w:cs="Arial" w:eastAsia="Arial" w:hAnsi="Arial"/>
          <w:sz w:val="19"/>
          <w:szCs w:val="19"/>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64135</wp:posOffset>
            </wp:positionV>
            <wp:extent cx="71323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103" w:name="page104"/>
    <w:bookmarkEnd w:id="103"/>
    <w:p>
      <w:pPr>
        <w:jc w:val="both"/>
        <w:ind w:firstLine="648"/>
        <w:spacing w:after="0" w:line="262" w:lineRule="auto"/>
        <w:rPr>
          <w:sz w:val="20"/>
          <w:szCs w:val="20"/>
          <w:color w:val="auto"/>
        </w:rPr>
      </w:pPr>
      <w:r>
        <w:rPr>
          <w:rFonts w:ascii="Arial" w:cs="Arial" w:eastAsia="Arial" w:hAnsi="Arial"/>
          <w:sz w:val="22"/>
          <w:szCs w:val="22"/>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662⁄3% majority shareholder vote.</w:t>
      </w:r>
    </w:p>
    <w:p>
      <w:pPr>
        <w:spacing w:after="0" w:line="245"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2019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Our directors who are not external directors are divided among the three classes as follows:</w:t>
      </w:r>
    </w:p>
    <w:p>
      <w:pPr>
        <w:spacing w:after="0" w:line="281" w:lineRule="exact"/>
        <w:rPr>
          <w:sz w:val="20"/>
          <w:szCs w:val="20"/>
          <w:color w:val="auto"/>
        </w:rPr>
      </w:pPr>
    </w:p>
    <w:p>
      <w:pPr>
        <w:ind w:left="860" w:hanging="488"/>
        <w:spacing w:after="0" w:line="277" w:lineRule="auto"/>
        <w:tabs>
          <w:tab w:leader="none" w:pos="8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Class I directors consist of Ms. Yaffa Krindel-Sieradzki, Dr. Ben Zvi and Mr. Jonathan Siegel, who are all independent directors, and their term will expire at our annual general meeting of our shareholders to be held in 2022;</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Class II directors consist of Ms. Lerman and Dr. Seri-Levy, and their term will expire at our annual general meeting of our shareholders to be held in 2020; and</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Class III directors consist of Mr. Itai Arkin and Mr. Moshe Arkin, and their term will expire at our annual general meeting of our shareholders to be held in 2021.</w:t>
      </w:r>
    </w:p>
    <w:p>
      <w:pPr>
        <w:spacing w:after="0" w:line="23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Mr. Gattegno and Mr. Gottfried serve as our external directors and will each have a term of three years.</w:t>
      </w:r>
    </w:p>
    <w:p>
      <w:pPr>
        <w:spacing w:after="0" w:line="28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 External Directors— Election and Dismissal of External Directors” for a description of the procedure for the election of external directors.</w:t>
      </w:r>
    </w:p>
    <w:p>
      <w:pPr>
        <w:spacing w:after="0" w:line="204" w:lineRule="exact"/>
        <w:rPr>
          <w:sz w:val="20"/>
          <w:szCs w:val="20"/>
          <w:color w:val="auto"/>
        </w:rPr>
      </w:pPr>
    </w:p>
    <w:p>
      <w:pPr>
        <w:jc w:val="both"/>
        <w:ind w:right="20" w:firstLine="648"/>
        <w:spacing w:after="0" w:line="358" w:lineRule="auto"/>
        <w:rPr>
          <w:sz w:val="20"/>
          <w:szCs w:val="20"/>
          <w:color w:val="auto"/>
        </w:rPr>
      </w:pPr>
      <w:r>
        <w:rPr>
          <w:rFonts w:ascii="Arial" w:cs="Arial" w:eastAsia="Arial" w:hAnsi="Arial"/>
          <w:sz w:val="19"/>
          <w:szCs w:val="19"/>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158"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 understanding of business accounting matters and financial statements. See “— External Directors — Qualifications of External Directors.” He or she must be able to thoroughly 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20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There are no family relationships among any of our office holders (including directors), other than Mr. Itai Arkin who is the son of Mr. Moshe Arkin.</w:t>
      </w:r>
    </w:p>
    <w:p>
      <w:pPr>
        <w:sectPr>
          <w:pgSz w:w="11900" w:h="16838" w:orient="portrait"/>
          <w:cols w:equalWidth="0" w:num="1">
            <w:col w:w="11240"/>
          </w:cols>
          <w:pgMar w:left="320" w:top="132" w:right="339" w:bottom="1440" w:gutter="0" w:footer="0" w:header="0"/>
        </w:sect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04" w:name="page105"/>
    <w:bookmarkEnd w:id="104"/>
    <w:p>
      <w:pPr>
        <w:spacing w:after="0"/>
        <w:rPr>
          <w:sz w:val="20"/>
          <w:szCs w:val="20"/>
          <w:color w:val="auto"/>
        </w:rPr>
      </w:pPr>
      <w:r>
        <w:rPr>
          <w:rFonts w:ascii="Arial" w:cs="Arial" w:eastAsia="Arial" w:hAnsi="Arial"/>
          <w:sz w:val="22"/>
          <w:szCs w:val="22"/>
          <w:b w:val="1"/>
          <w:bCs w:val="1"/>
          <w:color w:val="auto"/>
        </w:rPr>
        <w:t>Alternate Directors</w:t>
      </w:r>
    </w:p>
    <w:p>
      <w:pPr>
        <w:spacing w:after="0" w:line="293"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External Directors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Qualifications of External Directors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w:t>
      </w:r>
    </w:p>
    <w:p>
      <w:pPr>
        <w:spacing w:after="0" w:line="239"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209"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 term “controlling shareholder” means a shareholder with the ability to direct the activities of the company, other than by virtue of being an office holder. A shareholder is presumed to have “control” of the company and thus to be a controlling shareholder of the company if the 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05" w:name="page106"/>
    <w:bookmarkEnd w:id="105"/>
    <w:p>
      <w:pPr>
        <w:ind w:left="380"/>
        <w:spacing w:after="0"/>
        <w:rPr>
          <w:sz w:val="20"/>
          <w:szCs w:val="20"/>
          <w:color w:val="auto"/>
        </w:rPr>
      </w:pPr>
      <w:r>
        <w:rPr>
          <w:rFonts w:ascii="Arial" w:cs="Arial" w:eastAsia="Arial" w:hAnsi="Arial"/>
          <w:sz w:val="22"/>
          <w:szCs w:val="22"/>
          <w:color w:val="auto"/>
        </w:rPr>
        <w:t>The term affiliation includes:</w:t>
      </w:r>
    </w:p>
    <w:p>
      <w:pPr>
        <w:spacing w:after="0" w:line="281" w:lineRule="exact"/>
        <w:rPr>
          <w:sz w:val="20"/>
          <w:szCs w:val="20"/>
          <w:color w:val="auto"/>
        </w:rPr>
      </w:pPr>
    </w:p>
    <w:p>
      <w:pPr>
        <w:ind w:left="860" w:hanging="488"/>
        <w:spacing w:after="0"/>
        <w:tabs>
          <w:tab w:leader="none" w:pos="8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an employment relationship;</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a business or professional relationship maintained on a regular basis;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control; and</w:t>
      </w:r>
    </w:p>
    <w:p>
      <w:pPr>
        <w:spacing w:after="0" w:line="279" w:lineRule="exact"/>
        <w:rPr>
          <w:rFonts w:ascii="Arial" w:cs="Arial" w:eastAsia="Arial" w:hAnsi="Arial"/>
          <w:sz w:val="18"/>
          <w:szCs w:val="18"/>
          <w:color w:val="auto"/>
        </w:rPr>
      </w:pPr>
    </w:p>
    <w:p>
      <w:pPr>
        <w:ind w:left="860" w:hanging="488"/>
        <w:spacing w:after="0" w:line="308" w:lineRule="auto"/>
        <w:tabs>
          <w:tab w:leader="none" w:pos="860" w:val="left"/>
        </w:tabs>
        <w:numPr>
          <w:ilvl w:val="0"/>
          <w:numId w:val="78"/>
        </w:numPr>
        <w:rPr>
          <w:rFonts w:ascii="Arial" w:cs="Arial" w:eastAsia="Arial" w:hAnsi="Arial"/>
          <w:sz w:val="17"/>
          <w:szCs w:val="17"/>
          <w:color w:val="auto"/>
        </w:rPr>
      </w:pPr>
      <w:r>
        <w:rPr>
          <w:rFonts w:ascii="Arial" w:cs="Arial" w:eastAsia="Arial" w:hAnsi="Arial"/>
          <w:sz w:val="17"/>
          <w:szCs w:val="17"/>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20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term “relative” is defined as a spouse, sibling, parent, grandparent, descendant, spouse’s descendant, sibling and parent and the spouse of each of the foregoing.</w:t>
      </w:r>
    </w:p>
    <w:p>
      <w:pPr>
        <w:spacing w:after="0" w:line="228"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23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204"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210"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 (1) 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 financial and accounting expertise is a director who by virtue of his or her education, professional 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212"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ectPr>
          <w:pgSz w:w="11900" w:h="16838" w:orient="portrait"/>
          <w:cols w:equalWidth="0" w:num="1">
            <w:col w:w="11240"/>
          </w:cols>
          <w:pgMar w:left="320" w:top="132" w:right="339" w:bottom="1440" w:gutter="0" w:footer="0" w:header="0"/>
        </w:sect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06" w:name="page107"/>
    <w:bookmarkEnd w:id="106"/>
    <w:p>
      <w:pPr>
        <w:jc w:val="both"/>
        <w:ind w:firstLine="648"/>
        <w:spacing w:after="0" w:line="305" w:lineRule="auto"/>
        <w:rPr>
          <w:sz w:val="20"/>
          <w:szCs w:val="20"/>
          <w:color w:val="auto"/>
        </w:rPr>
      </w:pPr>
      <w:r>
        <w:rPr>
          <w:rFonts w:ascii="Arial" w:cs="Arial" w:eastAsia="Arial" w:hAnsi="Arial"/>
          <w:sz w:val="19"/>
          <w:szCs w:val="19"/>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Election and Dismissal of External Directors</w:t>
      </w:r>
    </w:p>
    <w:p>
      <w:pPr>
        <w:spacing w:after="0" w:line="287" w:lineRule="exact"/>
        <w:rPr>
          <w:sz w:val="20"/>
          <w:szCs w:val="20"/>
          <w:color w:val="auto"/>
        </w:rPr>
      </w:pPr>
    </w:p>
    <w:p>
      <w:pPr>
        <w:jc w:val="center"/>
        <w:ind w:right="40"/>
        <w:spacing w:after="0"/>
        <w:rPr>
          <w:sz w:val="20"/>
          <w:szCs w:val="20"/>
          <w:color w:val="auto"/>
        </w:rPr>
      </w:pPr>
      <w:r>
        <w:rPr>
          <w:rFonts w:ascii="Arial" w:cs="Arial" w:eastAsia="Arial" w:hAnsi="Arial"/>
          <w:sz w:val="22"/>
          <w:szCs w:val="22"/>
          <w:color w:val="auto"/>
        </w:rPr>
        <w:t>Under Israeli law, external directors are elected by a majority vote at a shareholders’ meeting, provided that either:</w:t>
      </w:r>
    </w:p>
    <w:p>
      <w:pPr>
        <w:spacing w:after="0" w:line="281" w:lineRule="exact"/>
        <w:rPr>
          <w:sz w:val="20"/>
          <w:szCs w:val="20"/>
          <w:color w:val="auto"/>
        </w:rPr>
      </w:pPr>
    </w:p>
    <w:p>
      <w:pPr>
        <w:jc w:val="both"/>
        <w:ind w:left="860" w:hanging="488"/>
        <w:spacing w:after="0" w:line="286" w:lineRule="auto"/>
        <w:tabs>
          <w:tab w:leader="none" w:pos="860" w:val="left"/>
        </w:tabs>
        <w:numPr>
          <w:ilvl w:val="0"/>
          <w:numId w:val="79"/>
        </w:numPr>
        <w:rPr>
          <w:rFonts w:ascii="Arial" w:cs="Arial" w:eastAsia="Arial" w:hAnsi="Arial"/>
          <w:sz w:val="17"/>
          <w:szCs w:val="17"/>
          <w:color w:val="auto"/>
        </w:rPr>
      </w:pPr>
      <w:r>
        <w:rPr>
          <w:rFonts w:ascii="Arial" w:cs="Arial" w:eastAsia="Arial" w:hAnsi="Arial"/>
          <w:sz w:val="17"/>
          <w:szCs w:val="17"/>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219" w:lineRule="exact"/>
        <w:rPr>
          <w:rFonts w:ascii="Arial" w:cs="Arial" w:eastAsia="Arial" w:hAnsi="Arial"/>
          <w:sz w:val="17"/>
          <w:szCs w:val="17"/>
          <w:color w:val="auto"/>
        </w:rPr>
      </w:pPr>
    </w:p>
    <w:p>
      <w:pPr>
        <w:ind w:left="860" w:hanging="488"/>
        <w:spacing w:after="0" w:line="277" w:lineRule="auto"/>
        <w:tabs>
          <w:tab w:leader="none" w:pos="860"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231"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239" w:lineRule="exact"/>
        <w:rPr>
          <w:sz w:val="20"/>
          <w:szCs w:val="20"/>
          <w:color w:val="auto"/>
        </w:rPr>
      </w:pPr>
    </w:p>
    <w:p>
      <w:pPr>
        <w:jc w:val="both"/>
        <w:ind w:left="860" w:hanging="488"/>
        <w:spacing w:after="0" w:line="279" w:lineRule="auto"/>
        <w:tabs>
          <w:tab w:leader="none" w:pos="860" w:val="left"/>
        </w:tabs>
        <w:numPr>
          <w:ilvl w:val="0"/>
          <w:numId w:val="80"/>
        </w:numPr>
        <w:rPr>
          <w:rFonts w:ascii="Arial" w:cs="Arial" w:eastAsia="Arial" w:hAnsi="Arial"/>
          <w:sz w:val="17"/>
          <w:szCs w:val="17"/>
          <w:color w:val="auto"/>
        </w:rPr>
      </w:pPr>
      <w:r>
        <w:rPr>
          <w:rFonts w:ascii="Arial" w:cs="Arial" w:eastAsia="Arial" w:hAnsi="Arial"/>
          <w:sz w:val="17"/>
          <w:szCs w:val="17"/>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225" w:lineRule="exact"/>
        <w:rPr>
          <w:rFonts w:ascii="Arial" w:cs="Arial" w:eastAsia="Arial" w:hAnsi="Arial"/>
          <w:sz w:val="17"/>
          <w:szCs w:val="17"/>
          <w:color w:val="auto"/>
        </w:rPr>
      </w:pPr>
    </w:p>
    <w:p>
      <w:pPr>
        <w:ind w:left="860" w:hanging="488"/>
        <w:spacing w:after="0" w:line="277" w:lineRule="auto"/>
        <w:tabs>
          <w:tab w:leader="none" w:pos="860"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external director proposed his or her own nomination, and such nomination was approved in accordance with the requirements described in the paragraph above; or</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80"/>
        </w:numPr>
        <w:rPr>
          <w:rFonts w:ascii="Arial" w:cs="Arial" w:eastAsia="Arial" w:hAnsi="Arial"/>
          <w:sz w:val="18"/>
          <w:szCs w:val="18"/>
          <w:color w:val="auto"/>
        </w:rPr>
      </w:pPr>
      <w:r>
        <w:rPr>
          <w:rFonts w:ascii="Arial" w:cs="Arial" w:eastAsia="Arial" w:hAnsi="Arial"/>
          <w:sz w:val="18"/>
          <w:szCs w:val="18"/>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23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07" w:name="page108"/>
    <w:bookmarkEnd w:id="107"/>
    <w:p>
      <w:pPr>
        <w:jc w:val="both"/>
        <w:ind w:firstLine="648"/>
        <w:spacing w:after="0" w:line="327" w:lineRule="auto"/>
        <w:rPr>
          <w:sz w:val="20"/>
          <w:szCs w:val="20"/>
          <w:color w:val="auto"/>
        </w:rPr>
      </w:pPr>
      <w:r>
        <w:rPr>
          <w:rFonts w:ascii="Arial" w:cs="Arial" w:eastAsia="Arial" w:hAnsi="Arial"/>
          <w:sz w:val="19"/>
          <w:szCs w:val="19"/>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Additional Provisions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23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Audit Committee</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Companies Law Requirements</w:t>
      </w:r>
    </w:p>
    <w:p>
      <w:pPr>
        <w:spacing w:after="0" w:line="28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198" w:lineRule="exact"/>
        <w:rPr>
          <w:sz w:val="20"/>
          <w:szCs w:val="20"/>
          <w:color w:val="auto"/>
        </w:rPr>
      </w:pPr>
    </w:p>
    <w:p>
      <w:pPr>
        <w:ind w:left="860" w:hanging="488"/>
        <w:spacing w:after="0"/>
        <w:tabs>
          <w:tab w:leader="none" w:pos="86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chairman of the board of directors;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1"/>
        </w:numPr>
        <w:rPr>
          <w:rFonts w:ascii="Arial" w:cs="Arial" w:eastAsia="Arial" w:hAnsi="Arial"/>
          <w:sz w:val="18"/>
          <w:szCs w:val="18"/>
          <w:color w:val="auto"/>
        </w:rPr>
      </w:pPr>
      <w:r>
        <w:rPr>
          <w:rFonts w:ascii="Arial" w:cs="Arial" w:eastAsia="Arial" w:hAnsi="Arial"/>
          <w:sz w:val="18"/>
          <w:szCs w:val="18"/>
          <w:color w:val="auto"/>
        </w:rPr>
        <w:t>a controlling shareholder or a relative of a controlling shareholder;</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81"/>
        </w:numPr>
        <w:rPr>
          <w:rFonts w:ascii="Arial" w:cs="Arial" w:eastAsia="Arial" w:hAnsi="Arial"/>
          <w:sz w:val="18"/>
          <w:szCs w:val="18"/>
          <w:color w:val="auto"/>
        </w:rPr>
      </w:pPr>
      <w:r>
        <w:rPr>
          <w:rFonts w:ascii="Arial" w:cs="Arial" w:eastAsia="Arial" w:hAnsi="Arial"/>
          <w:sz w:val="18"/>
          <w:szCs w:val="18"/>
          <w:color w:val="auto"/>
        </w:rPr>
        <w:t>any director employed by us or by one of our controlling shareholders or by an entity controlled by our controlling shareholders (other than as a member of the board of directors); or</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81"/>
        </w:numPr>
        <w:rPr>
          <w:rFonts w:ascii="Arial" w:cs="Arial" w:eastAsia="Arial" w:hAnsi="Arial"/>
          <w:sz w:val="18"/>
          <w:szCs w:val="18"/>
          <w:color w:val="auto"/>
        </w:rPr>
      </w:pPr>
      <w:r>
        <w:rPr>
          <w:rFonts w:ascii="Arial" w:cs="Arial" w:eastAsia="Arial" w:hAnsi="Arial"/>
          <w:sz w:val="18"/>
          <w:szCs w:val="18"/>
          <w:color w:val="auto"/>
        </w:rPr>
        <w:t>any director who regularly provides services to us, to one of our controlling shareholders or to an entity controlled by our controlling shareholders.</w:t>
      </w:r>
    </w:p>
    <w:p>
      <w:pPr>
        <w:spacing w:after="0" w:line="23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246"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Nasdaq Listing Requirements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08" w:name="page109"/>
    <w:bookmarkEnd w:id="108"/>
    <w:p>
      <w:pPr>
        <w:jc w:val="both"/>
        <w:ind w:firstLine="646"/>
        <w:spacing w:after="0" w:line="276" w:lineRule="auto"/>
        <w:rPr>
          <w:sz w:val="20"/>
          <w:szCs w:val="20"/>
          <w:color w:val="auto"/>
        </w:rPr>
      </w:pPr>
      <w:r>
        <w:rPr>
          <w:rFonts w:ascii="Arial" w:cs="Arial" w:eastAsia="Arial" w:hAnsi="Arial"/>
          <w:sz w:val="21"/>
          <w:szCs w:val="21"/>
          <w:color w:val="auto"/>
        </w:rPr>
        <w:t>Our audit committee consists of Ran Gottfried, Jerrold S. Gattegno, Shmuel Ben Zvi and Yaffa Krindel-Sieradzki. Jerrold S. Gattegno serves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23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Each of the members of the audit committee is “independent” as such term is defined in Rule 10A-3(b)(1) under the Exchange Act.</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Approval of Transactions with Related Parties</w:t>
      </w:r>
    </w:p>
    <w:p>
      <w:pPr>
        <w:spacing w:after="0" w:line="28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The approval of the audit committee is required to effect specified actions and transactions with office holders and controlling shareholders and their relatives, or in which they have a personal interest. See “— Duties of Directors and Officers and Approval of Specified Related Party Transactions under the Israeli Companies Law – Fiduciary Duties of Office Holders.” The audit committee may not approve an action or a transaction with a controlling shareholder or with an office holder unless at the time of approval the audit committee meets the composition requirements under the Companies Law.</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Audit Committee Role</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board of directors has adopted an audit committee charter effective immediately after the pricing of our initial public offering setting forth the responsibilities of the audit committee consistent with the rules of the SEC and the Nasdaq corporate governance rules, which include:</w:t>
      </w:r>
    </w:p>
    <w:p>
      <w:pPr>
        <w:spacing w:after="0" w:line="233" w:lineRule="exact"/>
        <w:rPr>
          <w:sz w:val="20"/>
          <w:szCs w:val="20"/>
          <w:color w:val="auto"/>
        </w:rPr>
      </w:pPr>
    </w:p>
    <w:p>
      <w:pPr>
        <w:ind w:left="860" w:hanging="488"/>
        <w:spacing w:after="0"/>
        <w:tabs>
          <w:tab w:leader="none" w:pos="8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retaining and terminating our independent auditors, subject to board of directors and shareholder ratification;</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overseeing the independence, compensation and performance of the Company’s independent auditors;</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appointment, compensation, retention and oversight of any accounting firm engaged for the purpose of preparing or issuing an audit report or performing other audit services;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pre-approval of audit and non-audit services to be provided by the independent auditors;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reviewing with management and our independent directors our financial statements prior to their submission to the SEC;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2"/>
        </w:numPr>
        <w:rPr>
          <w:rFonts w:ascii="Arial" w:cs="Arial" w:eastAsia="Arial" w:hAnsi="Arial"/>
          <w:sz w:val="17"/>
          <w:szCs w:val="17"/>
          <w:color w:val="auto"/>
        </w:rPr>
      </w:pPr>
      <w:r>
        <w:rPr>
          <w:rFonts w:ascii="Arial" w:cs="Arial" w:eastAsia="Arial" w:hAnsi="Arial"/>
          <w:sz w:val="17"/>
          <w:szCs w:val="17"/>
          <w:color w:val="auto"/>
        </w:rPr>
        <w:t>approval of certain transactions with office holders and controlling shareholders, as described below, and other related party transactions.</w:t>
      </w:r>
    </w:p>
    <w:p>
      <w:pPr>
        <w:spacing w:after="0" w:line="29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 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09" w:name="page110"/>
    <w:bookmarkEnd w:id="109"/>
    <w:p>
      <w:pPr>
        <w:spacing w:after="0"/>
        <w:rPr>
          <w:sz w:val="20"/>
          <w:szCs w:val="20"/>
          <w:color w:val="auto"/>
        </w:rPr>
      </w:pPr>
      <w:r>
        <w:rPr>
          <w:rFonts w:ascii="Arial" w:cs="Arial" w:eastAsia="Arial" w:hAnsi="Arial"/>
          <w:sz w:val="22"/>
          <w:szCs w:val="22"/>
          <w:b w:val="1"/>
          <w:bCs w:val="1"/>
          <w:color w:val="auto"/>
        </w:rPr>
        <w:t>Compensation Committee</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Under the Companies Law, public companies are required to appoint a compensation committee in accordance with the guidelines set forth thereunder.</w:t>
      </w:r>
    </w:p>
    <w:p>
      <w:pPr>
        <w:spacing w:after="0" w:line="228"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24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The compensation committee, which consists of Ran Gottfried, Jerrold S. Gattegno and Shmuel Ben Zvi, assists the board of directors in determining compensation for our directors and officers. Ran Gottfried serves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 accordance with the Companies Law, the roles of the compensation committee are, among others, as follows:</w:t>
      </w:r>
    </w:p>
    <w:p>
      <w:pPr>
        <w:spacing w:after="0" w:line="292" w:lineRule="exact"/>
        <w:rPr>
          <w:sz w:val="20"/>
          <w:szCs w:val="20"/>
          <w:color w:val="auto"/>
        </w:rPr>
      </w:pPr>
    </w:p>
    <w:p>
      <w:pPr>
        <w:ind w:left="860" w:hanging="488"/>
        <w:spacing w:after="0" w:line="342" w:lineRule="auto"/>
        <w:tabs>
          <w:tab w:leader="none" w:pos="860" w:val="left"/>
        </w:tabs>
        <w:numPr>
          <w:ilvl w:val="0"/>
          <w:numId w:val="83"/>
        </w:numPr>
        <w:rPr>
          <w:rFonts w:ascii="Arial" w:cs="Arial" w:eastAsia="Arial" w:hAnsi="Arial"/>
          <w:sz w:val="16"/>
          <w:szCs w:val="16"/>
          <w:color w:val="auto"/>
        </w:rPr>
      </w:pPr>
      <w:r>
        <w:rPr>
          <w:rFonts w:ascii="Arial" w:cs="Arial" w:eastAsia="Arial" w:hAnsi="Arial"/>
          <w:sz w:val="16"/>
          <w:szCs w:val="16"/>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177" w:lineRule="exact"/>
        <w:rPr>
          <w:rFonts w:ascii="Arial" w:cs="Arial" w:eastAsia="Arial" w:hAnsi="Arial"/>
          <w:sz w:val="16"/>
          <w:szCs w:val="16"/>
          <w:color w:val="auto"/>
        </w:rPr>
      </w:pPr>
    </w:p>
    <w:p>
      <w:pPr>
        <w:ind w:left="860" w:hanging="488"/>
        <w:spacing w:after="0"/>
        <w:tabs>
          <w:tab w:leader="none" w:pos="86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to recommend to the board of directors updates to the compensation policy, from time to time, and examine its implementation;</w:t>
      </w:r>
    </w:p>
    <w:p>
      <w:pPr>
        <w:spacing w:after="0" w:line="279"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to decide whether to approve the terms of office and employment of directors and officers that require approval of the compensation committee; and</w:t>
      </w:r>
    </w:p>
    <w:p>
      <w:pPr>
        <w:spacing w:after="0" w:line="224" w:lineRule="exact"/>
        <w:rPr>
          <w:rFonts w:ascii="Arial" w:cs="Arial" w:eastAsia="Arial" w:hAnsi="Arial"/>
          <w:sz w:val="18"/>
          <w:szCs w:val="18"/>
          <w:color w:val="auto"/>
        </w:rPr>
      </w:pPr>
    </w:p>
    <w:p>
      <w:pPr>
        <w:ind w:left="860" w:hanging="488"/>
        <w:spacing w:after="0" w:line="308" w:lineRule="auto"/>
        <w:tabs>
          <w:tab w:leader="none" w:pos="860" w:val="left"/>
        </w:tabs>
        <w:numPr>
          <w:ilvl w:val="0"/>
          <w:numId w:val="83"/>
        </w:numPr>
        <w:rPr>
          <w:rFonts w:ascii="Arial" w:cs="Arial" w:eastAsia="Arial" w:hAnsi="Arial"/>
          <w:sz w:val="17"/>
          <w:szCs w:val="17"/>
          <w:color w:val="auto"/>
        </w:rPr>
      </w:pPr>
      <w:r>
        <w:rPr>
          <w:rFonts w:ascii="Arial" w:cs="Arial" w:eastAsia="Arial" w:hAnsi="Arial"/>
          <w:sz w:val="17"/>
          <w:szCs w:val="17"/>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207"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In addition to the roles mentioned above our compensation committee also makes recommendations to our board of directors regarding the awarding of employee equity grants.</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 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21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If a company initially offer its securities to the public, like we recently did,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ectPr>
          <w:pgSz w:w="11900" w:h="16838" w:orient="portrait"/>
          <w:cols w:equalWidth="0" w:num="1">
            <w:col w:w="11240"/>
          </w:cols>
          <w:pgMar w:left="320" w:top="126" w:right="339" w:bottom="1440" w:gutter="0" w:footer="0" w:header="0"/>
        </w:sect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110" w:name="page111"/>
    <w:bookmarkEnd w:id="110"/>
    <w:p>
      <w:pPr>
        <w:jc w:val="both"/>
        <w:ind w:right="20" w:firstLine="648"/>
        <w:spacing w:after="0" w:line="276" w:lineRule="auto"/>
        <w:rPr>
          <w:sz w:val="20"/>
          <w:szCs w:val="20"/>
          <w:color w:val="auto"/>
        </w:rPr>
      </w:pPr>
      <w:r>
        <w:rPr>
          <w:rFonts w:ascii="Arial" w:cs="Arial" w:eastAsia="Arial" w:hAnsi="Arial"/>
          <w:sz w:val="22"/>
          <w:szCs w:val="22"/>
          <w:color w:val="auto"/>
        </w:rPr>
        <w:t>The compensation policy must be based on certain considerations, include certain provisions and needs to reference certain matters as set forth in the Companies Law.</w:t>
      </w:r>
    </w:p>
    <w:p>
      <w:pPr>
        <w:spacing w:after="0" w:line="228"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229" w:lineRule="exact"/>
        <w:rPr>
          <w:sz w:val="20"/>
          <w:szCs w:val="20"/>
          <w:color w:val="auto"/>
        </w:rPr>
      </w:pPr>
    </w:p>
    <w:p>
      <w:pPr>
        <w:ind w:left="860" w:hanging="488"/>
        <w:spacing w:after="0"/>
        <w:tabs>
          <w:tab w:leader="none" w:pos="86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education, skills, experience, expertise and accomplishments of the relevant office holder;</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office holder’s position, responsibilities and prior compensation agreements with him or her;</w:t>
      </w:r>
    </w:p>
    <w:p>
      <w:pPr>
        <w:spacing w:after="0" w:line="279" w:lineRule="exact"/>
        <w:rPr>
          <w:rFonts w:ascii="Arial" w:cs="Arial" w:eastAsia="Arial" w:hAnsi="Arial"/>
          <w:sz w:val="18"/>
          <w:szCs w:val="18"/>
          <w:color w:val="auto"/>
        </w:rPr>
      </w:pPr>
    </w:p>
    <w:p>
      <w:pPr>
        <w:jc w:val="both"/>
        <w:ind w:left="860" w:hanging="488"/>
        <w:spacing w:after="0" w:line="311" w:lineRule="auto"/>
        <w:tabs>
          <w:tab w:leader="none" w:pos="860" w:val="left"/>
        </w:tabs>
        <w:numPr>
          <w:ilvl w:val="0"/>
          <w:numId w:val="84"/>
        </w:numPr>
        <w:rPr>
          <w:rFonts w:ascii="Arial" w:cs="Arial" w:eastAsia="Arial" w:hAnsi="Arial"/>
          <w:sz w:val="16"/>
          <w:szCs w:val="16"/>
          <w:color w:val="auto"/>
        </w:rPr>
      </w:pPr>
      <w:r>
        <w:rPr>
          <w:rFonts w:ascii="Arial" w:cs="Arial" w:eastAsia="Arial" w:hAnsi="Arial"/>
          <w:sz w:val="16"/>
          <w:szCs w:val="16"/>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202" w:lineRule="exact"/>
        <w:rPr>
          <w:rFonts w:ascii="Arial" w:cs="Arial" w:eastAsia="Arial" w:hAnsi="Arial"/>
          <w:sz w:val="16"/>
          <w:szCs w:val="16"/>
          <w:color w:val="auto"/>
        </w:rPr>
      </w:pPr>
    </w:p>
    <w:p>
      <w:pPr>
        <w:ind w:left="860" w:hanging="488"/>
        <w:spacing w:after="0" w:line="277" w:lineRule="auto"/>
        <w:tabs>
          <w:tab w:leader="none" w:pos="860" w:val="left"/>
        </w:tabs>
        <w:numPr>
          <w:ilvl w:val="0"/>
          <w:numId w:val="84"/>
        </w:numPr>
        <w:rPr>
          <w:rFonts w:ascii="Arial" w:cs="Arial" w:eastAsia="Arial" w:hAnsi="Arial"/>
          <w:sz w:val="18"/>
          <w:szCs w:val="18"/>
          <w:color w:val="auto"/>
        </w:rPr>
      </w:pPr>
      <w:r>
        <w:rPr>
          <w:rFonts w:ascii="Arial" w:cs="Arial" w:eastAsia="Arial" w:hAnsi="Arial"/>
          <w:sz w:val="18"/>
          <w:szCs w:val="18"/>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224" w:lineRule="exact"/>
        <w:rPr>
          <w:rFonts w:ascii="Arial" w:cs="Arial" w:eastAsia="Arial" w:hAnsi="Arial"/>
          <w:sz w:val="18"/>
          <w:szCs w:val="18"/>
          <w:color w:val="auto"/>
        </w:rPr>
      </w:pPr>
    </w:p>
    <w:p>
      <w:pPr>
        <w:jc w:val="both"/>
        <w:ind w:left="860" w:hanging="488"/>
        <w:spacing w:after="0" w:line="311" w:lineRule="auto"/>
        <w:tabs>
          <w:tab w:leader="none" w:pos="860" w:val="left"/>
        </w:tabs>
        <w:numPr>
          <w:ilvl w:val="0"/>
          <w:numId w:val="84"/>
        </w:numPr>
        <w:rPr>
          <w:rFonts w:ascii="Arial" w:cs="Arial" w:eastAsia="Arial" w:hAnsi="Arial"/>
          <w:sz w:val="16"/>
          <w:szCs w:val="16"/>
          <w:color w:val="auto"/>
        </w:rPr>
      </w:pPr>
      <w:r>
        <w:rPr>
          <w:rFonts w:ascii="Arial" w:cs="Arial" w:eastAsia="Arial" w:hAnsi="Arial"/>
          <w:sz w:val="16"/>
          <w:szCs w:val="16"/>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color w:val="auto"/>
        </w:rPr>
        <w:t>The compensation policy must also include, among others:</w:t>
      </w:r>
    </w:p>
    <w:p>
      <w:pPr>
        <w:spacing w:after="0" w:line="281" w:lineRule="exact"/>
        <w:rPr>
          <w:sz w:val="20"/>
          <w:szCs w:val="20"/>
          <w:color w:val="auto"/>
        </w:rPr>
      </w:pPr>
    </w:p>
    <w:p>
      <w:pPr>
        <w:ind w:left="860" w:hanging="488"/>
        <w:spacing w:after="0"/>
        <w:tabs>
          <w:tab w:leader="none" w:pos="8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with regards to variable components:</w:t>
      </w:r>
    </w:p>
    <w:p>
      <w:pPr>
        <w:spacing w:after="0" w:line="279" w:lineRule="exact"/>
        <w:rPr>
          <w:rFonts w:ascii="Arial" w:cs="Arial" w:eastAsia="Arial" w:hAnsi="Arial"/>
          <w:sz w:val="18"/>
          <w:szCs w:val="18"/>
          <w:color w:val="auto"/>
        </w:rPr>
      </w:pPr>
    </w:p>
    <w:p>
      <w:pPr>
        <w:ind w:left="860" w:hanging="450"/>
        <w:spacing w:after="0" w:line="279" w:lineRule="auto"/>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with the exception of office holders who report directly to the chief executive officer, determining the variable components on long-term performance basis and on 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225" w:lineRule="exact"/>
        <w:rPr>
          <w:rFonts w:ascii="Arial" w:cs="Arial" w:eastAsia="Arial" w:hAnsi="Arial"/>
          <w:sz w:val="18"/>
          <w:szCs w:val="18"/>
          <w:color w:val="auto"/>
        </w:rPr>
      </w:pPr>
    </w:p>
    <w:p>
      <w:pPr>
        <w:ind w:left="400"/>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the ratio between variable and fixed components, as well as the limit of the values of variable components at the time of their grant.</w:t>
      </w:r>
    </w:p>
    <w:p>
      <w:pPr>
        <w:spacing w:after="0" w:line="279" w:lineRule="exact"/>
        <w:rPr>
          <w:rFonts w:ascii="Arial" w:cs="Arial" w:eastAsia="Arial" w:hAnsi="Arial"/>
          <w:sz w:val="18"/>
          <w:szCs w:val="18"/>
          <w:color w:val="auto"/>
        </w:rPr>
      </w:pPr>
    </w:p>
    <w:p>
      <w:pPr>
        <w:jc w:val="both"/>
        <w:ind w:left="860" w:hanging="488"/>
        <w:spacing w:after="0" w:line="263" w:lineRule="auto"/>
        <w:tabs>
          <w:tab w:leader="none" w:pos="8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237"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minimum holding or vesting period of variable equity-based components to be set in the terms of office or employment, as applicable, while taking into consideration long-term incentives; and</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a limit to retirement grants.</w:t>
      </w: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11" w:name="page112"/>
    <w:bookmarkEnd w:id="111"/>
    <w:p>
      <w:pPr>
        <w:spacing w:after="0"/>
        <w:rPr>
          <w:sz w:val="20"/>
          <w:szCs w:val="20"/>
          <w:color w:val="auto"/>
        </w:rPr>
      </w:pPr>
      <w:r>
        <w:rPr>
          <w:rFonts w:ascii="Arial" w:cs="Arial" w:eastAsia="Arial" w:hAnsi="Arial"/>
          <w:sz w:val="22"/>
          <w:szCs w:val="22"/>
          <w:b w:val="1"/>
          <w:bCs w:val="1"/>
          <w:color w:val="auto"/>
        </w:rPr>
        <w:t>Corporate Governance Practices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Internal Auditor</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231"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 (iii) any person who serves as a director or as a chief executive officer of the company. As of the date of this annual report, we have not yet appointed our internal auditor.</w:t>
      </w:r>
    </w:p>
    <w:p>
      <w:pPr>
        <w:spacing w:after="0" w:line="22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Duties of Directors and Officers and Approval of Specified Related Party Transactions under the Israeli Companies Law</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Fiduciary Duties of Office Holders</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The Companies Law imposes a duty of care and a fiduciary duty on all office holders of a company. The duty of care of an office holder is based on the duty of care set forth in connection 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225" w:lineRule="exact"/>
        <w:rPr>
          <w:sz w:val="20"/>
          <w:szCs w:val="20"/>
          <w:color w:val="auto"/>
        </w:rPr>
      </w:pPr>
    </w:p>
    <w:p>
      <w:pPr>
        <w:ind w:left="860" w:hanging="488"/>
        <w:spacing w:after="0"/>
        <w:tabs>
          <w:tab w:leader="none" w:pos="860" w:val="left"/>
        </w:tabs>
        <w:numPr>
          <w:ilvl w:val="0"/>
          <w:numId w:val="86"/>
        </w:numPr>
        <w:rPr>
          <w:rFonts w:ascii="Arial" w:cs="Arial" w:eastAsia="Arial" w:hAnsi="Arial"/>
          <w:sz w:val="17"/>
          <w:szCs w:val="17"/>
          <w:color w:val="auto"/>
        </w:rPr>
      </w:pPr>
      <w:r>
        <w:rPr>
          <w:rFonts w:ascii="Arial" w:cs="Arial" w:eastAsia="Arial" w:hAnsi="Arial"/>
          <w:sz w:val="17"/>
          <w:szCs w:val="17"/>
          <w:color w:val="auto"/>
        </w:rPr>
        <w:t>information on the business advisability of a given action brought for his or her approval or performed by virtue of his or her position; and</w:t>
      </w:r>
    </w:p>
    <w:p>
      <w:pPr>
        <w:spacing w:after="0" w:line="290" w:lineRule="exact"/>
        <w:rPr>
          <w:rFonts w:ascii="Arial" w:cs="Arial" w:eastAsia="Arial" w:hAnsi="Arial"/>
          <w:sz w:val="17"/>
          <w:szCs w:val="17"/>
          <w:color w:val="auto"/>
        </w:rPr>
      </w:pPr>
    </w:p>
    <w:p>
      <w:pPr>
        <w:ind w:left="860" w:hanging="488"/>
        <w:spacing w:after="0"/>
        <w:tabs>
          <w:tab w:leader="none" w:pos="86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all other important information pertaining to such action.</w:t>
      </w:r>
    </w:p>
    <w:p>
      <w:pPr>
        <w:spacing w:after="0" w:line="285" w:lineRule="exact"/>
        <w:rPr>
          <w:sz w:val="20"/>
          <w:szCs w:val="20"/>
          <w:color w:val="auto"/>
        </w:rPr>
      </w:pPr>
    </w:p>
    <w:p>
      <w:pPr>
        <w:ind w:right="20" w:firstLine="648"/>
        <w:spacing w:after="0" w:line="276" w:lineRule="auto"/>
        <w:rPr>
          <w:sz w:val="20"/>
          <w:szCs w:val="20"/>
          <w:color w:val="auto"/>
        </w:rPr>
      </w:pPr>
      <w:r>
        <w:rPr>
          <w:rFonts w:ascii="Arial" w:cs="Arial" w:eastAsia="Arial" w:hAnsi="Arial"/>
          <w:sz w:val="22"/>
          <w:szCs w:val="22"/>
          <w:color w:val="auto"/>
        </w:rPr>
        <w:t>The fiduciary duty incumbent on an office holder requires him or her to act in good faith and for the benefit of the company, and includes, among other things, the duty to:</w:t>
      </w:r>
    </w:p>
    <w:p>
      <w:pPr>
        <w:spacing w:after="0" w:line="222" w:lineRule="exact"/>
        <w:rPr>
          <w:sz w:val="20"/>
          <w:szCs w:val="20"/>
          <w:color w:val="auto"/>
        </w:rPr>
      </w:pPr>
    </w:p>
    <w:p>
      <w:pPr>
        <w:ind w:left="860" w:hanging="488"/>
        <w:spacing w:after="0" w:line="277" w:lineRule="auto"/>
        <w:tabs>
          <w:tab w:leader="none" w:pos="8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refrain from any act involving a conflict of interest between the performance of his or her duties in the company and his or her other duties or personal affairs;</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refrain from any activity that is competitive with the business of the company;</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refrain from exploiting any business opportunity of the company for the purpose of gaining a personal advantage for himself or herself or others; and</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disclose to the company any information or documents relating to the company’s affairs which the office holder received as a result of his or her position as an office holder.</w:t>
      </w:r>
    </w:p>
    <w:p>
      <w:pPr>
        <w:spacing w:after="0" w:line="231"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12" w:name="page113"/>
    <w:bookmarkEnd w:id="112"/>
    <w:p>
      <w:pPr>
        <w:spacing w:after="0"/>
        <w:rPr>
          <w:sz w:val="20"/>
          <w:szCs w:val="20"/>
          <w:color w:val="auto"/>
        </w:rPr>
      </w:pPr>
      <w:r>
        <w:rPr>
          <w:rFonts w:ascii="Arial" w:cs="Arial" w:eastAsia="Arial" w:hAnsi="Arial"/>
          <w:sz w:val="22"/>
          <w:szCs w:val="22"/>
          <w:b w:val="1"/>
          <w:bCs w:val="1"/>
          <w:i w:val="1"/>
          <w:iCs w:val="1"/>
          <w:color w:val="auto"/>
        </w:rPr>
        <w:t>Disclosure of Personal Interests of an Office Holder and Approval of Transactions</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246"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22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 – Duties of Directors and Officers and Approval of Specified Related Party Transactions under the Israeli Companies Law – Fiduciary Duties of Office Holders.”</w:t>
      </w:r>
    </w:p>
    <w:p>
      <w:pPr>
        <w:spacing w:after="0" w:line="20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23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 (1) 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23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An “extraordinary transaction” is defined under the Companies Law as any of the following:</w:t>
      </w:r>
    </w:p>
    <w:p>
      <w:pPr>
        <w:spacing w:after="0" w:line="281" w:lineRule="exact"/>
        <w:rPr>
          <w:sz w:val="20"/>
          <w:szCs w:val="20"/>
          <w:color w:val="auto"/>
        </w:rPr>
      </w:pPr>
    </w:p>
    <w:p>
      <w:pPr>
        <w:ind w:left="860" w:hanging="488"/>
        <w:spacing w:after="0"/>
        <w:tabs>
          <w:tab w:leader="none" w:pos="8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transaction other than in the ordinary course of business;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transaction that is not on market terms; or</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88"/>
        </w:numPr>
        <w:rPr>
          <w:rFonts w:ascii="Arial" w:cs="Arial" w:eastAsia="Arial" w:hAnsi="Arial"/>
          <w:sz w:val="18"/>
          <w:szCs w:val="18"/>
          <w:color w:val="auto"/>
        </w:rPr>
      </w:pPr>
      <w:r>
        <w:rPr>
          <w:rFonts w:ascii="Arial" w:cs="Arial" w:eastAsia="Arial" w:hAnsi="Arial"/>
          <w:sz w:val="18"/>
          <w:szCs w:val="18"/>
          <w:color w:val="auto"/>
        </w:rPr>
        <w:t>a transaction that may have a material impact on the company’s profitability, assets or liabilities.</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13" w:name="page114"/>
    <w:bookmarkEnd w:id="113"/>
    <w:p>
      <w:pPr>
        <w:spacing w:after="0"/>
        <w:rPr>
          <w:sz w:val="20"/>
          <w:szCs w:val="20"/>
          <w:color w:val="auto"/>
        </w:rPr>
      </w:pPr>
      <w:r>
        <w:rPr>
          <w:rFonts w:ascii="Arial" w:cs="Arial" w:eastAsia="Arial" w:hAnsi="Arial"/>
          <w:sz w:val="22"/>
          <w:szCs w:val="22"/>
          <w:b w:val="1"/>
          <w:bCs w:val="1"/>
          <w:i w:val="1"/>
          <w:iCs w:val="1"/>
          <w:color w:val="auto"/>
        </w:rPr>
        <w:t>Disclosure of Personal Interests of a Controlling Shareholder and Approval of Transactions</w:t>
      </w:r>
    </w:p>
    <w:p>
      <w:pPr>
        <w:spacing w:after="0" w:line="287"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 (i) 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209" w:lineRule="exact"/>
        <w:rPr>
          <w:sz w:val="20"/>
          <w:szCs w:val="20"/>
          <w:color w:val="auto"/>
        </w:rPr>
      </w:pPr>
    </w:p>
    <w:p>
      <w:pPr>
        <w:ind w:left="860" w:hanging="488"/>
        <w:spacing w:after="0" w:line="277" w:lineRule="auto"/>
        <w:tabs>
          <w:tab w:leader="none" w:pos="86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shares voted by shareholders who have no personal interest in the transaction who vote against the transaction represent no more than two percent (2%) of the voting rights in the company.</w:t>
      </w:r>
    </w:p>
    <w:p>
      <w:pPr>
        <w:spacing w:after="0" w:line="231"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22"/>
          <w:szCs w:val="22"/>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24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Disclosure of Compensation of Executive Officers</w:t>
      </w:r>
    </w:p>
    <w:p>
      <w:pPr>
        <w:spacing w:after="0" w:line="2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became a public company, to disclose the annual compensation of our five most highly compensated office holders on an individual basis, rather than on an aggregate basis. This disclosure will not be as extensive as that required of a U.S. domestic issuer.</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14" w:name="page115"/>
    <w:bookmarkEnd w:id="114"/>
    <w:p>
      <w:pPr>
        <w:spacing w:after="0"/>
        <w:rPr>
          <w:sz w:val="20"/>
          <w:szCs w:val="20"/>
          <w:color w:val="auto"/>
        </w:rPr>
      </w:pPr>
      <w:r>
        <w:rPr>
          <w:rFonts w:ascii="Arial" w:cs="Arial" w:eastAsia="Arial" w:hAnsi="Arial"/>
          <w:sz w:val="22"/>
          <w:szCs w:val="22"/>
          <w:b w:val="1"/>
          <w:bCs w:val="1"/>
          <w:i w:val="1"/>
          <w:iCs w:val="1"/>
          <w:color w:val="auto"/>
        </w:rPr>
        <w:t>Compensation of Directors and Executive Officers</w:t>
      </w:r>
    </w:p>
    <w:p>
      <w:pPr>
        <w:spacing w:after="0" w:line="287" w:lineRule="exact"/>
        <w:rPr>
          <w:sz w:val="20"/>
          <w:szCs w:val="20"/>
          <w:color w:val="auto"/>
        </w:rPr>
      </w:pPr>
    </w:p>
    <w:p>
      <w:pPr>
        <w:jc w:val="both"/>
        <w:ind w:left="20" w:firstLine="644"/>
        <w:spacing w:after="0" w:line="260" w:lineRule="auto"/>
        <w:rPr>
          <w:sz w:val="20"/>
          <w:szCs w:val="20"/>
          <w:color w:val="auto"/>
        </w:rPr>
      </w:pPr>
      <w:r>
        <w:rPr>
          <w:rFonts w:ascii="Arial" w:cs="Arial" w:eastAsia="Arial" w:hAnsi="Arial"/>
          <w:sz w:val="22"/>
          <w:szCs w:val="22"/>
          <w:i w:val="1"/>
          <w:iCs w:val="1"/>
          <w:color w:val="auto"/>
        </w:rPr>
        <w:t>Directors</w:t>
      </w:r>
      <w:r>
        <w:rPr>
          <w:rFonts w:ascii="Arial" w:cs="Arial" w:eastAsia="Arial" w:hAnsi="Arial"/>
          <w:sz w:val="22"/>
          <w:szCs w:val="22"/>
          <w:color w:val="auto"/>
        </w:rPr>
        <w:t>. Under the Companies Law, the compensation of our directors requires the approval of our compensation</w:t>
      </w:r>
      <w:r>
        <w:rPr>
          <w:rFonts w:ascii="Arial" w:cs="Arial" w:eastAsia="Arial" w:hAnsi="Arial"/>
          <w:sz w:val="22"/>
          <w:szCs w:val="22"/>
          <w:i w:val="1"/>
          <w:iCs w:val="1"/>
          <w:color w:val="auto"/>
        </w:rPr>
        <w:t xml:space="preserve"> </w:t>
      </w:r>
      <w:r>
        <w:rPr>
          <w:rFonts w:ascii="Arial" w:cs="Arial" w:eastAsia="Arial" w:hAnsi="Arial"/>
          <w:sz w:val="22"/>
          <w:szCs w:val="22"/>
          <w:color w:val="auto"/>
        </w:rPr>
        <w:t>committee, the subsequent approval 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239" w:lineRule="exact"/>
        <w:rPr>
          <w:sz w:val="20"/>
          <w:szCs w:val="20"/>
          <w:color w:val="auto"/>
        </w:rPr>
      </w:pPr>
    </w:p>
    <w:p>
      <w:pPr>
        <w:ind w:left="860" w:hanging="488"/>
        <w:spacing w:after="0" w:line="277" w:lineRule="auto"/>
        <w:tabs>
          <w:tab w:leader="none" w:pos="860" w:val="left"/>
        </w:tabs>
        <w:numPr>
          <w:ilvl w:val="0"/>
          <w:numId w:val="90"/>
        </w:numPr>
        <w:rPr>
          <w:rFonts w:ascii="Arial" w:cs="Arial" w:eastAsia="Arial" w:hAnsi="Arial"/>
          <w:sz w:val="18"/>
          <w:szCs w:val="18"/>
          <w:color w:val="auto"/>
        </w:rPr>
      </w:pPr>
      <w:r>
        <w:rPr>
          <w:rFonts w:ascii="Arial" w:cs="Arial" w:eastAsia="Arial" w:hAnsi="Arial"/>
          <w:sz w:val="18"/>
          <w:szCs w:val="18"/>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231" w:lineRule="exact"/>
        <w:rPr>
          <w:sz w:val="20"/>
          <w:szCs w:val="20"/>
          <w:color w:val="auto"/>
        </w:rPr>
      </w:pPr>
    </w:p>
    <w:p>
      <w:pPr>
        <w:jc w:val="both"/>
        <w:ind w:left="20" w:firstLine="644"/>
        <w:spacing w:after="0" w:line="273" w:lineRule="auto"/>
        <w:rPr>
          <w:sz w:val="20"/>
          <w:szCs w:val="20"/>
          <w:color w:val="auto"/>
        </w:rPr>
      </w:pPr>
      <w:r>
        <w:rPr>
          <w:rFonts w:ascii="Arial" w:cs="Arial" w:eastAsia="Arial" w:hAnsi="Arial"/>
          <w:sz w:val="21"/>
          <w:szCs w:val="21"/>
          <w:i w:val="1"/>
          <w:iCs w:val="1"/>
          <w:color w:val="auto"/>
        </w:rPr>
        <w:t xml:space="preserve">Executive officers other than the chief executive officer. </w:t>
      </w:r>
      <w:r>
        <w:rPr>
          <w:rFonts w:ascii="Arial" w:cs="Arial" w:eastAsia="Arial" w:hAnsi="Arial"/>
          <w:sz w:val="21"/>
          <w:szCs w:val="21"/>
          <w:color w:val="auto"/>
        </w:rPr>
        <w:t>The Companies Law requires the approval of the compensation of</w:t>
      </w:r>
      <w:r>
        <w:rPr>
          <w:rFonts w:ascii="Arial" w:cs="Arial" w:eastAsia="Arial" w:hAnsi="Arial"/>
          <w:sz w:val="21"/>
          <w:szCs w:val="21"/>
          <w:i w:val="1"/>
          <w:iCs w:val="1"/>
          <w:color w:val="auto"/>
        </w:rPr>
        <w:t xml:space="preserve"> </w:t>
      </w:r>
      <w:r>
        <w:rPr>
          <w:rFonts w:ascii="Arial" w:cs="Arial" w:eastAsia="Arial" w:hAnsi="Arial"/>
          <w:sz w:val="21"/>
          <w:szCs w:val="21"/>
          <w:color w:val="auto"/>
        </w:rPr>
        <w:t>a public company’s executive officers (other than the chief executive officer) in the following order: (i) the compensation committee, (ii) the company’s board of directors, and (iii) if such compensation arrangement is inconsistent with the company’s stated compensation policy, the company’s shareholders (by a special majority vote as discussed above 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233" w:lineRule="exact"/>
        <w:rPr>
          <w:sz w:val="20"/>
          <w:szCs w:val="20"/>
          <w:color w:val="auto"/>
        </w:rPr>
      </w:pPr>
    </w:p>
    <w:p>
      <w:pPr>
        <w:jc w:val="both"/>
        <w:ind w:firstLine="646"/>
        <w:spacing w:after="0" w:line="300" w:lineRule="auto"/>
        <w:rPr>
          <w:sz w:val="20"/>
          <w:szCs w:val="20"/>
          <w:color w:val="auto"/>
        </w:rPr>
      </w:pPr>
      <w:r>
        <w:rPr>
          <w:rFonts w:ascii="Arial" w:cs="Arial" w:eastAsia="Arial" w:hAnsi="Arial"/>
          <w:sz w:val="19"/>
          <w:szCs w:val="19"/>
          <w:i w:val="1"/>
          <w:iCs w:val="1"/>
          <w:color w:val="auto"/>
        </w:rPr>
        <w:t xml:space="preserve">Chief executive officer. </w:t>
      </w:r>
      <w:r>
        <w:rPr>
          <w:rFonts w:ascii="Arial" w:cs="Arial" w:eastAsia="Arial" w:hAnsi="Arial"/>
          <w:sz w:val="19"/>
          <w:szCs w:val="19"/>
          <w:color w:val="auto"/>
        </w:rPr>
        <w:t>Under the Companies Law, the compensation of a public company’s chief executive officer is</w:t>
      </w:r>
      <w:r>
        <w:rPr>
          <w:rFonts w:ascii="Arial" w:cs="Arial" w:eastAsia="Arial" w:hAnsi="Arial"/>
          <w:sz w:val="19"/>
          <w:szCs w:val="19"/>
          <w:i w:val="1"/>
          <w:iCs w:val="1"/>
          <w:color w:val="auto"/>
        </w:rPr>
        <w:t xml:space="preserve"> </w:t>
      </w:r>
      <w:r>
        <w:rPr>
          <w:rFonts w:ascii="Arial" w:cs="Arial" w:eastAsia="Arial" w:hAnsi="Arial"/>
          <w:sz w:val="19"/>
          <w:szCs w:val="19"/>
          <w:color w:val="auto"/>
        </w:rPr>
        <w:t>required to be approved by: (i) the 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Duties of Shareholders</w:t>
      </w:r>
    </w:p>
    <w:p>
      <w:pPr>
        <w:spacing w:after="0" w:line="28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216" w:lineRule="exact"/>
        <w:rPr>
          <w:sz w:val="20"/>
          <w:szCs w:val="20"/>
          <w:color w:val="auto"/>
        </w:rPr>
      </w:pPr>
    </w:p>
    <w:p>
      <w:pPr>
        <w:ind w:left="860" w:hanging="488"/>
        <w:spacing w:after="0"/>
        <w:tabs>
          <w:tab w:leader="none" w:pos="86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an amendment to the articles of association;</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an increase in the company’s authorized share capital;</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15" w:name="page116"/>
    <w:bookmarkEnd w:id="115"/>
    <w:p>
      <w:pPr>
        <w:ind w:left="860" w:hanging="488"/>
        <w:spacing w:after="0"/>
        <w:tabs>
          <w:tab w:leader="none" w:pos="86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merger;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approval of related party transactions and acts of office holders that require shareholder approval.</w:t>
      </w:r>
    </w:p>
    <w:p>
      <w:pPr>
        <w:spacing w:after="0" w:line="28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 shareholder also has a general duty to refrain from discriminating against other shareholders.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2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Approval of Private Placements</w:t>
      </w:r>
    </w:p>
    <w:p>
      <w:pPr>
        <w:spacing w:after="0" w:line="2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“Item 10. Additional Information— Memorandum of Association – Acquisitions under Israeli Law”) or a private placement which qualifies as a related party transaction (see “— Duties of Directors and Officers and Approval of Specified Related Party Transactions under the Israeli Companies Law – Fiduciary Duties of Office Holders”), approval at a general meeting of the shareholders of a company is required.</w:t>
      </w:r>
    </w:p>
    <w:p>
      <w:pPr>
        <w:spacing w:after="0" w:line="24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Exculpation, Insurance and Indemnification of Directors and Officers</w:t>
      </w:r>
    </w:p>
    <w:p>
      <w:pPr>
        <w:spacing w:after="0" w:line="29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24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Under the Companies Law and the Israeli Securities Law, 5728-1968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239" w:lineRule="exact"/>
        <w:rPr>
          <w:sz w:val="20"/>
          <w:szCs w:val="20"/>
          <w:color w:val="auto"/>
        </w:rPr>
      </w:pPr>
    </w:p>
    <w:p>
      <w:pPr>
        <w:jc w:val="both"/>
        <w:ind w:left="860" w:hanging="488"/>
        <w:spacing w:after="0" w:line="255" w:lineRule="auto"/>
        <w:tabs>
          <w:tab w:leader="none" w:pos="86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16" w:name="page117"/>
    <w:bookmarkEnd w:id="116"/>
    <w:p>
      <w:pPr>
        <w:jc w:val="both"/>
        <w:ind w:left="860" w:hanging="488"/>
        <w:spacing w:after="0" w:line="255" w:lineRule="auto"/>
        <w:tabs>
          <w:tab w:leader="none" w:pos="8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246"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payment for a breach offended at an Administrative Procedure (as defined below) as set forth in Section 52(54)(a)(1)(a) to the Securities Law;</w:t>
      </w:r>
    </w:p>
    <w:p>
      <w:pPr>
        <w:spacing w:after="0" w:line="224"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expenses expended by the office holder with respect to an Administrative Procedure under the Securities Law, including reasonable litigation expenses and reasonable attorneys’ fees;</w:t>
      </w:r>
    </w:p>
    <w:p>
      <w:pPr>
        <w:spacing w:after="0" w:line="224" w:lineRule="exact"/>
        <w:rPr>
          <w:rFonts w:ascii="Arial" w:cs="Arial" w:eastAsia="Arial" w:hAnsi="Arial"/>
          <w:sz w:val="18"/>
          <w:szCs w:val="18"/>
          <w:color w:val="auto"/>
        </w:rPr>
      </w:pPr>
    </w:p>
    <w:p>
      <w:pPr>
        <w:jc w:val="both"/>
        <w:ind w:left="860" w:hanging="488"/>
        <w:spacing w:after="0" w:line="259" w:lineRule="auto"/>
        <w:tabs>
          <w:tab w:leader="none" w:pos="8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reasonable litigation expenses, including attorneys’ fees, incurred by the office holder or which were imposed on the office holder by a court (i) in a proceeding instituted against him or her by the company, on its behalf, or by a third party, (ii) in connection with criminal indictment of which the office holder was acquitted, or (iii) in a criminal indictment which the office holder was convicted of an offense that does not require proof of criminal intent; and</w:t>
      </w:r>
    </w:p>
    <w:p>
      <w:pPr>
        <w:spacing w:after="0" w:line="240"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231"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223" w:lineRule="exact"/>
        <w:rPr>
          <w:sz w:val="20"/>
          <w:szCs w:val="20"/>
          <w:color w:val="auto"/>
        </w:rPr>
      </w:pPr>
    </w:p>
    <w:p>
      <w:pPr>
        <w:jc w:val="both"/>
        <w:ind w:right="20" w:firstLine="648"/>
        <w:spacing w:after="0" w:line="266" w:lineRule="auto"/>
        <w:rPr>
          <w:sz w:val="20"/>
          <w:szCs w:val="20"/>
          <w:color w:val="auto"/>
        </w:rPr>
      </w:pPr>
      <w:r>
        <w:rPr>
          <w:rFonts w:ascii="Arial" w:cs="Arial" w:eastAsia="Arial" w:hAnsi="Arial"/>
          <w:sz w:val="22"/>
          <w:szCs w:val="22"/>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233" w:lineRule="exact"/>
        <w:rPr>
          <w:sz w:val="20"/>
          <w:szCs w:val="20"/>
          <w:color w:val="auto"/>
        </w:rPr>
      </w:pPr>
    </w:p>
    <w:p>
      <w:pPr>
        <w:ind w:left="860" w:hanging="488"/>
        <w:spacing w:after="0" w:line="277" w:lineRule="auto"/>
        <w:tabs>
          <w:tab w:leader="none" w:pos="86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 breach of the fiduciary duty to the company, provided that the office holder acted in good faith and had a reasonable basis to believe that the act would not harm the company;</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95"/>
        </w:numPr>
        <w:rPr>
          <w:rFonts w:ascii="Arial" w:cs="Arial" w:eastAsia="Arial" w:hAnsi="Arial"/>
          <w:sz w:val="16"/>
          <w:szCs w:val="16"/>
          <w:color w:val="auto"/>
        </w:rPr>
      </w:pPr>
      <w:r>
        <w:rPr>
          <w:rFonts w:ascii="Arial" w:cs="Arial" w:eastAsia="Arial" w:hAnsi="Arial"/>
          <w:sz w:val="16"/>
          <w:szCs w:val="16"/>
          <w:color w:val="auto"/>
        </w:rPr>
        <w:t>a breach of duty of care to the company or to a third party, to the extent such a breach arises out of the negligent conduct of the office holder;</w:t>
      </w:r>
    </w:p>
    <w:p>
      <w:pPr>
        <w:spacing w:after="0" w:line="302" w:lineRule="exact"/>
        <w:rPr>
          <w:rFonts w:ascii="Arial" w:cs="Arial" w:eastAsia="Arial" w:hAnsi="Arial"/>
          <w:sz w:val="16"/>
          <w:szCs w:val="16"/>
          <w:color w:val="auto"/>
        </w:rPr>
      </w:pPr>
    </w:p>
    <w:p>
      <w:pPr>
        <w:ind w:left="860" w:hanging="488"/>
        <w:spacing w:after="0"/>
        <w:tabs>
          <w:tab w:leader="none" w:pos="86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 third party;</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95"/>
        </w:numPr>
        <w:rPr>
          <w:rFonts w:ascii="Arial" w:cs="Arial" w:eastAsia="Arial" w:hAnsi="Arial"/>
          <w:sz w:val="18"/>
          <w:szCs w:val="18"/>
          <w:color w:val="auto"/>
        </w:rPr>
      </w:pPr>
      <w:r>
        <w:rPr>
          <w:rFonts w:ascii="Arial" w:cs="Arial" w:eastAsia="Arial" w:hAnsi="Arial"/>
          <w:sz w:val="18"/>
          <w:szCs w:val="18"/>
          <w:color w:val="auto"/>
        </w:rPr>
        <w:t>a monetary liability imposed on the office holder in favor of an injured party at an Administrative Procedure pursuant to Section 52(54)(a)(1)(a) of the Securities Law; and</w:t>
      </w:r>
    </w:p>
    <w:p>
      <w:pPr>
        <w:spacing w:after="0" w:line="224" w:lineRule="exact"/>
        <w:rPr>
          <w:rFonts w:ascii="Arial" w:cs="Arial" w:eastAsia="Arial" w:hAnsi="Arial"/>
          <w:sz w:val="18"/>
          <w:szCs w:val="18"/>
          <w:color w:val="auto"/>
        </w:rPr>
      </w:pPr>
    </w:p>
    <w:p>
      <w:pPr>
        <w:ind w:left="860" w:right="20" w:hanging="488"/>
        <w:spacing w:after="0" w:line="277" w:lineRule="auto"/>
        <w:tabs>
          <w:tab w:leader="none" w:pos="860" w:val="left"/>
        </w:tabs>
        <w:numPr>
          <w:ilvl w:val="0"/>
          <w:numId w:val="95"/>
        </w:numPr>
        <w:rPr>
          <w:rFonts w:ascii="Arial" w:cs="Arial" w:eastAsia="Arial" w:hAnsi="Arial"/>
          <w:sz w:val="18"/>
          <w:szCs w:val="18"/>
          <w:color w:val="auto"/>
        </w:rPr>
      </w:pPr>
      <w:r>
        <w:rPr>
          <w:rFonts w:ascii="Arial" w:cs="Arial" w:eastAsia="Arial" w:hAnsi="Arial"/>
          <w:sz w:val="18"/>
          <w:szCs w:val="18"/>
          <w:color w:val="auto"/>
        </w:rPr>
        <w:t>expenses incurred by an office holder in connection with an Administrative Procedure, including reasonable litigation expenses and reasonable attorneys’ fees.</w:t>
      </w:r>
    </w:p>
    <w:p>
      <w:pPr>
        <w:spacing w:after="0" w:line="231"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Under the Companies Law, a company may not indemnify, exculpate or insure an office holder against any of the following:</w:t>
      </w:r>
    </w:p>
    <w:p>
      <w:pPr>
        <w:spacing w:after="0" w:line="222" w:lineRule="exact"/>
        <w:rPr>
          <w:sz w:val="20"/>
          <w:szCs w:val="20"/>
          <w:color w:val="auto"/>
        </w:rPr>
      </w:pPr>
    </w:p>
    <w:p>
      <w:pPr>
        <w:ind w:left="860" w:hanging="488"/>
        <w:spacing w:after="0" w:line="308" w:lineRule="auto"/>
        <w:tabs>
          <w:tab w:leader="none" w:pos="860" w:val="left"/>
        </w:tabs>
        <w:numPr>
          <w:ilvl w:val="0"/>
          <w:numId w:val="96"/>
        </w:numPr>
        <w:rPr>
          <w:rFonts w:ascii="Arial" w:cs="Arial" w:eastAsia="Arial" w:hAnsi="Arial"/>
          <w:sz w:val="17"/>
          <w:szCs w:val="17"/>
          <w:color w:val="auto"/>
        </w:rPr>
      </w:pPr>
      <w:r>
        <w:rPr>
          <w:rFonts w:ascii="Arial" w:cs="Arial" w:eastAsia="Arial" w:hAnsi="Arial"/>
          <w:sz w:val="17"/>
          <w:szCs w:val="17"/>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200" w:lineRule="exact"/>
        <w:rPr>
          <w:rFonts w:ascii="Arial" w:cs="Arial" w:eastAsia="Arial" w:hAnsi="Arial"/>
          <w:sz w:val="17"/>
          <w:szCs w:val="17"/>
          <w:color w:val="auto"/>
        </w:rPr>
      </w:pPr>
    </w:p>
    <w:p>
      <w:pPr>
        <w:ind w:left="860" w:hanging="488"/>
        <w:spacing w:after="0"/>
        <w:tabs>
          <w:tab w:leader="none" w:pos="860" w:val="left"/>
        </w:tabs>
        <w:numPr>
          <w:ilvl w:val="0"/>
          <w:numId w:val="96"/>
        </w:numPr>
        <w:rPr>
          <w:rFonts w:ascii="Arial" w:cs="Arial" w:eastAsia="Arial" w:hAnsi="Arial"/>
          <w:sz w:val="17"/>
          <w:szCs w:val="17"/>
          <w:color w:val="auto"/>
        </w:rPr>
      </w:pPr>
      <w:r>
        <w:rPr>
          <w:rFonts w:ascii="Arial" w:cs="Arial" w:eastAsia="Arial" w:hAnsi="Arial"/>
          <w:sz w:val="17"/>
          <w:szCs w:val="17"/>
          <w:color w:val="auto"/>
        </w:rPr>
        <w:t>a breach of duty of care committed intentionally or recklessly, excluding a breach arising out of the negligent conduct of the office holder;</w:t>
      </w: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17" w:name="page118"/>
    <w:bookmarkEnd w:id="117"/>
    <w:p>
      <w:pPr>
        <w:ind w:left="860" w:hanging="488"/>
        <w:spacing w:after="0"/>
        <w:tabs>
          <w:tab w:leader="none" w:pos="86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an act or omission committed with intent to derive illegal personal benefit; or</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97"/>
        </w:numPr>
        <w:rPr>
          <w:rFonts w:ascii="Arial" w:cs="Arial" w:eastAsia="Arial" w:hAnsi="Arial"/>
          <w:sz w:val="18"/>
          <w:szCs w:val="18"/>
          <w:color w:val="auto"/>
        </w:rPr>
      </w:pPr>
      <w:r>
        <w:rPr>
          <w:rFonts w:ascii="Arial" w:cs="Arial" w:eastAsia="Arial" w:hAnsi="Arial"/>
          <w:sz w:val="18"/>
          <w:szCs w:val="18"/>
          <w:color w:val="auto"/>
        </w:rPr>
        <w:t>a fine or forfeit levied against the office holder.</w:t>
      </w:r>
    </w:p>
    <w:p>
      <w:pPr>
        <w:spacing w:after="0" w:line="28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22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annual report,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231" w:lineRule="exact"/>
        <w:rPr>
          <w:sz w:val="20"/>
          <w:szCs w:val="20"/>
          <w:color w:val="auto"/>
        </w:rPr>
      </w:pPr>
    </w:p>
    <w:p>
      <w:pPr>
        <w:jc w:val="both"/>
        <w:ind w:firstLine="646"/>
        <w:spacing w:after="0" w:line="266" w:lineRule="auto"/>
        <w:rPr>
          <w:sz w:val="20"/>
          <w:szCs w:val="20"/>
          <w:color w:val="auto"/>
        </w:rPr>
      </w:pPr>
      <w:r>
        <w:rPr>
          <w:rFonts w:ascii="Arial" w:cs="Arial" w:eastAsia="Arial" w:hAnsi="Arial"/>
          <w:sz w:val="22"/>
          <w:szCs w:val="22"/>
          <w:color w:val="auto"/>
        </w:rPr>
        <w:t>See "Item 7. Major Shareholders and Related Party Transactions – B. Related Party Transactions - Directors and Officers Insurance Policy and Indemnification Agreements" for information regarding letters of indemnification to directors and officers of the Company.</w:t>
      </w:r>
    </w:p>
    <w:p>
      <w:pPr>
        <w:spacing w:after="0" w:line="233" w:lineRule="exact"/>
        <w:rPr>
          <w:sz w:val="20"/>
          <w:szCs w:val="20"/>
          <w:color w:val="auto"/>
        </w:rPr>
      </w:pPr>
    </w:p>
    <w:p>
      <w:pPr>
        <w:ind w:left="820" w:hanging="812"/>
        <w:spacing w:after="0"/>
        <w:tabs>
          <w:tab w:leader="none" w:pos="820" w:val="left"/>
        </w:tabs>
        <w:numPr>
          <w:ilvl w:val="0"/>
          <w:numId w:val="98"/>
        </w:numPr>
        <w:rPr>
          <w:rFonts w:ascii="Arial" w:cs="Arial" w:eastAsia="Arial" w:hAnsi="Arial"/>
          <w:sz w:val="22"/>
          <w:szCs w:val="22"/>
          <w:b w:val="1"/>
          <w:bCs w:val="1"/>
          <w:color w:val="auto"/>
        </w:rPr>
      </w:pPr>
      <w:r>
        <w:rPr>
          <w:rFonts w:ascii="Arial" w:cs="Arial" w:eastAsia="Arial" w:hAnsi="Arial"/>
          <w:sz w:val="22"/>
          <w:szCs w:val="22"/>
          <w:b w:val="1"/>
          <w:bCs w:val="1"/>
          <w:color w:val="auto"/>
        </w:rPr>
        <w:t>Employees</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As of December 31, 2019, we had 61 employees, all of whom except one are located in Israel.</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3280" w:type="dxa"/>
            <w:vAlign w:val="bottom"/>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60" w:type="dxa"/>
            <w:vAlign w:val="bottom"/>
            <w:tcBorders>
              <w:bottom w:val="single" w:sz="8" w:color="auto"/>
            </w:tcBorders>
            <w:gridSpan w:val="4"/>
          </w:tcPr>
          <w:p>
            <w:pPr>
              <w:ind w:left="440"/>
              <w:spacing w:after="0"/>
              <w:rPr>
                <w:sz w:val="20"/>
                <w:szCs w:val="20"/>
                <w:color w:val="auto"/>
              </w:rPr>
            </w:pPr>
            <w:r>
              <w:rPr>
                <w:rFonts w:ascii="Arial" w:cs="Arial" w:eastAsia="Arial" w:hAnsi="Arial"/>
                <w:sz w:val="18"/>
                <w:szCs w:val="18"/>
                <w:b w:val="1"/>
                <w:bCs w:val="1"/>
                <w:color w:val="auto"/>
              </w:rPr>
              <w:t>As of December 31,</w:t>
            </w:r>
          </w:p>
        </w:tc>
        <w:tc>
          <w:tcPr>
            <w:tcW w:w="22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3280" w:type="dxa"/>
            <w:vAlign w:val="bottom"/>
          </w:tcPr>
          <w:p>
            <w:pPr>
              <w:spacing w:after="0"/>
              <w:rPr>
                <w:sz w:val="19"/>
                <w:szCs w:val="19"/>
                <w:color w:val="auto"/>
              </w:rPr>
            </w:pPr>
          </w:p>
        </w:tc>
        <w:tc>
          <w:tcPr>
            <w:tcW w:w="1460" w:type="dxa"/>
            <w:vAlign w:val="bottom"/>
            <w:gridSpan w:val="3"/>
          </w:tcPr>
          <w:p>
            <w:pPr>
              <w:jc w:val="right"/>
              <w:ind w:right="20"/>
              <w:spacing w:after="0"/>
              <w:rPr>
                <w:sz w:val="20"/>
                <w:szCs w:val="20"/>
                <w:color w:val="auto"/>
              </w:rPr>
            </w:pPr>
            <w:r>
              <w:rPr>
                <w:rFonts w:ascii="Arial" w:cs="Arial" w:eastAsia="Arial" w:hAnsi="Arial"/>
                <w:sz w:val="18"/>
                <w:szCs w:val="18"/>
                <w:b w:val="1"/>
                <w:bCs w:val="1"/>
                <w:color w:val="auto"/>
              </w:rPr>
              <w:t>2017</w:t>
            </w:r>
          </w:p>
        </w:tc>
        <w:tc>
          <w:tcPr>
            <w:tcW w:w="1040" w:type="dxa"/>
            <w:vAlign w:val="bottom"/>
          </w:tcPr>
          <w:p>
            <w:pPr>
              <w:spacing w:after="0"/>
              <w:rPr>
                <w:sz w:val="19"/>
                <w:szCs w:val="19"/>
                <w:color w:val="auto"/>
              </w:rPr>
            </w:pPr>
          </w:p>
        </w:tc>
        <w:tc>
          <w:tcPr>
            <w:tcW w:w="1680" w:type="dxa"/>
            <w:vAlign w:val="bottom"/>
            <w:gridSpan w:val="4"/>
          </w:tcPr>
          <w:p>
            <w:pPr>
              <w:jc w:val="right"/>
              <w:ind w:right="20"/>
              <w:spacing w:after="0"/>
              <w:rPr>
                <w:sz w:val="20"/>
                <w:szCs w:val="20"/>
                <w:color w:val="auto"/>
              </w:rPr>
            </w:pPr>
            <w:r>
              <w:rPr>
                <w:rFonts w:ascii="Arial" w:cs="Arial" w:eastAsia="Arial" w:hAnsi="Arial"/>
                <w:sz w:val="18"/>
                <w:szCs w:val="18"/>
                <w:b w:val="1"/>
                <w:bCs w:val="1"/>
                <w:color w:val="auto"/>
              </w:rPr>
              <w:t>2018</w:t>
            </w:r>
          </w:p>
        </w:tc>
        <w:tc>
          <w:tcPr>
            <w:tcW w:w="1020" w:type="dxa"/>
            <w:vAlign w:val="bottom"/>
          </w:tcPr>
          <w:p>
            <w:pPr>
              <w:spacing w:after="0"/>
              <w:rPr>
                <w:sz w:val="19"/>
                <w:szCs w:val="19"/>
                <w:color w:val="auto"/>
              </w:rPr>
            </w:pPr>
          </w:p>
        </w:tc>
        <w:tc>
          <w:tcPr>
            <w:tcW w:w="1620" w:type="dxa"/>
            <w:vAlign w:val="bottom"/>
            <w:gridSpan w:val="4"/>
          </w:tcPr>
          <w:p>
            <w:pPr>
              <w:jc w:val="right"/>
              <w:spacing w:after="0"/>
              <w:rPr>
                <w:sz w:val="20"/>
                <w:szCs w:val="20"/>
                <w:color w:val="auto"/>
              </w:rPr>
            </w:pPr>
            <w:r>
              <w:rPr>
                <w:rFonts w:ascii="Arial" w:cs="Arial" w:eastAsia="Arial" w:hAnsi="Arial"/>
                <w:sz w:val="18"/>
                <w:szCs w:val="18"/>
                <w:b w:val="1"/>
                <w:bCs w:val="1"/>
                <w:color w:val="auto"/>
              </w:rPr>
              <w:t>2019</w:t>
            </w: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3280" w:type="dxa"/>
            <w:vAlign w:val="bottom"/>
          </w:tcPr>
          <w:p>
            <w:pPr>
              <w:spacing w:after="0"/>
              <w:rPr>
                <w:sz w:val="17"/>
                <w:szCs w:val="17"/>
                <w:color w:val="auto"/>
              </w:rPr>
            </w:pPr>
          </w:p>
        </w:tc>
        <w:tc>
          <w:tcPr>
            <w:tcW w:w="1460" w:type="dxa"/>
            <w:vAlign w:val="bottom"/>
            <w:tcBorders>
              <w:top w:val="single" w:sz="8" w:color="auto"/>
            </w:tcBorders>
            <w:gridSpan w:val="3"/>
          </w:tcPr>
          <w:p>
            <w:pPr>
              <w:jc w:val="center"/>
              <w:ind w:right="340"/>
              <w:spacing w:after="0" w:line="198" w:lineRule="exact"/>
              <w:rPr>
                <w:sz w:val="20"/>
                <w:szCs w:val="20"/>
                <w:color w:val="auto"/>
              </w:rPr>
            </w:pPr>
            <w:r>
              <w:rPr>
                <w:rFonts w:ascii="Arial" w:cs="Arial" w:eastAsia="Arial" w:hAnsi="Arial"/>
                <w:sz w:val="18"/>
                <w:szCs w:val="18"/>
                <w:b w:val="1"/>
                <w:bCs w:val="1"/>
                <w:color w:val="auto"/>
                <w:w w:val="92"/>
              </w:rPr>
              <w:t>Company</w:t>
            </w:r>
          </w:p>
        </w:tc>
        <w:tc>
          <w:tcPr>
            <w:tcW w:w="10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440" w:type="dxa"/>
            <w:vAlign w:val="bottom"/>
            <w:tcBorders>
              <w:top w:val="single" w:sz="8" w:color="auto"/>
            </w:tcBorders>
            <w:gridSpan w:val="3"/>
          </w:tcPr>
          <w:p>
            <w:pPr>
              <w:jc w:val="center"/>
              <w:ind w:right="280"/>
              <w:spacing w:after="0" w:line="198" w:lineRule="exact"/>
              <w:rPr>
                <w:sz w:val="20"/>
                <w:szCs w:val="20"/>
                <w:color w:val="auto"/>
              </w:rPr>
            </w:pPr>
            <w:r>
              <w:rPr>
                <w:rFonts w:ascii="Arial" w:cs="Arial" w:eastAsia="Arial" w:hAnsi="Arial"/>
                <w:sz w:val="18"/>
                <w:szCs w:val="18"/>
                <w:b w:val="1"/>
                <w:bCs w:val="1"/>
                <w:color w:val="auto"/>
                <w:w w:val="92"/>
              </w:rPr>
              <w:t>Company</w:t>
            </w:r>
          </w:p>
        </w:tc>
        <w:tc>
          <w:tcPr>
            <w:tcW w:w="10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400" w:type="dxa"/>
            <w:vAlign w:val="bottom"/>
            <w:tcBorders>
              <w:top w:val="single" w:sz="8" w:color="auto"/>
            </w:tcBorders>
            <w:gridSpan w:val="3"/>
          </w:tcPr>
          <w:p>
            <w:pPr>
              <w:jc w:val="center"/>
              <w:ind w:right="280"/>
              <w:spacing w:after="0" w:line="198" w:lineRule="exact"/>
              <w:rPr>
                <w:sz w:val="20"/>
                <w:szCs w:val="20"/>
                <w:color w:val="auto"/>
              </w:rPr>
            </w:pPr>
            <w:r>
              <w:rPr>
                <w:rFonts w:ascii="Arial" w:cs="Arial" w:eastAsia="Arial" w:hAnsi="Arial"/>
                <w:sz w:val="18"/>
                <w:szCs w:val="18"/>
                <w:b w:val="1"/>
                <w:bCs w:val="1"/>
                <w:color w:val="auto"/>
                <w:w w:val="92"/>
              </w:rPr>
              <w:t>Company</w:t>
            </w:r>
          </w:p>
        </w:tc>
        <w:tc>
          <w:tcPr>
            <w:tcW w:w="10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3280" w:type="dxa"/>
            <w:vAlign w:val="bottom"/>
          </w:tcPr>
          <w:p>
            <w:pPr>
              <w:spacing w:after="0"/>
              <w:rPr>
                <w:sz w:val="20"/>
                <w:szCs w:val="20"/>
                <w:color w:val="auto"/>
              </w:rPr>
            </w:pPr>
          </w:p>
        </w:tc>
        <w:tc>
          <w:tcPr>
            <w:tcW w:w="146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8"/>
              </w:rPr>
              <w:t>Employees</w:t>
            </w:r>
          </w:p>
        </w:tc>
        <w:tc>
          <w:tcPr>
            <w:tcW w:w="1040" w:type="dxa"/>
            <w:vAlign w:val="bottom"/>
          </w:tcPr>
          <w:p>
            <w:pPr>
              <w:ind w:left="20"/>
              <w:spacing w:after="0"/>
              <w:rPr>
                <w:sz w:val="20"/>
                <w:szCs w:val="20"/>
                <w:color w:val="auto"/>
              </w:rPr>
            </w:pPr>
            <w:r>
              <w:rPr>
                <w:rFonts w:ascii="Arial" w:cs="Arial" w:eastAsia="Arial" w:hAnsi="Arial"/>
                <w:sz w:val="18"/>
                <w:szCs w:val="18"/>
                <w:b w:val="1"/>
                <w:bCs w:val="1"/>
                <w:color w:val="auto"/>
                <w:w w:val="96"/>
              </w:rPr>
              <w:t>Consultants</w:t>
            </w:r>
          </w:p>
        </w:tc>
        <w:tc>
          <w:tcPr>
            <w:tcW w:w="240" w:type="dxa"/>
            <w:vAlign w:val="bottom"/>
          </w:tcPr>
          <w:p>
            <w:pPr>
              <w:spacing w:after="0"/>
              <w:rPr>
                <w:sz w:val="20"/>
                <w:szCs w:val="20"/>
                <w:color w:val="auto"/>
              </w:rPr>
            </w:pPr>
          </w:p>
        </w:tc>
        <w:tc>
          <w:tcPr>
            <w:tcW w:w="144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88"/>
              </w:rPr>
              <w:t>Employees</w:t>
            </w:r>
          </w:p>
        </w:tc>
        <w:tc>
          <w:tcPr>
            <w:tcW w:w="1020" w:type="dxa"/>
            <w:vAlign w:val="bottom"/>
          </w:tcPr>
          <w:p>
            <w:pPr>
              <w:ind w:left="20"/>
              <w:spacing w:after="0"/>
              <w:rPr>
                <w:sz w:val="20"/>
                <w:szCs w:val="20"/>
                <w:color w:val="auto"/>
              </w:rPr>
            </w:pPr>
            <w:r>
              <w:rPr>
                <w:rFonts w:ascii="Arial" w:cs="Arial" w:eastAsia="Arial" w:hAnsi="Arial"/>
                <w:sz w:val="18"/>
                <w:szCs w:val="18"/>
                <w:b w:val="1"/>
                <w:bCs w:val="1"/>
                <w:color w:val="auto"/>
                <w:w w:val="94"/>
              </w:rPr>
              <w:t>Consultants</w:t>
            </w:r>
          </w:p>
        </w:tc>
        <w:tc>
          <w:tcPr>
            <w:tcW w:w="220" w:type="dxa"/>
            <w:vAlign w:val="bottom"/>
          </w:tcPr>
          <w:p>
            <w:pPr>
              <w:spacing w:after="0"/>
              <w:rPr>
                <w:sz w:val="20"/>
                <w:szCs w:val="20"/>
                <w:color w:val="auto"/>
              </w:rPr>
            </w:pPr>
          </w:p>
        </w:tc>
        <w:tc>
          <w:tcPr>
            <w:tcW w:w="140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88"/>
              </w:rPr>
              <w:t>Employees</w:t>
            </w:r>
          </w:p>
        </w:tc>
        <w:tc>
          <w:tcPr>
            <w:tcW w:w="1040" w:type="dxa"/>
            <w:vAlign w:val="bottom"/>
          </w:tcPr>
          <w:p>
            <w:pPr>
              <w:ind w:left="20"/>
              <w:spacing w:after="0"/>
              <w:rPr>
                <w:sz w:val="20"/>
                <w:szCs w:val="20"/>
                <w:color w:val="auto"/>
              </w:rPr>
            </w:pPr>
            <w:r>
              <w:rPr>
                <w:rFonts w:ascii="Arial" w:cs="Arial" w:eastAsia="Arial" w:hAnsi="Arial"/>
                <w:sz w:val="18"/>
                <w:szCs w:val="18"/>
                <w:b w:val="1"/>
                <w:bCs w:val="1"/>
                <w:color w:val="auto"/>
                <w:w w:val="96"/>
              </w:rPr>
              <w:t>Consultants</w:t>
            </w:r>
          </w:p>
        </w:tc>
        <w:tc>
          <w:tcPr>
            <w:tcW w:w="100" w:type="dxa"/>
            <w:vAlign w:val="bottom"/>
          </w:tcPr>
          <w:p>
            <w:pPr>
              <w:spacing w:after="0"/>
              <w:rPr>
                <w:sz w:val="20"/>
                <w:szCs w:val="20"/>
                <w:color w:val="auto"/>
              </w:rPr>
            </w:pPr>
          </w:p>
        </w:tc>
      </w:tr>
      <w:tr>
        <w:trPr>
          <w:trHeight w:val="216"/>
        </w:trPr>
        <w:tc>
          <w:tcPr>
            <w:tcW w:w="3280" w:type="dxa"/>
            <w:vAlign w:val="bottom"/>
            <w:shd w:val="clear" w:color="auto" w:fill="CCEEFF"/>
          </w:tcPr>
          <w:p>
            <w:pPr>
              <w:spacing w:after="0"/>
              <w:rPr>
                <w:sz w:val="20"/>
                <w:szCs w:val="20"/>
                <w:color w:val="auto"/>
              </w:rPr>
            </w:pPr>
            <w:r>
              <w:rPr>
                <w:rFonts w:ascii="Arial" w:cs="Arial" w:eastAsia="Arial" w:hAnsi="Arial"/>
                <w:sz w:val="18"/>
                <w:szCs w:val="18"/>
                <w:color w:val="auto"/>
              </w:rPr>
              <w:t>Management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6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c>
          <w:tcPr>
            <w:tcW w:w="2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3280" w:type="dxa"/>
            <w:vAlign w:val="bottom"/>
          </w:tcPr>
          <w:p>
            <w:pPr>
              <w:spacing w:after="0"/>
              <w:rPr>
                <w:sz w:val="20"/>
                <w:szCs w:val="20"/>
                <w:color w:val="auto"/>
              </w:rPr>
            </w:pPr>
            <w:r>
              <w:rPr>
                <w:rFonts w:ascii="Arial" w:cs="Arial" w:eastAsia="Arial" w:hAnsi="Arial"/>
                <w:sz w:val="18"/>
                <w:szCs w:val="18"/>
                <w:color w:val="auto"/>
              </w:rPr>
              <w:t>Research and development and other</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43</w:t>
            </w: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600" w:type="dxa"/>
            <w:vAlign w:val="bottom"/>
            <w:gridSpan w:val="3"/>
          </w:tcPr>
          <w:p>
            <w:pPr>
              <w:jc w:val="right"/>
              <w:ind w:right="220"/>
              <w:spacing w:after="0"/>
              <w:rPr>
                <w:sz w:val="20"/>
                <w:szCs w:val="20"/>
                <w:color w:val="auto"/>
              </w:rPr>
            </w:pPr>
            <w:r>
              <w:rPr>
                <w:rFonts w:ascii="Arial" w:cs="Arial" w:eastAsia="Arial" w:hAnsi="Arial"/>
                <w:sz w:val="18"/>
                <w:szCs w:val="18"/>
                <w:color w:val="auto"/>
              </w:rPr>
              <w:t>48</w:t>
            </w:r>
          </w:p>
        </w:tc>
        <w:tc>
          <w:tcPr>
            <w:tcW w:w="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540" w:type="dxa"/>
            <w:vAlign w:val="bottom"/>
            <w:gridSpan w:val="3"/>
          </w:tcPr>
          <w:p>
            <w:pPr>
              <w:jc w:val="right"/>
              <w:ind w:right="220"/>
              <w:spacing w:after="0"/>
              <w:rPr>
                <w:sz w:val="20"/>
                <w:szCs w:val="20"/>
                <w:color w:val="auto"/>
              </w:rPr>
            </w:pPr>
            <w:r>
              <w:rPr>
                <w:rFonts w:ascii="Arial" w:cs="Arial" w:eastAsia="Arial" w:hAnsi="Arial"/>
                <w:sz w:val="18"/>
                <w:szCs w:val="18"/>
                <w:color w:val="auto"/>
              </w:rPr>
              <w:t>52</w:t>
            </w: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248"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While none of our employees are party to a collective bargaining agreement, certain provisions of the collective bargaining agreements between the Histadrut (General Federation of Labor in Israel) and the Coordination Bureau of Economic Organizations (including the Industrialists’ Associations) are applicable to our employees by order of the Israel Ministry of Labor. These provisions primarily concern the length of the workday, minimum daily wages for professional workers, pension fund benefits for all employees, insurance for work-related accidents, procedures for dismissing employees, determination of severance pay and other conditions of employment. We generally provide our employees with benefits and working conditions beyond the required minimums.</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We have never experienced any employment-related work stoppages and believe our relationship with our employees is</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good.</w:t>
      </w:r>
    </w:p>
    <w:p>
      <w:pPr>
        <w:spacing w:after="0" w:line="277" w:lineRule="exact"/>
        <w:rPr>
          <w:sz w:val="20"/>
          <w:szCs w:val="20"/>
          <w:color w:val="auto"/>
        </w:rPr>
      </w:pPr>
    </w:p>
    <w:p>
      <w:pPr>
        <w:ind w:left="740" w:hanging="732"/>
        <w:spacing w:after="0"/>
        <w:tabs>
          <w:tab w:leader="none" w:pos="740" w:val="left"/>
        </w:tabs>
        <w:numPr>
          <w:ilvl w:val="0"/>
          <w:numId w:val="99"/>
        </w:numPr>
        <w:rPr>
          <w:rFonts w:ascii="Arial" w:cs="Arial" w:eastAsia="Arial" w:hAnsi="Arial"/>
          <w:sz w:val="22"/>
          <w:szCs w:val="22"/>
          <w:b w:val="1"/>
          <w:bCs w:val="1"/>
          <w:color w:val="auto"/>
        </w:rPr>
      </w:pPr>
      <w:r>
        <w:rPr>
          <w:rFonts w:ascii="Arial" w:cs="Arial" w:eastAsia="Arial" w:hAnsi="Arial"/>
          <w:sz w:val="22"/>
          <w:szCs w:val="22"/>
          <w:b w:val="1"/>
          <w:bCs w:val="1"/>
          <w:color w:val="auto"/>
        </w:rPr>
        <w:t>Share Ownership</w:t>
      </w:r>
    </w:p>
    <w:p>
      <w:pPr>
        <w:spacing w:after="0" w:line="293"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For information regarding the share ownership of our directors and executive officers, please see “Item 7.A. Major Shareholders.”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Award Plans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2014 Share Incentive Plan</w:t>
      </w:r>
    </w:p>
    <w:p>
      <w:pPr>
        <w:spacing w:after="0" w:line="28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On December 2, 2014, we adopted the 2014 Share Incentive Plan, or the Plan, and, in connection with our initial public offering, we amended and restated the Plan which became effective immediately after the pricing of our initial public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ectPr>
          <w:pgSz w:w="11900" w:h="16838" w:orient="portrait"/>
          <w:cols w:equalWidth="0" w:num="1">
            <w:col w:w="11240"/>
          </w:cols>
          <w:pgMar w:left="320" w:top="125" w:right="339" w:bottom="992"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992" w:gutter="0" w:footer="0" w:header="0"/>
          <w:type w:val="continuous"/>
        </w:sectPr>
      </w:pPr>
    </w:p>
    <w:bookmarkStart w:id="118" w:name="page119"/>
    <w:bookmarkEnd w:id="118"/>
    <w:p>
      <w:pPr>
        <w:jc w:val="both"/>
        <w:ind w:firstLine="648"/>
        <w:spacing w:after="0" w:line="304" w:lineRule="auto"/>
        <w:rPr>
          <w:sz w:val="20"/>
          <w:szCs w:val="20"/>
          <w:color w:val="auto"/>
        </w:rPr>
      </w:pPr>
      <w:r>
        <w:rPr>
          <w:rFonts w:ascii="Arial" w:cs="Arial" w:eastAsia="Arial" w:hAnsi="Arial"/>
          <w:sz w:val="19"/>
          <w:szCs w:val="19"/>
          <w:color w:val="auto"/>
        </w:rPr>
        <w:t>Our board of directors has approved an increase in the maximum aggregate number of ordinary shares that may be issued under the Plan, as amended and restated, to 2,262,230 of our ordinary shares. A shareholder meeting to approve this increase is scheduled for April 8, 2020 in connection with grants under the Plan of incentive stock options under the U.S. Internal Revenue Code. The number of shares that may be issued under the Plan is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 reserved shares and will again be available for grant under the Plan. As of February 28, 2020, we had an aggregate of 2,215,051 ordinary shares available for issuance under the Plan (including ordinary shares underlying outstanding options and restricted share units).</w:t>
      </w:r>
    </w:p>
    <w:p>
      <w:pPr>
        <w:spacing w:after="0" w:line="20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204"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158"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 Any options granted under the Plan to participants in the United States will be either “incentive stock options,” which may be eligible for special tax treatment under the Internal Revenue Code of 1986, or options other than incentive stock options (referred to as “nonqualified stock options”), as determined by our compensation committee or our board of directors and stated in the option agreement.</w:t>
      </w:r>
    </w:p>
    <w:p>
      <w:pPr>
        <w:spacing w:after="0" w:line="218"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19" w:name="page120"/>
    <w:bookmarkEnd w:id="119"/>
    <w:p>
      <w:pPr>
        <w:jc w:val="both"/>
        <w:ind w:firstLine="648"/>
        <w:spacing w:after="0" w:line="273" w:lineRule="auto"/>
        <w:rPr>
          <w:sz w:val="20"/>
          <w:szCs w:val="20"/>
          <w:color w:val="auto"/>
        </w:rPr>
      </w:pPr>
      <w:r>
        <w:rPr>
          <w:rFonts w:ascii="Arial" w:cs="Arial" w:eastAsia="Arial" w:hAnsi="Arial"/>
          <w:sz w:val="21"/>
          <w:szCs w:val="21"/>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237"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209" w:lineRule="exact"/>
        <w:rPr>
          <w:sz w:val="20"/>
          <w:szCs w:val="20"/>
          <w:color w:val="auto"/>
        </w:rPr>
      </w:pPr>
    </w:p>
    <w:p>
      <w:pPr>
        <w:jc w:val="both"/>
        <w:ind w:firstLine="646"/>
        <w:spacing w:after="0" w:line="262" w:lineRule="auto"/>
        <w:rPr>
          <w:sz w:val="20"/>
          <w:szCs w:val="20"/>
          <w:color w:val="auto"/>
        </w:rPr>
      </w:pPr>
      <w:r>
        <w:rPr>
          <w:rFonts w:ascii="Arial" w:cs="Arial" w:eastAsia="Arial" w:hAnsi="Arial"/>
          <w:sz w:val="22"/>
          <w:szCs w:val="22"/>
          <w:color w:val="auto"/>
        </w:rPr>
        <w:t>Any equity award to an office holder, director or controlling shareholder, whether under the Plan or otherwise, may be subject to further approvals in addition to the approval of the compensation committee as described above. As of December 31, 2019, options to purchase 971,460 ordinary shares, at a weighted average exercise price of $3.66 per share, were outstanding under our Plan.</w:t>
      </w:r>
    </w:p>
    <w:p>
      <w:pPr>
        <w:spacing w:after="0" w:line="239"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7.</w:t>
      </w:r>
      <w:r>
        <w:rPr>
          <w:sz w:val="20"/>
          <w:szCs w:val="20"/>
          <w:color w:val="auto"/>
        </w:rPr>
        <w:tab/>
      </w:r>
      <w:r>
        <w:rPr>
          <w:rFonts w:ascii="Arial" w:cs="Arial" w:eastAsia="Arial" w:hAnsi="Arial"/>
          <w:sz w:val="21"/>
          <w:szCs w:val="21"/>
          <w:b w:val="1"/>
          <w:bCs w:val="1"/>
          <w:color w:val="auto"/>
        </w:rPr>
        <w:t>MAJOR SHAREHOLDERS AND RELATED PARTY TRANSACTIONS</w:t>
      </w:r>
    </w:p>
    <w:p>
      <w:pPr>
        <w:spacing w:after="0" w:line="287" w:lineRule="exact"/>
        <w:rPr>
          <w:sz w:val="20"/>
          <w:szCs w:val="20"/>
          <w:color w:val="auto"/>
        </w:rPr>
      </w:pPr>
    </w:p>
    <w:p>
      <w:pPr>
        <w:ind w:left="760" w:hanging="752"/>
        <w:spacing w:after="0"/>
        <w:tabs>
          <w:tab w:leader="none" w:pos="760" w:val="left"/>
        </w:tabs>
        <w:numPr>
          <w:ilvl w:val="0"/>
          <w:numId w:val="100"/>
        </w:numPr>
        <w:rPr>
          <w:rFonts w:ascii="Arial" w:cs="Arial" w:eastAsia="Arial" w:hAnsi="Arial"/>
          <w:sz w:val="22"/>
          <w:szCs w:val="22"/>
          <w:b w:val="1"/>
          <w:bCs w:val="1"/>
          <w:color w:val="auto"/>
        </w:rPr>
      </w:pPr>
      <w:r>
        <w:rPr>
          <w:rFonts w:ascii="Arial" w:cs="Arial" w:eastAsia="Arial" w:hAnsi="Arial"/>
          <w:sz w:val="22"/>
          <w:szCs w:val="22"/>
          <w:b w:val="1"/>
          <w:bCs w:val="1"/>
          <w:color w:val="auto"/>
        </w:rPr>
        <w:t>Major Shareholders</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following table sets forth information with respect to the beneficial ownership of our ordinary shares as of</w:t>
      </w:r>
    </w:p>
    <w:p>
      <w:pPr>
        <w:spacing w:after="0" w:line="33" w:lineRule="exact"/>
        <w:rPr>
          <w:sz w:val="20"/>
          <w:szCs w:val="20"/>
          <w:color w:val="auto"/>
        </w:rPr>
      </w:pPr>
    </w:p>
    <w:p>
      <w:pPr>
        <w:spacing w:after="0"/>
        <w:rPr>
          <w:sz w:val="20"/>
          <w:szCs w:val="20"/>
          <w:color w:val="auto"/>
        </w:rPr>
      </w:pPr>
      <w:r>
        <w:rPr>
          <w:rFonts w:ascii="Arial" w:cs="Arial" w:eastAsia="Arial" w:hAnsi="Arial"/>
          <w:sz w:val="22"/>
          <w:szCs w:val="22"/>
          <w:color w:val="auto"/>
        </w:rPr>
        <w:t>December 31, 2019 by:</w:t>
      </w:r>
    </w:p>
    <w:p>
      <w:pPr>
        <w:spacing w:after="0" w:line="276" w:lineRule="exact"/>
        <w:rPr>
          <w:sz w:val="20"/>
          <w:szCs w:val="20"/>
          <w:color w:val="auto"/>
        </w:rPr>
      </w:pPr>
    </w:p>
    <w:p>
      <w:pPr>
        <w:ind w:left="860" w:hanging="488"/>
        <w:spacing w:after="0"/>
        <w:tabs>
          <w:tab w:leader="none" w:pos="8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each person or entity known by us to own beneficially 5% or more of our outstanding ordinary shares;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each of our directors, executive officers and director nominees;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all of our executive officers, directors and director nominees as a group.</w:t>
      </w:r>
    </w:p>
    <w:p>
      <w:pPr>
        <w:spacing w:after="0" w:line="285"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March 18, 2020,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is based on 22,499,155ordinary shares outstanding as of March 18, 2020.</w:t>
      </w:r>
    </w:p>
    <w:p>
      <w:pPr>
        <w:spacing w:after="0" w:line="209"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Except where otherwise indicated, we believe, based on information furnished to us by such owners, that the beneficial owners of the ordinary shares listed below have sole investment and voting power with respect to such shares.</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20" w:name="page121"/>
    <w:bookmarkEnd w:id="120"/>
    <w:p>
      <w:pPr>
        <w:ind w:firstLine="648"/>
        <w:spacing w:after="0" w:line="276" w:lineRule="auto"/>
        <w:rPr>
          <w:sz w:val="20"/>
          <w:szCs w:val="20"/>
          <w:color w:val="auto"/>
        </w:rPr>
      </w:pPr>
      <w:r>
        <w:rPr>
          <w:rFonts w:ascii="Arial" w:cs="Arial" w:eastAsia="Arial" w:hAnsi="Arial"/>
          <w:sz w:val="22"/>
          <w:szCs w:val="22"/>
          <w:color w:val="auto"/>
        </w:rPr>
        <w:t>None of our shareholders has different voting rights from other shareholders. We are not aware of any arrangement that may, at a subsequent date, result in a change of control of our company.</w:t>
      </w:r>
    </w:p>
    <w:p>
      <w:pPr>
        <w:spacing w:after="0" w:line="228"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Unless otherwise noted below, the address for each beneficial owner is c/o Sol-Gel Technologies Ltd., 7 Golda Meir St., Weizmann Science Park, Ness Ziona, 7403650 Israel.</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40" w:type="dxa"/>
            <w:vAlign w:val="bottom"/>
            <w:gridSpan w:val="5"/>
          </w:tcPr>
          <w:p>
            <w:pPr>
              <w:jc w:val="right"/>
              <w:ind w:right="480"/>
              <w:spacing w:after="0"/>
              <w:rPr>
                <w:sz w:val="20"/>
                <w:szCs w:val="20"/>
                <w:color w:val="auto"/>
              </w:rPr>
            </w:pPr>
            <w:r>
              <w:rPr>
                <w:rFonts w:ascii="Arial" w:cs="Arial" w:eastAsia="Arial" w:hAnsi="Arial"/>
                <w:sz w:val="18"/>
                <w:szCs w:val="18"/>
                <w:b w:val="1"/>
                <w:bCs w:val="1"/>
                <w:color w:val="auto"/>
              </w:rPr>
              <w:t>Shares Beneficially</w:t>
            </w:r>
          </w:p>
        </w:tc>
      </w:tr>
      <w:tr>
        <w:trPr>
          <w:trHeight w:val="241"/>
        </w:trPr>
        <w:tc>
          <w:tcPr>
            <w:tcW w:w="7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40" w:type="dxa"/>
            <w:vAlign w:val="bottom"/>
            <w:gridSpan w:val="5"/>
          </w:tcPr>
          <w:p>
            <w:pPr>
              <w:jc w:val="right"/>
              <w:ind w:right="940"/>
              <w:spacing w:after="0"/>
              <w:rPr>
                <w:sz w:val="20"/>
                <w:szCs w:val="20"/>
                <w:color w:val="auto"/>
              </w:rPr>
            </w:pPr>
            <w:r>
              <w:rPr>
                <w:rFonts w:ascii="Arial" w:cs="Arial" w:eastAsia="Arial" w:hAnsi="Arial"/>
                <w:sz w:val="18"/>
                <w:szCs w:val="18"/>
                <w:b w:val="1"/>
                <w:bCs w:val="1"/>
                <w:color w:val="auto"/>
              </w:rPr>
              <w:t>Owned</w:t>
            </w:r>
          </w:p>
        </w:tc>
      </w:tr>
      <w:tr>
        <w:trPr>
          <w:trHeight w:val="223"/>
        </w:trPr>
        <w:tc>
          <w:tcPr>
            <w:tcW w:w="7320" w:type="dxa"/>
            <w:vAlign w:val="bottom"/>
            <w:gridSpan w:val="2"/>
          </w:tcPr>
          <w:p>
            <w:pPr>
              <w:spacing w:after="0"/>
              <w:rPr>
                <w:sz w:val="20"/>
                <w:szCs w:val="20"/>
                <w:color w:val="auto"/>
              </w:rPr>
            </w:pPr>
            <w:r>
              <w:rPr>
                <w:rFonts w:ascii="Arial" w:cs="Arial" w:eastAsia="Arial" w:hAnsi="Arial"/>
                <w:sz w:val="18"/>
                <w:szCs w:val="18"/>
                <w:b w:val="1"/>
                <w:bCs w:val="1"/>
                <w:color w:val="auto"/>
              </w:rPr>
              <w:t>Name of Beneficial Owner</w:t>
            </w:r>
          </w:p>
        </w:tc>
        <w:tc>
          <w:tcPr>
            <w:tcW w:w="1040" w:type="dxa"/>
            <w:vAlign w:val="bottom"/>
            <w:tcBorders>
              <w:top w:val="single" w:sz="8" w:color="auto"/>
            </w:tcBorders>
            <w:gridSpan w:val="2"/>
          </w:tcPr>
          <w:p>
            <w:pPr>
              <w:ind w:left="140"/>
              <w:spacing w:after="0"/>
              <w:rPr>
                <w:sz w:val="20"/>
                <w:szCs w:val="20"/>
                <w:color w:val="auto"/>
              </w:rPr>
            </w:pPr>
            <w:r>
              <w:rPr>
                <w:rFonts w:ascii="Arial" w:cs="Arial" w:eastAsia="Arial" w:hAnsi="Arial"/>
                <w:sz w:val="18"/>
                <w:szCs w:val="18"/>
                <w:b w:val="1"/>
                <w:bCs w:val="1"/>
                <w:color w:val="auto"/>
              </w:rPr>
              <w:t>Number</w:t>
            </w:r>
          </w:p>
        </w:tc>
        <w:tc>
          <w:tcPr>
            <w:tcW w:w="1040" w:type="dxa"/>
            <w:vAlign w:val="bottom"/>
            <w:tcBorders>
              <w:top w:val="single" w:sz="8" w:color="auto"/>
            </w:tcBorders>
            <w:gridSpan w:val="2"/>
          </w:tcPr>
          <w:p>
            <w:pPr>
              <w:jc w:val="right"/>
              <w:ind w:right="10"/>
              <w:spacing w:after="0"/>
              <w:rPr>
                <w:sz w:val="20"/>
                <w:szCs w:val="20"/>
                <w:color w:val="auto"/>
              </w:rPr>
            </w:pPr>
            <w:r>
              <w:rPr>
                <w:rFonts w:ascii="Arial" w:cs="Arial" w:eastAsia="Arial" w:hAnsi="Arial"/>
                <w:sz w:val="18"/>
                <w:szCs w:val="18"/>
                <w:b w:val="1"/>
                <w:bCs w:val="1"/>
                <w:color w:val="auto"/>
                <w:w w:val="94"/>
              </w:rPr>
              <w:t>Percentage</w:t>
            </w:r>
          </w:p>
        </w:tc>
        <w:tc>
          <w:tcPr>
            <w:tcW w:w="160" w:type="dxa"/>
            <w:vAlign w:val="bottom"/>
          </w:tcPr>
          <w:p>
            <w:pPr>
              <w:spacing w:after="0"/>
              <w:rPr>
                <w:sz w:val="19"/>
                <w:szCs w:val="19"/>
                <w:color w:val="auto"/>
              </w:rPr>
            </w:pPr>
          </w:p>
        </w:tc>
      </w:tr>
      <w:tr>
        <w:trPr>
          <w:trHeight w:val="216"/>
        </w:trPr>
        <w:tc>
          <w:tcPr>
            <w:tcW w:w="7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i w:val="1"/>
                <w:iCs w:val="1"/>
                <w:color w:val="auto"/>
              </w:rPr>
              <w:t>5% or greater shareholders</w:t>
            </w:r>
          </w:p>
        </w:tc>
        <w:tc>
          <w:tcPr>
            <w:tcW w:w="100" w:type="dxa"/>
            <w:vAlign w:val="bottom"/>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M. Arkin Dermatology Ltd. (1)</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13,613,936</w:t>
            </w:r>
          </w:p>
        </w:tc>
        <w:tc>
          <w:tcPr>
            <w:tcW w:w="1200" w:type="dxa"/>
            <w:vAlign w:val="bottom"/>
            <w:gridSpan w:val="3"/>
          </w:tcPr>
          <w:p>
            <w:pPr>
              <w:jc w:val="right"/>
              <w:ind w:right="20"/>
              <w:spacing w:after="0"/>
              <w:rPr>
                <w:sz w:val="20"/>
                <w:szCs w:val="20"/>
                <w:color w:val="auto"/>
              </w:rPr>
            </w:pPr>
            <w:r>
              <w:rPr>
                <w:rFonts w:ascii="Arial" w:cs="Arial" w:eastAsia="Arial" w:hAnsi="Arial"/>
                <w:sz w:val="18"/>
                <w:szCs w:val="18"/>
                <w:color w:val="auto"/>
              </w:rPr>
              <w:t>60.51%</w:t>
            </w:r>
          </w:p>
        </w:tc>
      </w:tr>
      <w:tr>
        <w:trPr>
          <w:trHeight w:val="216"/>
        </w:trPr>
        <w:tc>
          <w:tcPr>
            <w:tcW w:w="7320" w:type="dxa"/>
            <w:vAlign w:val="bottom"/>
            <w:gridSpan w:val="2"/>
            <w:shd w:val="clear" w:color="auto" w:fill="CCEEFF"/>
          </w:tcPr>
          <w:p>
            <w:pPr>
              <w:spacing w:after="0"/>
              <w:rPr>
                <w:sz w:val="18"/>
                <w:szCs w:val="18"/>
                <w:color w:val="auto"/>
              </w:rPr>
            </w:pPr>
          </w:p>
        </w:tc>
        <w:tc>
          <w:tcPr>
            <w:tcW w:w="1040" w:type="dxa"/>
            <w:vAlign w:val="bottom"/>
            <w:gridSpan w:val="2"/>
            <w:shd w:val="clear" w:color="auto" w:fill="CCEEFF"/>
          </w:tcPr>
          <w:p>
            <w:pPr>
              <w:spacing w:after="0"/>
              <w:rPr>
                <w:sz w:val="18"/>
                <w:szCs w:val="18"/>
                <w:color w:val="auto"/>
              </w:rPr>
            </w:pPr>
          </w:p>
        </w:tc>
        <w:tc>
          <w:tcPr>
            <w:tcW w:w="1200" w:type="dxa"/>
            <w:vAlign w:val="bottom"/>
            <w:gridSpan w:val="3"/>
            <w:shd w:val="clear" w:color="auto" w:fill="CCEEFF"/>
          </w:tcPr>
          <w:p>
            <w:pPr>
              <w:spacing w:after="0"/>
              <w:rPr>
                <w:sz w:val="18"/>
                <w:szCs w:val="18"/>
                <w:color w:val="auto"/>
              </w:rPr>
            </w:pP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The Phoenix Holding Ltd. (2)</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2,109,779</w:t>
            </w:r>
          </w:p>
        </w:tc>
        <w:tc>
          <w:tcPr>
            <w:tcW w:w="1200" w:type="dxa"/>
            <w:vAlign w:val="bottom"/>
            <w:gridSpan w:val="3"/>
          </w:tcPr>
          <w:p>
            <w:pPr>
              <w:jc w:val="right"/>
              <w:ind w:right="20"/>
              <w:spacing w:after="0"/>
              <w:rPr>
                <w:sz w:val="20"/>
                <w:szCs w:val="20"/>
                <w:color w:val="auto"/>
              </w:rPr>
            </w:pPr>
            <w:r>
              <w:rPr>
                <w:rFonts w:ascii="Arial" w:cs="Arial" w:eastAsia="Arial" w:hAnsi="Arial"/>
                <w:sz w:val="18"/>
                <w:szCs w:val="18"/>
                <w:color w:val="auto"/>
              </w:rPr>
              <w:t>9.38%</w:t>
            </w:r>
          </w:p>
        </w:tc>
      </w:tr>
      <w:tr>
        <w:trPr>
          <w:trHeight w:val="216"/>
        </w:trPr>
        <w:tc>
          <w:tcPr>
            <w:tcW w:w="7320" w:type="dxa"/>
            <w:vAlign w:val="bottom"/>
            <w:gridSpan w:val="2"/>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Directors, director nominees and executive officers</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Moshe Arkin (1)</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13,699,936</w:t>
            </w:r>
          </w:p>
        </w:tc>
        <w:tc>
          <w:tcPr>
            <w:tcW w:w="12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60.89%</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Alon Seri-Levy (3)</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242,603</w:t>
            </w:r>
          </w:p>
        </w:tc>
        <w:tc>
          <w:tcPr>
            <w:tcW w:w="1200" w:type="dxa"/>
            <w:vAlign w:val="bottom"/>
            <w:gridSpan w:val="3"/>
          </w:tcPr>
          <w:p>
            <w:pPr>
              <w:jc w:val="right"/>
              <w:ind w:right="20"/>
              <w:spacing w:after="0"/>
              <w:rPr>
                <w:sz w:val="20"/>
                <w:szCs w:val="20"/>
                <w:color w:val="auto"/>
              </w:rPr>
            </w:pPr>
            <w:r>
              <w:rPr>
                <w:rFonts w:ascii="Arial" w:cs="Arial" w:eastAsia="Arial" w:hAnsi="Arial"/>
                <w:sz w:val="18"/>
                <w:szCs w:val="18"/>
                <w:color w:val="auto"/>
              </w:rPr>
              <w:t>1.07%</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Gilad Mamlok</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Ofer Toledano</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Ofra Levy-Hacham</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Karine Neimann</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Itzik Yosef</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Dubi Zamir</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John Vieira</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Itai Arkin</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Ran Gottfried</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Jerrold S. Gattegno</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Shmuel Ben Zvi</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Hani Lerman</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Yaffa Krindel Sieradzki</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gridSpan w:val="2"/>
          </w:tcPr>
          <w:p>
            <w:pPr>
              <w:spacing w:after="0"/>
              <w:rPr>
                <w:sz w:val="20"/>
                <w:szCs w:val="20"/>
                <w:color w:val="auto"/>
              </w:rPr>
            </w:pPr>
            <w:r>
              <w:rPr>
                <w:rFonts w:ascii="Arial" w:cs="Arial" w:eastAsia="Arial" w:hAnsi="Arial"/>
                <w:sz w:val="18"/>
                <w:szCs w:val="18"/>
                <w:color w:val="auto"/>
              </w:rPr>
              <w:t>Jonathan Siegel</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r>
      <w:tr>
        <w:trPr>
          <w:trHeight w:val="237"/>
        </w:trPr>
        <w:tc>
          <w:tcPr>
            <w:tcW w:w="7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i w:val="1"/>
                <w:iCs w:val="1"/>
                <w:color w:val="auto"/>
              </w:rPr>
              <w:t>All directors, director nominees and executive officers as a group (16 persons) (1)</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14,328,053</w:t>
            </w: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62.05%</w:t>
            </w:r>
          </w:p>
        </w:tc>
      </w:tr>
      <w:tr>
        <w:trPr>
          <w:trHeight w:val="20"/>
        </w:trPr>
        <w:tc>
          <w:tcPr>
            <w:tcW w:w="7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308610</wp:posOffset>
            </wp:positionV>
            <wp:extent cx="68580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68580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380" w:hanging="372"/>
        <w:spacing w:after="0"/>
        <w:tabs>
          <w:tab w:leader="none" w:pos="3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79" w:lineRule="exact"/>
        <w:rPr>
          <w:rFonts w:ascii="Arial" w:cs="Arial" w:eastAsia="Arial" w:hAnsi="Arial"/>
          <w:sz w:val="18"/>
          <w:szCs w:val="18"/>
          <w:color w:val="auto"/>
        </w:rPr>
      </w:pPr>
    </w:p>
    <w:p>
      <w:pPr>
        <w:jc w:val="both"/>
        <w:ind w:left="860" w:hanging="488"/>
        <w:spacing w:after="0" w:line="259" w:lineRule="auto"/>
        <w:tabs>
          <w:tab w:leader="none" w:pos="8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Based on the Schedule 13D/A filed with the SEC on August 21, 2019, Arkin Dermatology directly owns 13,613,936 ordinary shares. Mr. Moshe Arkin, the chairman of our board of directors, is the sole shareholder and sole director of Arkin Dermatology and may therefore be deemed to be the indirect beneficial owner of the ordinary shares owned directly by Arkin Dermatology. In addition, Mr. Moshe Arkin directly owns 86,000 ordinary shares.</w:t>
      </w:r>
    </w:p>
    <w:p>
      <w:pPr>
        <w:spacing w:after="0" w:line="240" w:lineRule="exact"/>
        <w:rPr>
          <w:rFonts w:ascii="Arial" w:cs="Arial" w:eastAsia="Arial" w:hAnsi="Arial"/>
          <w:sz w:val="18"/>
          <w:szCs w:val="18"/>
          <w:color w:val="auto"/>
        </w:rPr>
      </w:pPr>
    </w:p>
    <w:p>
      <w:pPr>
        <w:jc w:val="both"/>
        <w:ind w:left="860" w:hanging="488"/>
        <w:spacing w:after="0" w:line="257" w:lineRule="auto"/>
        <w:tabs>
          <w:tab w:leader="none" w:pos="8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Based on the Schedule 13G/A filed with the SEC on February 18, 2020, the ordinary shares are beneficially owned by various direct or indirect, majority or wholly-owned subsidiaries of the Phoenix Holding Ltd.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w:t>
      </w:r>
    </w:p>
    <w:p>
      <w:pPr>
        <w:spacing w:after="0" w:line="241" w:lineRule="exact"/>
        <w:rPr>
          <w:rFonts w:ascii="Arial" w:cs="Arial" w:eastAsia="Arial" w:hAnsi="Arial"/>
          <w:sz w:val="18"/>
          <w:szCs w:val="18"/>
          <w:color w:val="auto"/>
        </w:rPr>
      </w:pPr>
    </w:p>
    <w:p>
      <w:pPr>
        <w:ind w:left="860" w:right="20" w:hanging="488"/>
        <w:spacing w:after="0" w:line="277" w:lineRule="auto"/>
        <w:tabs>
          <w:tab w:leader="none" w:pos="86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Consists of options to purchase 242,603 ordinary shares exercisable within 60 days of March 18, 2020. The exercise price of these options ranges between $1.59 and $11.21 per share and the options expire between March 2025 and May 2028.</w:t>
      </w: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21" w:name="page122"/>
    <w:bookmarkEnd w:id="121"/>
    <w:p>
      <w:pPr>
        <w:spacing w:after="0"/>
        <w:rPr>
          <w:sz w:val="20"/>
          <w:szCs w:val="20"/>
          <w:color w:val="auto"/>
        </w:rPr>
      </w:pPr>
      <w:r>
        <w:rPr>
          <w:rFonts w:ascii="Arial" w:cs="Arial" w:eastAsia="Arial" w:hAnsi="Arial"/>
          <w:sz w:val="22"/>
          <w:szCs w:val="22"/>
          <w:i w:val="1"/>
          <w:iCs w:val="1"/>
          <w:color w:val="auto"/>
        </w:rPr>
        <w:t>Record Holders</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As of March 18, 2020, we had one holder of record of our ordinary shares in the United States, consisting of Cede &amp; Co., the nominee of The Depository Trust Company. That shareholder held, in the aggregate, 10,764,086 ordinary shares, representing 47.84% of the outstanding ordinary shares as of March 18, 2020. The number of record holders in the United States is not representative of the number of beneficial holders nor is it representative of where such beneficial holders are resident since many of these ordinary shares were held by brokers or other nominees.</w:t>
      </w:r>
    </w:p>
    <w:p>
      <w:pPr>
        <w:spacing w:after="0" w:line="225" w:lineRule="exact"/>
        <w:rPr>
          <w:sz w:val="20"/>
          <w:szCs w:val="20"/>
          <w:color w:val="auto"/>
        </w:rPr>
      </w:pPr>
    </w:p>
    <w:p>
      <w:pPr>
        <w:ind w:left="860" w:hanging="852"/>
        <w:spacing w:after="0"/>
        <w:tabs>
          <w:tab w:leader="none" w:pos="860" w:val="left"/>
        </w:tabs>
        <w:numPr>
          <w:ilvl w:val="0"/>
          <w:numId w:val="103"/>
        </w:numPr>
        <w:rPr>
          <w:rFonts w:ascii="Arial" w:cs="Arial" w:eastAsia="Arial" w:hAnsi="Arial"/>
          <w:sz w:val="22"/>
          <w:szCs w:val="22"/>
          <w:b w:val="1"/>
          <w:bCs w:val="1"/>
          <w:color w:val="auto"/>
        </w:rPr>
      </w:pPr>
      <w:r>
        <w:rPr>
          <w:rFonts w:ascii="Arial" w:cs="Arial" w:eastAsia="Arial" w:hAnsi="Arial"/>
          <w:sz w:val="22"/>
          <w:szCs w:val="22"/>
          <w:b w:val="1"/>
          <w:bCs w:val="1"/>
          <w:color w:val="auto"/>
        </w:rPr>
        <w:t>Related Party Transactions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Project Transfer from Our Controlling Shareholder</w:t>
      </w:r>
    </w:p>
    <w:p>
      <w:pPr>
        <w:spacing w:after="0" w:line="287" w:lineRule="exact"/>
        <w:rPr>
          <w:sz w:val="20"/>
          <w:szCs w:val="20"/>
          <w:color w:val="auto"/>
        </w:rPr>
      </w:pPr>
    </w:p>
    <w:p>
      <w:pPr>
        <w:jc w:val="both"/>
        <w:ind w:right="20" w:firstLine="648"/>
        <w:spacing w:after="0" w:line="358" w:lineRule="auto"/>
        <w:rPr>
          <w:sz w:val="20"/>
          <w:szCs w:val="20"/>
          <w:color w:val="auto"/>
        </w:rPr>
      </w:pPr>
      <w:r>
        <w:rPr>
          <w:rFonts w:ascii="Arial" w:cs="Arial" w:eastAsia="Arial" w:hAnsi="Arial"/>
          <w:sz w:val="19"/>
          <w:szCs w:val="19"/>
          <w:color w:val="auto"/>
        </w:rPr>
        <w:t>On August 22, 2017, our controlling shareholder, Arkin Dermatology, transferred an in-process research and development generic product candidate to us, in consideration of one ordinary share (two ordinary shares after giving effect to the stock split).</w:t>
      </w:r>
    </w:p>
    <w:p>
      <w:pPr>
        <w:spacing w:after="0" w:line="15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Loan Agreements with Our Controlling Shareholder</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From January 1, 2014 until June 28, 2017, we received several loans in an aggregate principal amount of approximately $65.34 million from Mr. Moshe Arkin, our controlling shareholder. These loans were denominated in U.S. dollars, bore no interest and were backed by a promissory note, or the Promissory Note. The Promissory Note was an unsecured note, had no repayment date and was subject to acceleration in certain events of default.</w:t>
      </w:r>
    </w:p>
    <w:p>
      <w:pPr>
        <w:spacing w:after="0" w:line="24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The Promissory Note was automatically converted into an aggregate of 5,444,825 ordinary shares immediately prior to the closing of our initial public offering. The number of shares issued upon conversion of the promissory note was determined by dividing the principal amount of the promissory note at the time of conversion by the initial public offering price per ordinary share in our initial public offering. The Promissory Note was assigned to Arkin Dermatology immediately prior to the automatic conversion thereof, and the ordinary shares issued pursuant to the automatic conversion of the Promissory Note are held by Arkin Dermatology. Mr. Moshe Arkin, the chairman of our board of directors, owns 100% of the share capital of Arkin Dermatology.</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Participation in Our Initial Public Offering</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According to Form 13D filed by it on February 12, 2018, our controlling shareholder, Arkin Dermatology, which is wholly-owned by the chairman of our board of directors, purchased 1,833,333 of our ordinary shares in our initial public offering in consideration for $22.0 million, on the same terms as the other purchasers in the offering.</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Directors and Officers Insurance Policy and Indemnification Agreements</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Our amended and restated articles of association permit us to exculpate, indemnify and insure each of our directors and officers to the fullest extent permitted by the Companies Law. We have obtained Directors and Officers insurance for each of our executive officers and directors. For further information, see “Item 6 C. – Board Practices – Exculpation, Insurance and Indemnification of Directors and Officers”.</w:t>
      </w:r>
    </w:p>
    <w:p>
      <w:pPr>
        <w:spacing w:after="0" w:line="24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We entered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our initial public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ectPr>
          <w:pgSz w:w="11900" w:h="16838" w:orient="portrait"/>
          <w:cols w:equalWidth="0" w:num="1">
            <w:col w:w="11240"/>
          </w:cols>
          <w:pgMar w:left="320" w:top="132" w:right="339" w:bottom="1440" w:gutter="0" w:footer="0" w:header="0"/>
        </w:sect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22" w:name="page123"/>
    <w:bookmarkEnd w:id="122"/>
    <w:p>
      <w:pPr>
        <w:spacing w:after="0"/>
        <w:rPr>
          <w:sz w:val="20"/>
          <w:szCs w:val="20"/>
          <w:color w:val="auto"/>
        </w:rPr>
      </w:pPr>
      <w:r>
        <w:rPr>
          <w:rFonts w:ascii="Arial" w:cs="Arial" w:eastAsia="Arial" w:hAnsi="Arial"/>
          <w:sz w:val="22"/>
          <w:szCs w:val="22"/>
          <w:i w:val="1"/>
          <w:iCs w:val="1"/>
          <w:color w:val="auto"/>
        </w:rPr>
        <w:t>Registration Rights Agreement</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entered into a registration rights agreement, pursuant to which we granted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with the underwriters in connection with our initial public offering.</w:t>
      </w:r>
    </w:p>
    <w:p>
      <w:pPr>
        <w:spacing w:after="0" w:line="238" w:lineRule="exact"/>
        <w:rPr>
          <w:sz w:val="20"/>
          <w:szCs w:val="20"/>
          <w:color w:val="auto"/>
        </w:rPr>
      </w:pPr>
    </w:p>
    <w:p>
      <w:pPr>
        <w:ind w:left="760" w:hanging="752"/>
        <w:spacing w:after="0"/>
        <w:tabs>
          <w:tab w:leader="none" w:pos="760" w:val="left"/>
        </w:tabs>
        <w:numPr>
          <w:ilvl w:val="0"/>
          <w:numId w:val="104"/>
        </w:numPr>
        <w:rPr>
          <w:rFonts w:ascii="Arial" w:cs="Arial" w:eastAsia="Arial" w:hAnsi="Arial"/>
          <w:sz w:val="22"/>
          <w:szCs w:val="22"/>
          <w:b w:val="1"/>
          <w:bCs w:val="1"/>
          <w:color w:val="auto"/>
        </w:rPr>
      </w:pPr>
      <w:r>
        <w:rPr>
          <w:rFonts w:ascii="Arial" w:cs="Arial" w:eastAsia="Arial" w:hAnsi="Arial"/>
          <w:sz w:val="22"/>
          <w:szCs w:val="22"/>
          <w:b w:val="1"/>
          <w:bCs w:val="1"/>
          <w:color w:val="auto"/>
        </w:rPr>
        <w:t>Interests of Experts and Counsel</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22"/>
          <w:szCs w:val="22"/>
          <w:b w:val="1"/>
          <w:bCs w:val="1"/>
          <w:color w:val="auto"/>
        </w:rPr>
        <w:t>FINANCIAL INFORMATION</w:t>
      </w:r>
    </w:p>
    <w:p>
      <w:pPr>
        <w:spacing w:after="0" w:line="287" w:lineRule="exact"/>
        <w:rPr>
          <w:sz w:val="20"/>
          <w:szCs w:val="20"/>
          <w:color w:val="auto"/>
        </w:rPr>
      </w:pPr>
    </w:p>
    <w:p>
      <w:pPr>
        <w:ind w:left="860" w:hanging="852"/>
        <w:spacing w:after="0"/>
        <w:tabs>
          <w:tab w:leader="none" w:pos="860" w:val="left"/>
        </w:tabs>
        <w:numPr>
          <w:ilvl w:val="0"/>
          <w:numId w:val="105"/>
        </w:numPr>
        <w:rPr>
          <w:rFonts w:ascii="Arial" w:cs="Arial" w:eastAsia="Arial" w:hAnsi="Arial"/>
          <w:sz w:val="22"/>
          <w:szCs w:val="22"/>
          <w:b w:val="1"/>
          <w:bCs w:val="1"/>
          <w:color w:val="auto"/>
        </w:rPr>
      </w:pPr>
      <w:r>
        <w:rPr>
          <w:rFonts w:ascii="Arial" w:cs="Arial" w:eastAsia="Arial" w:hAnsi="Arial"/>
          <w:sz w:val="22"/>
          <w:szCs w:val="22"/>
          <w:b w:val="1"/>
          <w:bCs w:val="1"/>
          <w:color w:val="auto"/>
        </w:rPr>
        <w:t>Financial Statements and Other Financial Information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The financial statements required by this item are found at the end of this annual report, beginning on page F-2.</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Legal Proceedings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We are not currently a party to any material legal proceedings.</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Dividend Policy</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23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198" w:lineRule="exact"/>
        <w:rPr>
          <w:sz w:val="20"/>
          <w:szCs w:val="20"/>
          <w:color w:val="auto"/>
        </w:rPr>
      </w:pPr>
    </w:p>
    <w:p>
      <w:pPr>
        <w:ind w:left="740" w:hanging="732"/>
        <w:spacing w:after="0"/>
        <w:tabs>
          <w:tab w:leader="none" w:pos="740" w:val="left"/>
        </w:tabs>
        <w:numPr>
          <w:ilvl w:val="0"/>
          <w:numId w:val="106"/>
        </w:numPr>
        <w:rPr>
          <w:rFonts w:ascii="Arial" w:cs="Arial" w:eastAsia="Arial" w:hAnsi="Arial"/>
          <w:sz w:val="22"/>
          <w:szCs w:val="22"/>
          <w:b w:val="1"/>
          <w:bCs w:val="1"/>
          <w:color w:val="auto"/>
        </w:rPr>
      </w:pPr>
      <w:r>
        <w:rPr>
          <w:rFonts w:ascii="Arial" w:cs="Arial" w:eastAsia="Arial" w:hAnsi="Arial"/>
          <w:sz w:val="22"/>
          <w:szCs w:val="22"/>
          <w:b w:val="1"/>
          <w:bCs w:val="1"/>
          <w:color w:val="auto"/>
        </w:rPr>
        <w:t>Significant Changes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Except as otherwise disclosed in this annual report, no significant change has occurred since December 31, 2019.</w:t>
      </w:r>
    </w:p>
    <w:p>
      <w:pPr>
        <w:spacing w:after="0" w:line="281"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22"/>
          <w:szCs w:val="22"/>
          <w:b w:val="1"/>
          <w:bCs w:val="1"/>
          <w:color w:val="auto"/>
        </w:rPr>
        <w:t>THE OFFER AND LISTING</w:t>
      </w:r>
    </w:p>
    <w:p>
      <w:pPr>
        <w:spacing w:after="0" w:line="287" w:lineRule="exact"/>
        <w:rPr>
          <w:sz w:val="20"/>
          <w:szCs w:val="20"/>
          <w:color w:val="auto"/>
        </w:rPr>
      </w:pPr>
    </w:p>
    <w:p>
      <w:pPr>
        <w:ind w:left="760" w:hanging="752"/>
        <w:spacing w:after="0"/>
        <w:tabs>
          <w:tab w:leader="none" w:pos="760" w:val="left"/>
        </w:tabs>
        <w:numPr>
          <w:ilvl w:val="0"/>
          <w:numId w:val="107"/>
        </w:numPr>
        <w:rPr>
          <w:rFonts w:ascii="Arial" w:cs="Arial" w:eastAsia="Arial" w:hAnsi="Arial"/>
          <w:sz w:val="22"/>
          <w:szCs w:val="22"/>
          <w:b w:val="1"/>
          <w:bCs w:val="1"/>
          <w:color w:val="auto"/>
        </w:rPr>
      </w:pPr>
      <w:r>
        <w:rPr>
          <w:rFonts w:ascii="Arial" w:cs="Arial" w:eastAsia="Arial" w:hAnsi="Arial"/>
          <w:sz w:val="22"/>
          <w:szCs w:val="22"/>
          <w:b w:val="1"/>
          <w:bCs w:val="1"/>
          <w:color w:val="auto"/>
        </w:rPr>
        <w:t>Offer and Listing Details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Ordinary Shares have been trading on The Nasdaq Global Market under the symbol “SLGL” since February 1, 2018. Prior to that date, there was no public trading market for our Ordinary Shares. Our initial public offering was priced at $12.00 per share on January 31, 2018.</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23" w:name="page124"/>
    <w:bookmarkEnd w:id="123"/>
    <w:p>
      <w:pPr>
        <w:ind w:left="660"/>
        <w:spacing w:after="0"/>
        <w:rPr>
          <w:sz w:val="20"/>
          <w:szCs w:val="20"/>
          <w:color w:val="auto"/>
        </w:rPr>
      </w:pPr>
      <w:r>
        <w:rPr>
          <w:rFonts w:ascii="Arial" w:cs="Arial" w:eastAsia="Arial" w:hAnsi="Arial"/>
          <w:sz w:val="19"/>
          <w:szCs w:val="19"/>
          <w:color w:val="auto"/>
        </w:rPr>
        <w:t>On March 18, 2020, the last reported closing price of our Ordinary Shares on The Nasdaq Global Market was $5.88 per</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share.</w:t>
      </w:r>
    </w:p>
    <w:p>
      <w:pPr>
        <w:spacing w:after="0" w:line="277" w:lineRule="exact"/>
        <w:rPr>
          <w:sz w:val="20"/>
          <w:szCs w:val="20"/>
          <w:color w:val="auto"/>
        </w:rPr>
      </w:pPr>
    </w:p>
    <w:p>
      <w:pPr>
        <w:ind w:left="740" w:hanging="732"/>
        <w:spacing w:after="0"/>
        <w:tabs>
          <w:tab w:leader="none" w:pos="740" w:val="left"/>
        </w:tabs>
        <w:numPr>
          <w:ilvl w:val="0"/>
          <w:numId w:val="108"/>
        </w:numPr>
        <w:rPr>
          <w:rFonts w:ascii="Arial" w:cs="Arial" w:eastAsia="Arial" w:hAnsi="Arial"/>
          <w:sz w:val="22"/>
          <w:szCs w:val="22"/>
          <w:b w:val="1"/>
          <w:bCs w:val="1"/>
          <w:color w:val="auto"/>
        </w:rPr>
      </w:pPr>
      <w:r>
        <w:rPr>
          <w:rFonts w:ascii="Arial" w:cs="Arial" w:eastAsia="Arial" w:hAnsi="Arial"/>
          <w:sz w:val="22"/>
          <w:szCs w:val="22"/>
          <w:b w:val="1"/>
          <w:bCs w:val="1"/>
          <w:color w:val="auto"/>
        </w:rPr>
        <w:t>Plan of Distribution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60" w:hanging="752"/>
        <w:spacing w:after="0"/>
        <w:tabs>
          <w:tab w:leader="none" w:pos="760" w:val="left"/>
        </w:tabs>
        <w:numPr>
          <w:ilvl w:val="0"/>
          <w:numId w:val="109"/>
        </w:numPr>
        <w:rPr>
          <w:rFonts w:ascii="Arial" w:cs="Arial" w:eastAsia="Arial" w:hAnsi="Arial"/>
          <w:sz w:val="22"/>
          <w:szCs w:val="22"/>
          <w:b w:val="1"/>
          <w:bCs w:val="1"/>
          <w:color w:val="auto"/>
        </w:rPr>
      </w:pPr>
      <w:r>
        <w:rPr>
          <w:rFonts w:ascii="Arial" w:cs="Arial" w:eastAsia="Arial" w:hAnsi="Arial"/>
          <w:sz w:val="22"/>
          <w:szCs w:val="22"/>
          <w:b w:val="1"/>
          <w:bCs w:val="1"/>
          <w:color w:val="auto"/>
        </w:rPr>
        <w:t>Markets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Our Ordinary Shares are listed and traded on The Nasdaq Global Market under the symbol “SLGL”.</w:t>
      </w:r>
    </w:p>
    <w:p>
      <w:pPr>
        <w:spacing w:after="0" w:line="281" w:lineRule="exact"/>
        <w:rPr>
          <w:sz w:val="20"/>
          <w:szCs w:val="20"/>
          <w:color w:val="auto"/>
        </w:rPr>
      </w:pPr>
    </w:p>
    <w:p>
      <w:pPr>
        <w:ind w:left="760" w:hanging="752"/>
        <w:spacing w:after="0"/>
        <w:tabs>
          <w:tab w:leader="none" w:pos="760" w:val="left"/>
        </w:tabs>
        <w:numPr>
          <w:ilvl w:val="0"/>
          <w:numId w:val="110"/>
        </w:numPr>
        <w:rPr>
          <w:rFonts w:ascii="Arial" w:cs="Arial" w:eastAsia="Arial" w:hAnsi="Arial"/>
          <w:sz w:val="22"/>
          <w:szCs w:val="22"/>
          <w:b w:val="1"/>
          <w:bCs w:val="1"/>
          <w:color w:val="auto"/>
        </w:rPr>
      </w:pPr>
      <w:r>
        <w:rPr>
          <w:rFonts w:ascii="Arial" w:cs="Arial" w:eastAsia="Arial" w:hAnsi="Arial"/>
          <w:sz w:val="22"/>
          <w:szCs w:val="22"/>
          <w:b w:val="1"/>
          <w:bCs w:val="1"/>
          <w:color w:val="auto"/>
        </w:rPr>
        <w:t>Selling Shareholders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40" w:hanging="732"/>
        <w:spacing w:after="0"/>
        <w:tabs>
          <w:tab w:leader="none" w:pos="740" w:val="left"/>
        </w:tabs>
        <w:numPr>
          <w:ilvl w:val="0"/>
          <w:numId w:val="111"/>
        </w:numPr>
        <w:rPr>
          <w:rFonts w:ascii="Arial" w:cs="Arial" w:eastAsia="Arial" w:hAnsi="Arial"/>
          <w:sz w:val="22"/>
          <w:szCs w:val="22"/>
          <w:b w:val="1"/>
          <w:bCs w:val="1"/>
          <w:color w:val="auto"/>
        </w:rPr>
      </w:pPr>
      <w:r>
        <w:rPr>
          <w:rFonts w:ascii="Arial" w:cs="Arial" w:eastAsia="Arial" w:hAnsi="Arial"/>
          <w:sz w:val="22"/>
          <w:szCs w:val="22"/>
          <w:b w:val="1"/>
          <w:bCs w:val="1"/>
          <w:color w:val="auto"/>
        </w:rPr>
        <w:t>Dilution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20" w:hanging="712"/>
        <w:spacing w:after="0"/>
        <w:tabs>
          <w:tab w:leader="none" w:pos="720" w:val="left"/>
        </w:tabs>
        <w:numPr>
          <w:ilvl w:val="0"/>
          <w:numId w:val="112"/>
        </w:numPr>
        <w:rPr>
          <w:rFonts w:ascii="Arial" w:cs="Arial" w:eastAsia="Arial" w:hAnsi="Arial"/>
          <w:sz w:val="22"/>
          <w:szCs w:val="22"/>
          <w:b w:val="1"/>
          <w:bCs w:val="1"/>
          <w:color w:val="auto"/>
        </w:rPr>
      </w:pPr>
      <w:r>
        <w:rPr>
          <w:rFonts w:ascii="Arial" w:cs="Arial" w:eastAsia="Arial" w:hAnsi="Arial"/>
          <w:sz w:val="22"/>
          <w:szCs w:val="22"/>
          <w:b w:val="1"/>
          <w:bCs w:val="1"/>
          <w:color w:val="auto"/>
        </w:rPr>
        <w:t>Expenses of the Issue</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10.</w:t>
      </w:r>
      <w:r>
        <w:rPr>
          <w:sz w:val="20"/>
          <w:szCs w:val="20"/>
          <w:color w:val="auto"/>
        </w:rPr>
        <w:tab/>
      </w:r>
      <w:r>
        <w:rPr>
          <w:rFonts w:ascii="Arial" w:cs="Arial" w:eastAsia="Arial" w:hAnsi="Arial"/>
          <w:sz w:val="22"/>
          <w:szCs w:val="22"/>
          <w:b w:val="1"/>
          <w:bCs w:val="1"/>
          <w:color w:val="auto"/>
        </w:rPr>
        <w:t>ADDITIONAL INFORMATION</w:t>
      </w:r>
    </w:p>
    <w:p>
      <w:pPr>
        <w:spacing w:after="0" w:line="287" w:lineRule="exact"/>
        <w:rPr>
          <w:sz w:val="20"/>
          <w:szCs w:val="20"/>
          <w:color w:val="auto"/>
        </w:rPr>
      </w:pPr>
    </w:p>
    <w:p>
      <w:pPr>
        <w:ind w:left="760" w:hanging="752"/>
        <w:spacing w:after="0"/>
        <w:tabs>
          <w:tab w:leader="none" w:pos="760" w:val="left"/>
        </w:tabs>
        <w:numPr>
          <w:ilvl w:val="0"/>
          <w:numId w:val="113"/>
        </w:numPr>
        <w:rPr>
          <w:rFonts w:ascii="Arial" w:cs="Arial" w:eastAsia="Arial" w:hAnsi="Arial"/>
          <w:sz w:val="22"/>
          <w:szCs w:val="22"/>
          <w:b w:val="1"/>
          <w:bCs w:val="1"/>
          <w:color w:val="auto"/>
        </w:rPr>
      </w:pPr>
      <w:r>
        <w:rPr>
          <w:rFonts w:ascii="Arial" w:cs="Arial" w:eastAsia="Arial" w:hAnsi="Arial"/>
          <w:sz w:val="22"/>
          <w:szCs w:val="22"/>
          <w:b w:val="1"/>
          <w:bCs w:val="1"/>
          <w:color w:val="auto"/>
        </w:rPr>
        <w:t>Share Capital</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right="6440" w:firstLine="8"/>
        <w:spacing w:after="0" w:line="596" w:lineRule="auto"/>
        <w:tabs>
          <w:tab w:leader="none" w:pos="738" w:val="left"/>
        </w:tabs>
        <w:numPr>
          <w:ilvl w:val="0"/>
          <w:numId w:val="114"/>
        </w:numPr>
        <w:rPr>
          <w:rFonts w:ascii="Arial" w:cs="Arial" w:eastAsia="Arial" w:hAnsi="Arial"/>
          <w:sz w:val="19"/>
          <w:szCs w:val="19"/>
          <w:b w:val="1"/>
          <w:bCs w:val="1"/>
          <w:color w:val="auto"/>
        </w:rPr>
      </w:pPr>
      <w:r>
        <w:rPr>
          <w:rFonts w:ascii="Arial" w:cs="Arial" w:eastAsia="Arial" w:hAnsi="Arial"/>
          <w:sz w:val="19"/>
          <w:szCs w:val="19"/>
          <w:b w:val="1"/>
          <w:bCs w:val="1"/>
          <w:color w:val="auto"/>
        </w:rPr>
        <w:t>Memorandum and Articles of Association Registration Number and Purposes of the Company</w:t>
      </w:r>
    </w:p>
    <w:p>
      <w:pPr>
        <w:spacing w:after="0" w:line="1"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Our registration number with the Israeli Registrar of Companies is 51-254469-3. Our purpose as set forth in our amended and restated articles of association is to engage in any lawful activity.</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Voting Rights and Conversion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All ordinary shares will have identical voting and other rights in all respects.</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Transfer of Shares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Liability to Further Capital Calls</w:t>
      </w:r>
    </w:p>
    <w:p>
      <w:pPr>
        <w:spacing w:after="0" w:line="293"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ectPr>
          <w:pgSz w:w="11900" w:h="16838" w:orient="portrait"/>
          <w:cols w:equalWidth="0" w:num="1">
            <w:col w:w="11240"/>
          </w:cols>
          <w:pgMar w:left="320" w:top="132" w:right="339" w:bottom="101" w:gutter="0" w:footer="0" w:header="0"/>
        </w:sect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01" w:gutter="0" w:footer="0" w:header="0"/>
          <w:type w:val="continuous"/>
        </w:sectPr>
      </w:pPr>
    </w:p>
    <w:bookmarkStart w:id="124" w:name="page125"/>
    <w:bookmarkEnd w:id="124"/>
    <w:p>
      <w:pPr>
        <w:spacing w:after="0"/>
        <w:rPr>
          <w:sz w:val="20"/>
          <w:szCs w:val="20"/>
          <w:color w:val="auto"/>
        </w:rPr>
      </w:pPr>
      <w:r>
        <w:rPr>
          <w:rFonts w:ascii="Arial" w:cs="Arial" w:eastAsia="Arial" w:hAnsi="Arial"/>
          <w:sz w:val="22"/>
          <w:szCs w:val="22"/>
          <w:b w:val="1"/>
          <w:bCs w:val="1"/>
          <w:color w:val="auto"/>
        </w:rPr>
        <w:t>Election of Directors</w:t>
      </w:r>
    </w:p>
    <w:p>
      <w:pPr>
        <w:spacing w:after="0" w:line="29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24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9"/>
          <w:szCs w:val="19"/>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 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“Item 6. Directors, Senior Management and Employees — C. Board Practices — Appointment of Directors and Terms of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“Item 6. Directors, Senior Management and Employees — C. Board Practices — External Directors — Election and Dismissal of External Directors.”</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Dividend and Liquidation Rights</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244"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236" w:lineRule="exact"/>
        <w:rPr>
          <w:sz w:val="20"/>
          <w:szCs w:val="20"/>
          <w:color w:val="auto"/>
        </w:rPr>
      </w:pPr>
    </w:p>
    <w:p>
      <w:pPr>
        <w:jc w:val="both"/>
        <w:ind w:firstLine="646"/>
        <w:spacing w:after="0" w:line="262" w:lineRule="auto"/>
        <w:rPr>
          <w:sz w:val="20"/>
          <w:szCs w:val="20"/>
          <w:color w:val="auto"/>
        </w:rPr>
      </w:pPr>
      <w:r>
        <w:rPr>
          <w:rFonts w:ascii="Arial" w:cs="Arial" w:eastAsia="Arial" w:hAnsi="Arial"/>
          <w:sz w:val="22"/>
          <w:szCs w:val="22"/>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25" w:name="page126"/>
    <w:bookmarkEnd w:id="125"/>
    <w:p>
      <w:pPr>
        <w:spacing w:after="0"/>
        <w:rPr>
          <w:sz w:val="20"/>
          <w:szCs w:val="20"/>
          <w:color w:val="auto"/>
        </w:rPr>
      </w:pPr>
      <w:r>
        <w:rPr>
          <w:rFonts w:ascii="Arial" w:cs="Arial" w:eastAsia="Arial" w:hAnsi="Arial"/>
          <w:sz w:val="22"/>
          <w:szCs w:val="22"/>
          <w:b w:val="1"/>
          <w:bCs w:val="1"/>
          <w:color w:val="auto"/>
        </w:rPr>
        <w:t>Shareholder Meetings</w:t>
      </w:r>
    </w:p>
    <w:p>
      <w:pPr>
        <w:spacing w:after="0" w:line="29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20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23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221" w:lineRule="exact"/>
        <w:rPr>
          <w:sz w:val="20"/>
          <w:szCs w:val="20"/>
          <w:color w:val="auto"/>
        </w:rPr>
      </w:pPr>
    </w:p>
    <w:p>
      <w:pPr>
        <w:ind w:left="860" w:hanging="488"/>
        <w:spacing w:after="0"/>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amendments to our amended and restated articles of association;</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appointment or termination of our auditors;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appointment of external directors;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approval of certain related party transactions;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increases or reductions of our authorized share capital;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mergers; 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23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Voting Rights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Quorum Requirements</w:t>
      </w:r>
    </w:p>
    <w:p>
      <w:pPr>
        <w:spacing w:after="0" w:line="287"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331⁄3%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331⁄3% of the issued share capital as required under the Nasdaq Marketplace Rules.</w:t>
      </w:r>
    </w:p>
    <w:p>
      <w:pPr>
        <w:sectPr>
          <w:pgSz w:w="11900" w:h="16838" w:orient="portrait"/>
          <w:cols w:equalWidth="0" w:num="1">
            <w:col w:w="11240"/>
          </w:cols>
          <w:pgMar w:left="320" w:top="126" w:right="339" w:bottom="263" w:gutter="0" w:footer="0" w:header="0"/>
        </w:sect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263" w:gutter="0" w:footer="0" w:header="0"/>
          <w:type w:val="continuous"/>
        </w:sectPr>
      </w:pPr>
    </w:p>
    <w:bookmarkStart w:id="126" w:name="page127"/>
    <w:bookmarkEnd w:id="126"/>
    <w:p>
      <w:pPr>
        <w:spacing w:after="0"/>
        <w:rPr>
          <w:sz w:val="20"/>
          <w:szCs w:val="20"/>
          <w:color w:val="auto"/>
        </w:rPr>
      </w:pPr>
      <w:r>
        <w:rPr>
          <w:rFonts w:ascii="Arial" w:cs="Arial" w:eastAsia="Arial" w:hAnsi="Arial"/>
          <w:sz w:val="22"/>
          <w:szCs w:val="22"/>
          <w:b w:val="1"/>
          <w:bCs w:val="1"/>
          <w:i w:val="1"/>
          <w:iCs w:val="1"/>
          <w:color w:val="auto"/>
        </w:rPr>
        <w:t>Vote Requirements</w:t>
      </w:r>
    </w:p>
    <w:p>
      <w:pPr>
        <w:spacing w:after="0" w:line="287"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 of association, an amendment to our amended and restated articles of association regarding any change of the composition or election procedures of our directors will require a special majority vote (662⁄3%).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Access to Corporate Records</w:t>
      </w:r>
    </w:p>
    <w:p>
      <w:pPr>
        <w:spacing w:after="0" w:line="293"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Modification of Class Rights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Registration Rights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For a discussion of registration rights we granted to our controlling shareholder in connection with the closing of our initial public offering, please see “Item 7. Major Shareholders and Related Party Transactions – Related Party Transactions — Registration Rights Agreement.”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27" w:name="page128"/>
    <w:bookmarkEnd w:id="127"/>
    <w:p>
      <w:pPr>
        <w:spacing w:after="0"/>
        <w:rPr>
          <w:sz w:val="20"/>
          <w:szCs w:val="20"/>
          <w:color w:val="auto"/>
        </w:rPr>
      </w:pPr>
      <w:r>
        <w:rPr>
          <w:rFonts w:ascii="Arial" w:cs="Arial" w:eastAsia="Arial" w:hAnsi="Arial"/>
          <w:sz w:val="22"/>
          <w:szCs w:val="22"/>
          <w:b w:val="1"/>
          <w:bCs w:val="1"/>
          <w:color w:val="auto"/>
        </w:rPr>
        <w:t>Acquisitions under Israeli Law</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Full Tender Offer</w:t>
      </w:r>
    </w:p>
    <w:p>
      <w:pPr>
        <w:spacing w:after="0" w:line="287"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 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212"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20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Special Tender Offer</w:t>
      </w:r>
    </w:p>
    <w:p>
      <w:pPr>
        <w:spacing w:after="0" w:line="2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24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216" w:lineRule="exact"/>
        <w:rPr>
          <w:sz w:val="20"/>
          <w:szCs w:val="20"/>
          <w:color w:val="auto"/>
        </w:rPr>
      </w:pPr>
    </w:p>
    <w:p>
      <w:pPr>
        <w:spacing w:after="0"/>
        <w:rPr>
          <w:sz w:val="20"/>
          <w:szCs w:val="20"/>
          <w:color w:val="auto"/>
        </w:rPr>
      </w:pPr>
      <w:r>
        <w:rPr>
          <w:rFonts w:ascii="Arial" w:cs="Arial" w:eastAsia="Arial" w:hAnsi="Arial"/>
          <w:sz w:val="22"/>
          <w:szCs w:val="22"/>
          <w:color w:val="auto"/>
        </w:rPr>
        <w:t>Under the DGCL there are no provisions relating to mandatory tender offers.</w:t>
      </w:r>
    </w:p>
    <w:p>
      <w:pPr>
        <w:sectPr>
          <w:pgSz w:w="11900" w:h="16838" w:orient="portrait"/>
          <w:cols w:equalWidth="0" w:num="1">
            <w:col w:w="11240"/>
          </w:cols>
          <w:pgMar w:left="320" w:top="126" w:right="339" w:bottom="1440" w:gutter="0" w:footer="0" w:header="0"/>
        </w:sect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128" w:name="page129"/>
    <w:bookmarkEnd w:id="128"/>
    <w:p>
      <w:pPr>
        <w:spacing w:after="0"/>
        <w:rPr>
          <w:sz w:val="20"/>
          <w:szCs w:val="20"/>
          <w:color w:val="auto"/>
        </w:rPr>
      </w:pPr>
      <w:r>
        <w:rPr>
          <w:rFonts w:ascii="Arial" w:cs="Arial" w:eastAsia="Arial" w:hAnsi="Arial"/>
          <w:sz w:val="22"/>
          <w:szCs w:val="22"/>
          <w:b w:val="1"/>
          <w:bCs w:val="1"/>
          <w:i w:val="1"/>
          <w:iCs w:val="1"/>
          <w:color w:val="auto"/>
        </w:rPr>
        <w:t>Merger</w:t>
      </w:r>
    </w:p>
    <w:p>
      <w:pPr>
        <w:spacing w:after="0" w:line="287"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The Companies Law permits merger transactions if approved by each party’s board of directors and, unless certain requirements described under the Companies Law are met, by a majority vote of each party’s shares, and, in the case of the target company, a majority vote of each class of its shares voted on the proposed merger at a shareholders meeting.</w:t>
      </w:r>
    </w:p>
    <w:p>
      <w:pPr>
        <w:spacing w:after="0" w:line="18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237"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196"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22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Anti-Takeover Measures under Israeli Law</w:t>
      </w:r>
    </w:p>
    <w:p>
      <w:pPr>
        <w:spacing w:after="0" w:line="2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date of this annual report, no preferred shares are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241"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ectPr>
          <w:pgSz w:w="11900" w:h="16838" w:orient="portrait"/>
          <w:cols w:equalWidth="0" w:num="1">
            <w:col w:w="11240"/>
          </w:cols>
          <w:pgMar w:left="320" w:top="132" w:right="339" w:bottom="1440" w:gutter="0" w:footer="0" w:header="0"/>
        </w:sect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29" w:name="page130"/>
    <w:bookmarkEnd w:id="129"/>
    <w:p>
      <w:pPr>
        <w:spacing w:after="0"/>
        <w:rPr>
          <w:sz w:val="20"/>
          <w:szCs w:val="20"/>
          <w:color w:val="auto"/>
        </w:rPr>
      </w:pPr>
      <w:r>
        <w:rPr>
          <w:rFonts w:ascii="Arial" w:cs="Arial" w:eastAsia="Arial" w:hAnsi="Arial"/>
          <w:sz w:val="22"/>
          <w:szCs w:val="22"/>
          <w:b w:val="1"/>
          <w:bCs w:val="1"/>
          <w:color w:val="auto"/>
        </w:rPr>
        <w:t>Borrowing Powers</w:t>
      </w:r>
    </w:p>
    <w:p>
      <w:pPr>
        <w:spacing w:after="0" w:line="293"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Changes in Capital</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Transfer Agent and Registrar</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transfer agent and registrar for our ordinary shares is American Stock Transfer &amp; Trust Company, LLC.</w:t>
      </w:r>
    </w:p>
    <w:p>
      <w:pPr>
        <w:spacing w:after="0" w:line="281" w:lineRule="exact"/>
        <w:rPr>
          <w:sz w:val="20"/>
          <w:szCs w:val="20"/>
          <w:color w:val="auto"/>
        </w:rPr>
      </w:pPr>
    </w:p>
    <w:p>
      <w:pPr>
        <w:ind w:left="760" w:hanging="752"/>
        <w:spacing w:after="0"/>
        <w:tabs>
          <w:tab w:leader="none" w:pos="760" w:val="left"/>
        </w:tabs>
        <w:numPr>
          <w:ilvl w:val="0"/>
          <w:numId w:val="116"/>
        </w:numPr>
        <w:rPr>
          <w:rFonts w:ascii="Arial" w:cs="Arial" w:eastAsia="Arial" w:hAnsi="Arial"/>
          <w:sz w:val="22"/>
          <w:szCs w:val="22"/>
          <w:b w:val="1"/>
          <w:bCs w:val="1"/>
          <w:color w:val="auto"/>
        </w:rPr>
      </w:pPr>
      <w:r>
        <w:rPr>
          <w:rFonts w:ascii="Arial" w:cs="Arial" w:eastAsia="Arial" w:hAnsi="Arial"/>
          <w:sz w:val="22"/>
          <w:szCs w:val="22"/>
          <w:b w:val="1"/>
          <w:bCs w:val="1"/>
          <w:color w:val="auto"/>
        </w:rPr>
        <w:t>Material Contracts</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For a description of other material agreements, please see "Item 4. Information on the Company – B. Business Overview."</w:t>
      </w:r>
    </w:p>
    <w:p>
      <w:pPr>
        <w:spacing w:after="0" w:line="316" w:lineRule="exact"/>
        <w:rPr>
          <w:sz w:val="20"/>
          <w:szCs w:val="20"/>
          <w:color w:val="auto"/>
        </w:rPr>
      </w:pPr>
    </w:p>
    <w:p>
      <w:pPr>
        <w:ind w:left="760" w:hanging="752"/>
        <w:spacing w:after="0"/>
        <w:tabs>
          <w:tab w:leader="none" w:pos="760" w:val="left"/>
        </w:tabs>
        <w:numPr>
          <w:ilvl w:val="0"/>
          <w:numId w:val="117"/>
        </w:numPr>
        <w:rPr>
          <w:rFonts w:ascii="Arial" w:cs="Arial" w:eastAsia="Arial" w:hAnsi="Arial"/>
          <w:sz w:val="22"/>
          <w:szCs w:val="22"/>
          <w:b w:val="1"/>
          <w:bCs w:val="1"/>
          <w:color w:val="auto"/>
        </w:rPr>
      </w:pPr>
      <w:r>
        <w:rPr>
          <w:rFonts w:ascii="Arial" w:cs="Arial" w:eastAsia="Arial" w:hAnsi="Arial"/>
          <w:sz w:val="22"/>
          <w:szCs w:val="22"/>
          <w:b w:val="1"/>
          <w:bCs w:val="1"/>
          <w:color w:val="auto"/>
        </w:rPr>
        <w:t>Exchange Controls</w:t>
      </w:r>
    </w:p>
    <w:p>
      <w:pPr>
        <w:spacing w:after="0" w:line="293"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217" w:lineRule="exact"/>
        <w:rPr>
          <w:sz w:val="20"/>
          <w:szCs w:val="20"/>
          <w:color w:val="auto"/>
        </w:rPr>
      </w:pPr>
    </w:p>
    <w:p>
      <w:pPr>
        <w:ind w:left="740" w:hanging="732"/>
        <w:spacing w:after="0"/>
        <w:tabs>
          <w:tab w:leader="none" w:pos="740" w:val="left"/>
        </w:tabs>
        <w:numPr>
          <w:ilvl w:val="0"/>
          <w:numId w:val="118"/>
        </w:numPr>
        <w:rPr>
          <w:rFonts w:ascii="Arial" w:cs="Arial" w:eastAsia="Arial" w:hAnsi="Arial"/>
          <w:sz w:val="22"/>
          <w:szCs w:val="22"/>
          <w:b w:val="1"/>
          <w:bCs w:val="1"/>
          <w:color w:val="auto"/>
        </w:rPr>
      </w:pPr>
      <w:r>
        <w:rPr>
          <w:rFonts w:ascii="Arial" w:cs="Arial" w:eastAsia="Arial" w:hAnsi="Arial"/>
          <w:sz w:val="22"/>
          <w:szCs w:val="22"/>
          <w:b w:val="1"/>
          <w:bCs w:val="1"/>
          <w:color w:val="auto"/>
        </w:rPr>
        <w:t>Taxation</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Israeli Tax Considerations and Government Programs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General</w:t>
      </w:r>
    </w:p>
    <w:p>
      <w:pPr>
        <w:spacing w:after="0" w:line="287"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30" w:name="page131"/>
    <w:bookmarkEnd w:id="130"/>
    <w:p>
      <w:pPr>
        <w:jc w:val="both"/>
        <w:ind w:firstLine="648"/>
        <w:spacing w:after="0" w:line="266" w:lineRule="auto"/>
        <w:rPr>
          <w:sz w:val="20"/>
          <w:szCs w:val="20"/>
          <w:color w:val="auto"/>
        </w:rPr>
      </w:pPr>
      <w:r>
        <w:rPr>
          <w:rFonts w:ascii="Arial" w:cs="Arial" w:eastAsia="Arial" w:hAnsi="Arial"/>
          <w:sz w:val="22"/>
          <w:szCs w:val="22"/>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General Corporate Tax Structure in Israel</w:t>
      </w:r>
    </w:p>
    <w:p>
      <w:pPr>
        <w:spacing w:after="0" w:line="2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Israeli resident companies are generally subject to corporate tax at the rate of 23% in 2018 and thereafter.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245" w:lineRule="exact"/>
        <w:rPr>
          <w:sz w:val="20"/>
          <w:szCs w:val="20"/>
          <w:color w:val="auto"/>
        </w:rPr>
      </w:pPr>
    </w:p>
    <w:p>
      <w:pPr>
        <w:jc w:val="both"/>
        <w:ind w:right="20" w:firstLine="648"/>
        <w:spacing w:after="0" w:line="301" w:lineRule="auto"/>
        <w:rPr>
          <w:sz w:val="20"/>
          <w:szCs w:val="20"/>
          <w:color w:val="auto"/>
        </w:rPr>
      </w:pPr>
      <w:r>
        <w:rPr>
          <w:rFonts w:ascii="Arial" w:cs="Arial" w:eastAsia="Arial" w:hAnsi="Arial"/>
          <w:sz w:val="21"/>
          <w:szCs w:val="21"/>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Law for the Encouragement of Industry (Taxes), 5729-1969</w:t>
      </w:r>
    </w:p>
    <w:p>
      <w:pPr>
        <w:spacing w:after="0" w:line="28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Law for the Encouragement of Industry (Taxes), 5729-1969, generally referred to as the Industry Encouragement Law, provides several tax benefits for “Industrial Companies.”</w:t>
      </w:r>
    </w:p>
    <w:p>
      <w:pPr>
        <w:spacing w:after="0" w:line="228"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following corporate tax benefits, among others, are available to Industrial Companies:</w:t>
      </w:r>
    </w:p>
    <w:p>
      <w:pPr>
        <w:spacing w:after="0" w:line="281" w:lineRule="exact"/>
        <w:rPr>
          <w:sz w:val="20"/>
          <w:szCs w:val="20"/>
          <w:color w:val="auto"/>
        </w:rPr>
      </w:pPr>
    </w:p>
    <w:p>
      <w:pPr>
        <w:ind w:left="860" w:right="20" w:hanging="488"/>
        <w:spacing w:after="0" w:line="277" w:lineRule="auto"/>
        <w:tabs>
          <w:tab w:leader="none" w:pos="86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224" w:lineRule="exact"/>
        <w:rPr>
          <w:rFonts w:ascii="Arial" w:cs="Arial" w:eastAsia="Arial" w:hAnsi="Arial"/>
          <w:sz w:val="18"/>
          <w:szCs w:val="18"/>
          <w:color w:val="auto"/>
        </w:rPr>
      </w:pPr>
    </w:p>
    <w:p>
      <w:pPr>
        <w:ind w:left="860" w:hanging="488"/>
        <w:spacing w:after="0"/>
        <w:tabs>
          <w:tab w:leader="none" w:pos="86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under limited conditions, an election to file consolidated tax returns with related Israeli Industrial Companies;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expenses related to a public offering are deductible in equal amounts over three years.</w:t>
      </w:r>
    </w:p>
    <w:p>
      <w:pPr>
        <w:spacing w:after="0" w:line="285" w:lineRule="exact"/>
        <w:rPr>
          <w:sz w:val="20"/>
          <w:szCs w:val="20"/>
          <w:color w:val="auto"/>
        </w:rPr>
      </w:pPr>
    </w:p>
    <w:p>
      <w:pPr>
        <w:ind w:firstLine="648"/>
        <w:spacing w:after="0" w:line="276" w:lineRule="auto"/>
        <w:rPr>
          <w:sz w:val="20"/>
          <w:szCs w:val="20"/>
          <w:color w:val="auto"/>
        </w:rPr>
      </w:pPr>
      <w:r>
        <w:rPr>
          <w:rFonts w:ascii="Arial" w:cs="Arial" w:eastAsia="Arial" w:hAnsi="Arial"/>
          <w:sz w:val="22"/>
          <w:szCs w:val="22"/>
          <w:color w:val="auto"/>
        </w:rPr>
        <w:t>Although as of the date of this annual report, we do not have industrial production activities, we may qualify as an Industrial Company in the future and may be eligible for the benefits described above.</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Tax Benefits and Grants for Research and Development</w:t>
      </w:r>
    </w:p>
    <w:p>
      <w:pPr>
        <w:spacing w:after="0" w:line="287" w:lineRule="exact"/>
        <w:rPr>
          <w:sz w:val="20"/>
          <w:szCs w:val="20"/>
          <w:color w:val="auto"/>
        </w:rPr>
      </w:pPr>
    </w:p>
    <w:p>
      <w:pPr>
        <w:ind w:right="20" w:firstLine="648"/>
        <w:spacing w:after="0" w:line="358" w:lineRule="auto"/>
        <w:rPr>
          <w:sz w:val="20"/>
          <w:szCs w:val="20"/>
          <w:color w:val="auto"/>
        </w:rPr>
      </w:pPr>
      <w:r>
        <w:rPr>
          <w:rFonts w:ascii="Arial" w:cs="Arial" w:eastAsia="Arial" w:hAnsi="Arial"/>
          <w:sz w:val="19"/>
          <w:szCs w:val="19"/>
          <w:color w:val="auto"/>
        </w:rPr>
        <w:t>Israeli tax law allows, under certain conditions, a tax deduction for expenditures, including capital expenditures, for the year in which they are incurred. Expenditures are deemed related to scientific research and development projects, if:</w:t>
      </w:r>
    </w:p>
    <w:p>
      <w:pPr>
        <w:spacing w:after="0" w:line="152" w:lineRule="exact"/>
        <w:rPr>
          <w:sz w:val="20"/>
          <w:szCs w:val="20"/>
          <w:color w:val="auto"/>
        </w:rPr>
      </w:pPr>
    </w:p>
    <w:p>
      <w:pPr>
        <w:ind w:left="860" w:hanging="488"/>
        <w:spacing w:after="0"/>
        <w:tabs>
          <w:tab w:leader="none" w:pos="86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expenditures are approved by the relevant Israeli government ministry, determined by the field of research;</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research and development must be for the promotion of the company; and</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The research and development are carried out by or on behalf of the company seeking such tax deduction.</w:t>
      </w: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31" w:name="page132"/>
    <w:bookmarkEnd w:id="131"/>
    <w:p>
      <w:pPr>
        <w:jc w:val="both"/>
        <w:ind w:firstLine="648"/>
        <w:spacing w:after="0" w:line="317" w:lineRule="auto"/>
        <w:rPr>
          <w:sz w:val="20"/>
          <w:szCs w:val="20"/>
          <w:color w:val="auto"/>
        </w:rPr>
      </w:pPr>
      <w:r>
        <w:rPr>
          <w:rFonts w:ascii="Arial" w:cs="Arial" w:eastAsia="Arial" w:hAnsi="Arial"/>
          <w:sz w:val="19"/>
          <w:szCs w:val="19"/>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19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From time to time we may apply to the IIA for approval to allow a tax deduction for all research and development expenses during the year incurred. There can be no assurance that such application will be accepted.</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Law for the Encouragement of Capital Investments, 5719-1959</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Tax Benefits Prior to the 2005 Amendment</w:t>
      </w:r>
    </w:p>
    <w:p>
      <w:pPr>
        <w:spacing w:after="0" w:line="28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23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24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Tax Benefits Subsequent to the 2005 Amendment</w:t>
      </w:r>
    </w:p>
    <w:p>
      <w:pPr>
        <w:spacing w:after="0" w:line="287"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23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ectPr>
          <w:pgSz w:w="11900" w:h="16838" w:orient="portrait"/>
          <w:cols w:equalWidth="0" w:num="1">
            <w:col w:w="11240"/>
          </w:cols>
          <w:pgMar w:left="320" w:top="132" w:right="339" w:bottom="144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type w:val="continuous"/>
        </w:sectPr>
      </w:pPr>
    </w:p>
    <w:bookmarkStart w:id="132" w:name="page133"/>
    <w:bookmarkEnd w:id="132"/>
    <w:p>
      <w:pPr>
        <w:jc w:val="both"/>
        <w:ind w:firstLine="648"/>
        <w:spacing w:after="0" w:line="305" w:lineRule="auto"/>
        <w:rPr>
          <w:sz w:val="20"/>
          <w:szCs w:val="20"/>
          <w:color w:val="auto"/>
        </w:rPr>
      </w:pPr>
      <w:r>
        <w:rPr>
          <w:rFonts w:ascii="Arial" w:cs="Arial" w:eastAsia="Arial" w:hAnsi="Arial"/>
          <w:sz w:val="19"/>
          <w:szCs w:val="19"/>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20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20% or such lower rate as may be provided in an applicable tax treaty.</w:t>
      </w:r>
    </w:p>
    <w:p>
      <w:pPr>
        <w:spacing w:after="0" w:line="241" w:lineRule="exact"/>
        <w:rPr>
          <w:sz w:val="20"/>
          <w:szCs w:val="20"/>
          <w:color w:val="auto"/>
        </w:rPr>
      </w:pPr>
    </w:p>
    <w:p>
      <w:pPr>
        <w:ind w:right="140" w:firstLine="648"/>
        <w:spacing w:after="0" w:line="266" w:lineRule="auto"/>
        <w:rPr>
          <w:sz w:val="20"/>
          <w:szCs w:val="20"/>
          <w:color w:val="auto"/>
        </w:rPr>
      </w:pPr>
      <w:r>
        <w:rPr>
          <w:rFonts w:ascii="Arial" w:cs="Arial" w:eastAsia="Arial" w:hAnsi="Arial"/>
          <w:sz w:val="22"/>
          <w:szCs w:val="22"/>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2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Tax Benefits Under the 2011 Amendment</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2011 Amendment introduced new tax benefits for income generated by a “Preferred Company” through its “Preferred</w:t>
      </w:r>
    </w:p>
    <w:p>
      <w:pPr>
        <w:spacing w:after="0" w:line="56" w:lineRule="exact"/>
        <w:rPr>
          <w:sz w:val="20"/>
          <w:szCs w:val="20"/>
          <w:color w:val="auto"/>
        </w:rPr>
      </w:pPr>
    </w:p>
    <w:p>
      <w:pPr>
        <w:spacing w:after="0"/>
        <w:rPr>
          <w:sz w:val="20"/>
          <w:szCs w:val="20"/>
          <w:color w:val="auto"/>
        </w:rPr>
      </w:pPr>
      <w:r>
        <w:rPr>
          <w:rFonts w:ascii="Arial" w:cs="Arial" w:eastAsia="Arial" w:hAnsi="Arial"/>
          <w:sz w:val="19"/>
          <w:szCs w:val="19"/>
          <w:color w:val="auto"/>
        </w:rPr>
        <w:t>Enterprise,” in accordance with the definition of such term in the Investment Law, which generally means that a “Preferred</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color w:val="auto"/>
        </w:rPr>
        <w:t>Company” is an industrial company meeting certain conditions (including a minimum threshold of 25% export).</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33" w:name="page134"/>
    <w:bookmarkEnd w:id="133"/>
    <w:p>
      <w:pPr>
        <w:jc w:val="both"/>
        <w:ind w:firstLine="648"/>
        <w:spacing w:after="0" w:line="276" w:lineRule="auto"/>
        <w:rPr>
          <w:sz w:val="20"/>
          <w:szCs w:val="20"/>
          <w:color w:val="auto"/>
        </w:rPr>
      </w:pPr>
      <w:r>
        <w:rPr>
          <w:rFonts w:ascii="Arial" w:cs="Arial" w:eastAsia="Arial" w:hAnsi="Arial"/>
          <w:sz w:val="22"/>
          <w:szCs w:val="22"/>
          <w:color w:val="auto"/>
        </w:rPr>
        <w:t>A Preferred Company is entitled to a reduced flat tax rate with respect to the income attributed to the Preferred Enterprise, at the following rates:</w:t>
      </w:r>
    </w:p>
    <w:p>
      <w:pPr>
        <w:spacing w:after="0" w:line="218"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6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Development</w:t>
            </w:r>
          </w:p>
        </w:tc>
        <w:tc>
          <w:tcPr>
            <w:tcW w:w="1460" w:type="dxa"/>
            <w:vAlign w:val="bottom"/>
            <w:gridSpan w:val="2"/>
          </w:tcPr>
          <w:p>
            <w:pPr>
              <w:ind w:left="160"/>
              <w:spacing w:after="0"/>
              <w:rPr>
                <w:sz w:val="20"/>
                <w:szCs w:val="20"/>
                <w:color w:val="auto"/>
              </w:rPr>
            </w:pPr>
            <w:r>
              <w:rPr>
                <w:rFonts w:ascii="Arial" w:cs="Arial" w:eastAsia="Arial" w:hAnsi="Arial"/>
                <w:sz w:val="18"/>
                <w:szCs w:val="18"/>
                <w:b w:val="1"/>
                <w:bCs w:val="1"/>
                <w:color w:val="auto"/>
              </w:rPr>
              <w:t>Other Areas</w:t>
            </w:r>
          </w:p>
        </w:tc>
      </w:tr>
      <w:tr>
        <w:trPr>
          <w:trHeight w:val="241"/>
        </w:trPr>
        <w:tc>
          <w:tcPr>
            <w:tcW w:w="69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Tax Year</w:t>
            </w:r>
          </w:p>
        </w:tc>
        <w:tc>
          <w:tcPr>
            <w:tcW w:w="100" w:type="dxa"/>
            <w:vAlign w:val="bottom"/>
          </w:tcPr>
          <w:p>
            <w:pPr>
              <w:spacing w:after="0"/>
              <w:rPr>
                <w:sz w:val="20"/>
                <w:szCs w:val="20"/>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Region “A”</w:t>
            </w:r>
          </w:p>
        </w:tc>
        <w:tc>
          <w:tcPr>
            <w:tcW w:w="260" w:type="dxa"/>
            <w:vAlign w:val="bottom"/>
          </w:tcPr>
          <w:p>
            <w:pPr>
              <w:spacing w:after="0"/>
              <w:rPr>
                <w:sz w:val="20"/>
                <w:szCs w:val="20"/>
                <w:color w:val="auto"/>
              </w:rPr>
            </w:pPr>
          </w:p>
        </w:tc>
        <w:tc>
          <w:tcPr>
            <w:tcW w:w="1300" w:type="dxa"/>
            <w:vAlign w:val="bottom"/>
            <w:tcBorders>
              <w:bottom w:val="single" w:sz="8" w:color="auto"/>
            </w:tcBorders>
          </w:tcPr>
          <w:p>
            <w:pPr>
              <w:ind w:left="160"/>
              <w:spacing w:after="0"/>
              <w:rPr>
                <w:sz w:val="20"/>
                <w:szCs w:val="20"/>
                <w:color w:val="auto"/>
              </w:rPr>
            </w:pPr>
            <w:r>
              <w:rPr>
                <w:rFonts w:ascii="Arial" w:cs="Arial" w:eastAsia="Arial" w:hAnsi="Arial"/>
                <w:sz w:val="18"/>
                <w:szCs w:val="18"/>
                <w:b w:val="1"/>
                <w:bCs w:val="1"/>
                <w:color w:val="auto"/>
              </w:rPr>
              <w:t>within Israel</w:t>
            </w:r>
          </w:p>
        </w:tc>
        <w:tc>
          <w:tcPr>
            <w:tcW w:w="160" w:type="dxa"/>
            <w:vAlign w:val="bottom"/>
          </w:tcPr>
          <w:p>
            <w:pPr>
              <w:spacing w:after="0"/>
              <w:rPr>
                <w:sz w:val="20"/>
                <w:szCs w:val="20"/>
                <w:color w:val="auto"/>
              </w:rPr>
            </w:pP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2011 – 2012</w:t>
            </w:r>
          </w:p>
        </w:tc>
        <w:tc>
          <w:tcPr>
            <w:tcW w:w="10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w:t>
            </w: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w:t>
            </w:r>
          </w:p>
        </w:tc>
      </w:tr>
      <w:tr>
        <w:trPr>
          <w:trHeight w:val="216"/>
        </w:trPr>
        <w:tc>
          <w:tcPr>
            <w:tcW w:w="6980" w:type="dxa"/>
            <w:vAlign w:val="bottom"/>
          </w:tcPr>
          <w:p>
            <w:pPr>
              <w:spacing w:after="0"/>
              <w:rPr>
                <w:sz w:val="20"/>
                <w:szCs w:val="20"/>
                <w:color w:val="auto"/>
              </w:rPr>
            </w:pPr>
            <w:r>
              <w:rPr>
                <w:rFonts w:ascii="Arial" w:cs="Arial" w:eastAsia="Arial" w:hAnsi="Arial"/>
                <w:sz w:val="18"/>
                <w:szCs w:val="18"/>
                <w:color w:val="auto"/>
              </w:rPr>
              <w:t>2013</w:t>
            </w:r>
          </w:p>
        </w:tc>
        <w:tc>
          <w:tcPr>
            <w:tcW w:w="1660" w:type="dxa"/>
            <w:vAlign w:val="bottom"/>
            <w:gridSpan w:val="3"/>
          </w:tcPr>
          <w:p>
            <w:pPr>
              <w:jc w:val="right"/>
              <w:ind w:right="120"/>
              <w:spacing w:after="0"/>
              <w:rPr>
                <w:sz w:val="20"/>
                <w:szCs w:val="20"/>
                <w:color w:val="auto"/>
              </w:rPr>
            </w:pPr>
            <w:r>
              <w:rPr>
                <w:rFonts w:ascii="Arial" w:cs="Arial" w:eastAsia="Arial" w:hAnsi="Arial"/>
                <w:sz w:val="18"/>
                <w:szCs w:val="18"/>
                <w:color w:val="auto"/>
              </w:rPr>
              <w:t>7%</w:t>
            </w: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12.5%</w:t>
            </w: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2014 – 2016</w:t>
            </w:r>
          </w:p>
        </w:tc>
        <w:tc>
          <w:tcPr>
            <w:tcW w:w="16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9%</w:t>
            </w:r>
          </w:p>
        </w:tc>
        <w:tc>
          <w:tcPr>
            <w:tcW w:w="1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w:t>
            </w:r>
          </w:p>
        </w:tc>
      </w:tr>
      <w:tr>
        <w:trPr>
          <w:trHeight w:val="230"/>
        </w:trPr>
        <w:tc>
          <w:tcPr>
            <w:tcW w:w="6980" w:type="dxa"/>
            <w:vAlign w:val="bottom"/>
          </w:tcPr>
          <w:p>
            <w:pPr>
              <w:spacing w:after="0"/>
              <w:rPr>
                <w:sz w:val="20"/>
                <w:szCs w:val="20"/>
                <w:color w:val="auto"/>
              </w:rPr>
            </w:pPr>
            <w:r>
              <w:rPr>
                <w:rFonts w:ascii="Arial" w:cs="Arial" w:eastAsia="Arial" w:hAnsi="Arial"/>
                <w:sz w:val="18"/>
                <w:szCs w:val="18"/>
                <w:color w:val="auto"/>
              </w:rPr>
              <w:t>2017 and thereafter</w:t>
            </w:r>
          </w:p>
        </w:tc>
        <w:tc>
          <w:tcPr>
            <w:tcW w:w="1660" w:type="dxa"/>
            <w:vAlign w:val="bottom"/>
            <w:gridSpan w:val="3"/>
          </w:tcPr>
          <w:p>
            <w:pPr>
              <w:jc w:val="right"/>
              <w:ind w:right="120"/>
              <w:spacing w:after="0"/>
              <w:rPr>
                <w:sz w:val="20"/>
                <w:szCs w:val="20"/>
                <w:color w:val="auto"/>
              </w:rPr>
            </w:pPr>
            <w:r>
              <w:rPr>
                <w:rFonts w:ascii="Arial" w:cs="Arial" w:eastAsia="Arial" w:hAnsi="Arial"/>
                <w:sz w:val="18"/>
                <w:szCs w:val="18"/>
                <w:color w:val="auto"/>
              </w:rPr>
              <w:t>7.5%</w:t>
            </w:r>
          </w:p>
        </w:tc>
        <w:tc>
          <w:tcPr>
            <w:tcW w:w="1460" w:type="dxa"/>
            <w:vAlign w:val="bottom"/>
            <w:gridSpan w:val="2"/>
          </w:tcPr>
          <w:p>
            <w:pPr>
              <w:jc w:val="right"/>
              <w:ind w:right="20"/>
              <w:spacing w:after="0"/>
              <w:rPr>
                <w:sz w:val="20"/>
                <w:szCs w:val="20"/>
                <w:color w:val="auto"/>
              </w:rPr>
            </w:pPr>
            <w:r>
              <w:rPr>
                <w:rFonts w:ascii="Arial" w:cs="Arial" w:eastAsia="Arial" w:hAnsi="Arial"/>
                <w:sz w:val="18"/>
                <w:szCs w:val="18"/>
                <w:color w:val="auto"/>
              </w:rPr>
              <w:t>16%</w:t>
            </w:r>
          </w:p>
        </w:tc>
      </w:tr>
    </w:tbl>
    <w:p>
      <w:pPr>
        <w:spacing w:after="0" w:line="248"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Dividends distributed from income which is attributed to a “Preferred Enterprise” will be subject to withholding tax at source at the following rates: (i) Israeli resident corporations — 0%, (ii) Israeli resident individuals — 20% in 2020 (iii) non-Israeli residents — may be reduced down to 4% in 2020, subject to certain conditions under the Investment Law and to a reduced tax rate under the provisions of an applicable double tax treaty.</w:t>
      </w:r>
    </w:p>
    <w:p>
      <w:pPr>
        <w:spacing w:after="0" w:line="245"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by an additional 4%). In addition, a company owning a Preferred Enterprise under the Grant Track may be entitled also to the tax benefits which are prescribed for a Preferred Company.</w:t>
      </w:r>
    </w:p>
    <w:p>
      <w:pPr>
        <w:spacing w:after="0" w:line="19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termination or substantial reduction of any of the benefits available under the Investment Law could materially increase our tax liabilities.</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color w:val="auto"/>
        </w:rPr>
        <w:t>We are currently not entitled to tax benefits for a Preferred Enterprise.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Taxation of Our Shareholders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Capital Gains</w:t>
      </w:r>
    </w:p>
    <w:p>
      <w:pPr>
        <w:spacing w:after="0" w:line="287"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23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19"/>
          <w:szCs w:val="19"/>
          <w:color w:val="auto"/>
        </w:rPr>
        <w:t>Real Gain derived by corporations will be generally subject to the corporate tax rate of 23% in 2018 and thereafter.</w:t>
      </w:r>
    </w:p>
    <w:p>
      <w:pPr>
        <w:spacing w:after="0" w:line="322"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Individual and corporate shareholder dealing in securities in Israel are taxed at the tax rates applicable to business income —23% for corporations in 2018 and thereafter, and a marginal tax rate of up to 50% for individuals, including an excess tax.</w:t>
      </w:r>
    </w:p>
    <w:p>
      <w:pPr>
        <w:spacing w:after="0" w:line="15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ectPr>
          <w:pgSz w:w="11900" w:h="16838" w:orient="portrait"/>
          <w:cols w:equalWidth="0" w:num="1">
            <w:col w:w="11240"/>
          </w:cols>
          <w:pgMar w:left="320" w:top="131" w:right="339" w:bottom="1440" w:gutter="0" w:footer="0" w:header="0"/>
        </w:sect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type w:val="continuous"/>
        </w:sectPr>
      </w:pPr>
    </w:p>
    <w:bookmarkStart w:id="134" w:name="page135"/>
    <w:bookmarkEnd w:id="134"/>
    <w:p>
      <w:pPr>
        <w:jc w:val="both"/>
        <w:ind w:firstLine="648"/>
        <w:spacing w:after="0" w:line="274" w:lineRule="auto"/>
        <w:rPr>
          <w:sz w:val="20"/>
          <w:szCs w:val="20"/>
          <w:color w:val="auto"/>
        </w:rPr>
      </w:pPr>
      <w:r>
        <w:rPr>
          <w:rFonts w:ascii="Arial" w:cs="Arial" w:eastAsia="Arial" w:hAnsi="Arial"/>
          <w:sz w:val="21"/>
          <w:szCs w:val="21"/>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236"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(23% in 2018 and thereafter) if the seller is a corporation. Shareholders may be required to demonstrate that they are exempt from tax on their capital gains in order to avoid withholding at source at the time of sale.</w:t>
      </w:r>
    </w:p>
    <w:p>
      <w:pPr>
        <w:spacing w:after="0" w:line="19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color w:val="auto"/>
        </w:rPr>
        <w:t>Dividends</w:t>
      </w:r>
    </w:p>
    <w:p>
      <w:pPr>
        <w:spacing w:after="0" w:line="287"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We have never paid cash dividends. A distribution of a dividend by our company from income attributed to a Benefited Enterprise will generally be subject to withholding tax in Israel at a rate of 20% unless a reduced tax rate is provided under an applicable tax treaty. A distribution of a dividend by our company from income attributed to a Preferred Enterprise will generally be subject to withholding tax in Israel at the following tax rates: Israeli resident individuals — 20%; Israeli resident companies — 0% for a Preferred Enterprise; Non-Israeli residents — 20%,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12"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 (i) 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200" w:lineRule="exact"/>
        <w:rPr>
          <w:sz w:val="20"/>
          <w:szCs w:val="20"/>
          <w:color w:val="auto"/>
        </w:rPr>
      </w:pPr>
    </w:p>
    <w:p>
      <w:pPr>
        <w:spacing w:after="0" w:line="281"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ectPr>
          <w:pgSz w:w="11900" w:h="16838" w:orient="portrait"/>
          <w:cols w:equalWidth="0" w:num="1">
            <w:col w:w="11240"/>
          </w:cols>
          <w:pgMar w:left="320" w:top="131" w:right="3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type w:val="continuous"/>
        </w:sectPr>
      </w:pPr>
    </w:p>
    <w:bookmarkStart w:id="135" w:name="page136"/>
    <w:bookmarkEnd w:id="135"/>
    <w:p>
      <w:pPr>
        <w:jc w:val="both"/>
        <w:ind w:firstLine="648"/>
        <w:spacing w:after="0" w:line="262" w:lineRule="auto"/>
        <w:rPr>
          <w:sz w:val="20"/>
          <w:szCs w:val="20"/>
          <w:color w:val="auto"/>
        </w:rPr>
      </w:pPr>
      <w:r>
        <w:rPr>
          <w:rFonts w:ascii="Arial" w:cs="Arial" w:eastAsia="Arial" w:hAnsi="Arial"/>
          <w:sz w:val="22"/>
          <w:szCs w:val="22"/>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color w:val="auto"/>
        </w:rPr>
        <w:t>Excess Tax</w:t>
      </w:r>
    </w:p>
    <w:p>
      <w:pPr>
        <w:spacing w:after="0" w:line="287"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Individuals who are subject to tax in Israel are also subject to an additional tax at a rate of 3% on annual income exceeding NIS 640,000 for 2017 and thereafter, linked to the annual change in the Israeli consumer price index (NIS 641,880 for 2018 and NIS 649,560 for 2019), including, but not limited to income derived from, dividends, interest and capital gains.</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Foreign Exchange Regulations</w:t>
      </w:r>
    </w:p>
    <w:p>
      <w:pPr>
        <w:spacing w:after="0" w:line="287"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244" w:lineRule="exact"/>
        <w:rPr>
          <w:sz w:val="20"/>
          <w:szCs w:val="20"/>
          <w:color w:val="auto"/>
        </w:rPr>
      </w:pPr>
    </w:p>
    <w:p>
      <w:pPr>
        <w:spacing w:after="0"/>
        <w:rPr>
          <w:sz w:val="20"/>
          <w:szCs w:val="20"/>
          <w:color w:val="auto"/>
        </w:rPr>
      </w:pPr>
      <w:r>
        <w:rPr>
          <w:rFonts w:ascii="Arial" w:cs="Arial" w:eastAsia="Arial" w:hAnsi="Arial"/>
          <w:sz w:val="22"/>
          <w:szCs w:val="22"/>
          <w:color w:val="auto"/>
        </w:rPr>
        <w:t>Estate and Gift Tax</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Israeli law presently does not impose estate or gift taxes.</w:t>
      </w:r>
    </w:p>
    <w:p>
      <w:pPr>
        <w:spacing w:after="0" w:line="281" w:lineRule="exact"/>
        <w:rPr>
          <w:sz w:val="20"/>
          <w:szCs w:val="20"/>
          <w:color w:val="auto"/>
        </w:rPr>
      </w:pPr>
    </w:p>
    <w:p>
      <w:pPr>
        <w:ind w:left="360"/>
        <w:spacing w:after="0"/>
        <w:rPr>
          <w:sz w:val="20"/>
          <w:szCs w:val="20"/>
          <w:color w:val="auto"/>
        </w:rPr>
      </w:pPr>
      <w:r>
        <w:rPr>
          <w:rFonts w:ascii="Arial" w:cs="Arial" w:eastAsia="Arial" w:hAnsi="Arial"/>
          <w:sz w:val="22"/>
          <w:szCs w:val="22"/>
          <w:b w:val="1"/>
          <w:bCs w:val="1"/>
          <w:color w:val="auto"/>
        </w:rPr>
        <w:t>U.S. Federal Income Tax Considerations with respect to the Company</w:t>
      </w:r>
    </w:p>
    <w:p>
      <w:pPr>
        <w:spacing w:after="0" w:line="293" w:lineRule="exact"/>
        <w:rPr>
          <w:sz w:val="20"/>
          <w:szCs w:val="20"/>
          <w:color w:val="auto"/>
        </w:rPr>
      </w:pPr>
    </w:p>
    <w:p>
      <w:pPr>
        <w:jc w:val="both"/>
        <w:ind w:left="100" w:right="180" w:firstLine="540"/>
        <w:spacing w:after="0" w:line="279" w:lineRule="auto"/>
        <w:rPr>
          <w:sz w:val="20"/>
          <w:szCs w:val="20"/>
          <w:color w:val="auto"/>
        </w:rPr>
      </w:pPr>
      <w:r>
        <w:rPr>
          <w:rFonts w:ascii="Arial" w:cs="Arial" w:eastAsia="Arial" w:hAnsi="Arial"/>
          <w:sz w:val="21"/>
          <w:szCs w:val="21"/>
          <w:color w:val="auto"/>
        </w:rPr>
        <w:t>The following discussion describes certain material U.S. federal income tax consequences to U.S. Holders (as defined below) under present law of an investment in our ordinary shares or warrants. This discussion applies only to U.S. Holders that hold our ordinary shares or warrants as capital assets within the meaning of Section 1221 of the Internal Revenue Code of 1986, as amended (the “Code”) and that have the U.S. dollar as their functional currency.</w:t>
      </w:r>
    </w:p>
    <w:p>
      <w:pPr>
        <w:spacing w:after="0" w:line="227" w:lineRule="exact"/>
        <w:rPr>
          <w:sz w:val="20"/>
          <w:szCs w:val="20"/>
          <w:color w:val="auto"/>
        </w:rPr>
      </w:pPr>
    </w:p>
    <w:p>
      <w:pPr>
        <w:jc w:val="both"/>
        <w:ind w:left="100" w:right="80" w:firstLine="540"/>
        <w:spacing w:after="0" w:line="306" w:lineRule="auto"/>
        <w:rPr>
          <w:sz w:val="20"/>
          <w:szCs w:val="20"/>
          <w:color w:val="auto"/>
        </w:rPr>
      </w:pPr>
      <w:r>
        <w:rPr>
          <w:rFonts w:ascii="Arial" w:cs="Arial" w:eastAsia="Arial" w:hAnsi="Arial"/>
          <w:sz w:val="19"/>
          <w:szCs w:val="19"/>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 The following discussion neither deals with the tax consequences to any particular investor nor describes all of the tax consequences applicable to persons in special tax situations such as:</w:t>
      </w:r>
    </w:p>
    <w:p>
      <w:pPr>
        <w:spacing w:after="0" w:line="204" w:lineRule="exact"/>
        <w:rPr>
          <w:sz w:val="20"/>
          <w:szCs w:val="20"/>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banks;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certain financial institutions;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traders that elect to mark to market;</w:t>
      </w:r>
    </w:p>
    <w:p>
      <w:pPr>
        <w:sectPr>
          <w:pgSz w:w="11900" w:h="16838" w:orient="portrait"/>
          <w:cols w:equalWidth="0" w:num="1">
            <w:col w:w="11240"/>
          </w:cols>
          <w:pgMar w:left="320" w:top="131" w:right="339" w:bottom="1440" w:gutter="0" w:footer="0" w:header="0"/>
        </w:sect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type w:val="continuous"/>
        </w:sectPr>
      </w:pPr>
    </w:p>
    <w:bookmarkStart w:id="136" w:name="page137"/>
    <w:bookmarkEnd w:id="136"/>
    <w:p>
      <w:pPr>
        <w:ind w:left="740" w:hanging="314"/>
        <w:spacing w:after="0"/>
        <w:tabs>
          <w:tab w:leader="none" w:pos="74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2"/>
        </w:numPr>
        <w:rPr>
          <w:rFonts w:ascii="Arial" w:cs="Arial" w:eastAsia="Arial" w:hAnsi="Arial"/>
          <w:sz w:val="17"/>
          <w:szCs w:val="17"/>
          <w:color w:val="auto"/>
        </w:rPr>
      </w:pPr>
      <w:r>
        <w:rPr>
          <w:rFonts w:ascii="Arial" w:cs="Arial" w:eastAsia="Arial" w:hAnsi="Arial"/>
          <w:sz w:val="17"/>
          <w:szCs w:val="17"/>
          <w:color w:val="auto"/>
        </w:rPr>
        <w:t>persons holding our ordinary shares or warrants as part of a straddle, hedging, constructive sale, conversion or integrated transaction;</w:t>
      </w:r>
    </w:p>
    <w:p>
      <w:pPr>
        <w:spacing w:after="0" w:line="290" w:lineRule="exact"/>
        <w:rPr>
          <w:rFonts w:ascii="Arial" w:cs="Arial" w:eastAsia="Arial" w:hAnsi="Arial"/>
          <w:sz w:val="17"/>
          <w:szCs w:val="17"/>
          <w:color w:val="auto"/>
        </w:rPr>
      </w:pPr>
    </w:p>
    <w:p>
      <w:pPr>
        <w:ind w:left="760" w:right="20" w:hanging="334"/>
        <w:spacing w:after="0" w:line="277" w:lineRule="auto"/>
        <w:tabs>
          <w:tab w:leader="none" w:pos="76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that actually or constructively (including through the ownership of our warrants) own 10% or more of our share capital (by vote or value);</w:t>
      </w:r>
    </w:p>
    <w:p>
      <w:pPr>
        <w:spacing w:after="0" w:line="224" w:lineRule="exact"/>
        <w:rPr>
          <w:rFonts w:ascii="Arial" w:cs="Arial" w:eastAsia="Arial" w:hAnsi="Arial"/>
          <w:sz w:val="18"/>
          <w:szCs w:val="18"/>
          <w:color w:val="auto"/>
        </w:rPr>
      </w:pPr>
    </w:p>
    <w:p>
      <w:pPr>
        <w:ind w:left="740" w:hanging="314"/>
        <w:spacing w:after="0"/>
        <w:tabs>
          <w:tab w:leader="none" w:pos="74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that are resident or ordinarily resident in or have a permanent establishment in a jurisdiction outside the United States;</w:t>
      </w:r>
    </w:p>
    <w:p>
      <w:pPr>
        <w:spacing w:after="0" w:line="279" w:lineRule="exact"/>
        <w:rPr>
          <w:rFonts w:ascii="Arial" w:cs="Arial" w:eastAsia="Arial" w:hAnsi="Arial"/>
          <w:sz w:val="18"/>
          <w:szCs w:val="18"/>
          <w:color w:val="auto"/>
        </w:rPr>
      </w:pPr>
    </w:p>
    <w:p>
      <w:pPr>
        <w:ind w:left="740" w:hanging="314"/>
        <w:spacing w:after="0"/>
        <w:tabs>
          <w:tab w:leader="none" w:pos="740" w:val="left"/>
        </w:tabs>
        <w:numPr>
          <w:ilvl w:val="0"/>
          <w:numId w:val="122"/>
        </w:numPr>
        <w:rPr>
          <w:rFonts w:ascii="Arial" w:cs="Arial" w:eastAsia="Arial" w:hAnsi="Arial"/>
          <w:sz w:val="16"/>
          <w:szCs w:val="16"/>
          <w:color w:val="auto"/>
        </w:rPr>
      </w:pPr>
      <w:r>
        <w:rPr>
          <w:rFonts w:ascii="Arial" w:cs="Arial" w:eastAsia="Arial" w:hAnsi="Arial"/>
          <w:sz w:val="16"/>
          <w:szCs w:val="16"/>
          <w:color w:val="auto"/>
        </w:rPr>
        <w:t>persons who acquired our ordinary shares or warrants pursuant to the exercise of any employee share option or otherwise as compensation;</w:t>
      </w:r>
    </w:p>
    <w:p>
      <w:pPr>
        <w:spacing w:after="0" w:line="302" w:lineRule="exact"/>
        <w:rPr>
          <w:rFonts w:ascii="Arial" w:cs="Arial" w:eastAsia="Arial" w:hAnsi="Arial"/>
          <w:sz w:val="16"/>
          <w:szCs w:val="16"/>
          <w:color w:val="auto"/>
        </w:rPr>
      </w:pPr>
    </w:p>
    <w:p>
      <w:pPr>
        <w:ind w:left="740" w:hanging="314"/>
        <w:spacing w:after="0" w:line="277" w:lineRule="auto"/>
        <w:tabs>
          <w:tab w:leader="none" w:pos="74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ordinary shares or warrants being taken into account in an applicable financial statement; or</w:t>
      </w:r>
    </w:p>
    <w:p>
      <w:pPr>
        <w:spacing w:after="0" w:line="224" w:lineRule="exact"/>
        <w:rPr>
          <w:rFonts w:ascii="Arial" w:cs="Arial" w:eastAsia="Arial" w:hAnsi="Arial"/>
          <w:sz w:val="18"/>
          <w:szCs w:val="18"/>
          <w:color w:val="auto"/>
        </w:rPr>
      </w:pPr>
    </w:p>
    <w:p>
      <w:pPr>
        <w:ind w:left="740" w:hanging="314"/>
        <w:spacing w:after="0"/>
        <w:tabs>
          <w:tab w:leader="none" w:pos="74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pass-through entities, or persons holding our ordinary shares or warrants through pass-through entities.</w:t>
      </w:r>
    </w:p>
    <w:p>
      <w:pPr>
        <w:spacing w:after="0" w:line="285"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INVESTORS ARE URGED TO CONSULT THEIR TAX ADVISORS ABOUT THE APPLICATION OF THE U.S.</w:t>
      </w:r>
    </w:p>
    <w:p>
      <w:pPr>
        <w:spacing w:after="0" w:line="33" w:lineRule="exact"/>
        <w:rPr>
          <w:sz w:val="20"/>
          <w:szCs w:val="20"/>
          <w:color w:val="auto"/>
        </w:rPr>
      </w:pPr>
    </w:p>
    <w:p>
      <w:pPr>
        <w:spacing w:after="0"/>
        <w:rPr>
          <w:sz w:val="20"/>
          <w:szCs w:val="20"/>
          <w:color w:val="auto"/>
        </w:rPr>
      </w:pPr>
      <w:r>
        <w:rPr>
          <w:rFonts w:ascii="Arial" w:cs="Arial" w:eastAsia="Arial" w:hAnsi="Arial"/>
          <w:sz w:val="21"/>
          <w:szCs w:val="21"/>
          <w:color w:val="auto"/>
        </w:rPr>
        <w:t>FEDERAL TAX RULES TO THEIR PARTICULAR CIRCUMSTANCES AS WELL AS THE STATE, LOCAL, NON-U.S.</w:t>
      </w:r>
    </w:p>
    <w:p>
      <w:pPr>
        <w:spacing w:after="0" w:line="29" w:lineRule="exact"/>
        <w:rPr>
          <w:sz w:val="20"/>
          <w:szCs w:val="20"/>
          <w:color w:val="auto"/>
        </w:rPr>
      </w:pPr>
    </w:p>
    <w:p>
      <w:pPr>
        <w:spacing w:after="0"/>
        <w:rPr>
          <w:sz w:val="20"/>
          <w:szCs w:val="20"/>
          <w:color w:val="auto"/>
        </w:rPr>
      </w:pPr>
      <w:r>
        <w:rPr>
          <w:rFonts w:ascii="Arial" w:cs="Arial" w:eastAsia="Arial" w:hAnsi="Arial"/>
          <w:sz w:val="21"/>
          <w:szCs w:val="21"/>
          <w:color w:val="auto"/>
        </w:rPr>
        <w:t>AND OTHER TAX CONSEQUENCES TO THEM OF AN INVESTMENT IN OUR ORDINARY SHARES OR WARRANTS.</w:t>
      </w:r>
    </w:p>
    <w:p>
      <w:pPr>
        <w:spacing w:after="0" w:line="294"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discussion below of the U.S. federal income tax consequences to “U.S. Holders” will apply to you if you are the beneficial owner of our ordinary shares or warrants and you are, for U.S. federal income tax purposes,</w:t>
      </w:r>
    </w:p>
    <w:p>
      <w:pPr>
        <w:spacing w:after="0" w:line="222" w:lineRule="exact"/>
        <w:rPr>
          <w:sz w:val="20"/>
          <w:szCs w:val="20"/>
          <w:color w:val="auto"/>
        </w:rPr>
      </w:pPr>
    </w:p>
    <w:p>
      <w:pPr>
        <w:ind w:left="740" w:hanging="314"/>
        <w:spacing w:after="0"/>
        <w:tabs>
          <w:tab w:leader="none" w:pos="74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279" w:lineRule="exact"/>
        <w:rPr>
          <w:rFonts w:ascii="Arial" w:cs="Arial" w:eastAsia="Arial" w:hAnsi="Arial"/>
          <w:sz w:val="18"/>
          <w:szCs w:val="18"/>
          <w:color w:val="auto"/>
        </w:rPr>
      </w:pPr>
    </w:p>
    <w:p>
      <w:pPr>
        <w:ind w:left="740" w:hanging="314"/>
        <w:spacing w:after="0" w:line="277" w:lineRule="auto"/>
        <w:tabs>
          <w:tab w:leader="none" w:pos="74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24" w:lineRule="exact"/>
        <w:rPr>
          <w:rFonts w:ascii="Arial" w:cs="Arial" w:eastAsia="Arial" w:hAnsi="Arial"/>
          <w:sz w:val="18"/>
          <w:szCs w:val="18"/>
          <w:color w:val="auto"/>
        </w:rPr>
      </w:pPr>
    </w:p>
    <w:p>
      <w:pPr>
        <w:ind w:left="740" w:hanging="314"/>
        <w:spacing w:after="0"/>
        <w:tabs>
          <w:tab w:leader="none" w:pos="74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279" w:lineRule="exact"/>
        <w:rPr>
          <w:rFonts w:ascii="Arial" w:cs="Arial" w:eastAsia="Arial" w:hAnsi="Arial"/>
          <w:sz w:val="18"/>
          <w:szCs w:val="18"/>
          <w:color w:val="auto"/>
        </w:rPr>
      </w:pPr>
    </w:p>
    <w:p>
      <w:pPr>
        <w:ind w:left="740" w:hanging="314"/>
        <w:spacing w:after="0" w:line="308" w:lineRule="auto"/>
        <w:tabs>
          <w:tab w:leader="none" w:pos="740" w:val="left"/>
        </w:tabs>
        <w:numPr>
          <w:ilvl w:val="0"/>
          <w:numId w:val="123"/>
        </w:numPr>
        <w:rPr>
          <w:rFonts w:ascii="Arial" w:cs="Arial" w:eastAsia="Arial" w:hAnsi="Arial"/>
          <w:sz w:val="17"/>
          <w:szCs w:val="17"/>
          <w:color w:val="auto"/>
        </w:rPr>
      </w:pPr>
      <w:r>
        <w:rPr>
          <w:rFonts w:ascii="Arial" w:cs="Arial" w:eastAsia="Arial" w:hAnsi="Arial"/>
          <w:sz w:val="17"/>
          <w:szCs w:val="17"/>
          <w:color w:val="auto"/>
        </w:rPr>
        <w:t>a trust that (i) is subject to the primary supervision of a court within the United States and the control of one or more U.S. persons for all substantial decisions or (ii) has a valid election in effect under applicable U.S. Treasury regulations to be treated as a U.S. person.</w:t>
      </w:r>
    </w:p>
    <w:p>
      <w:pPr>
        <w:spacing w:after="0" w:line="207" w:lineRule="exact"/>
        <w:rPr>
          <w:sz w:val="20"/>
          <w:szCs w:val="20"/>
          <w:color w:val="auto"/>
        </w:rPr>
      </w:pPr>
    </w:p>
    <w:p>
      <w:pPr>
        <w:jc w:val="both"/>
        <w:ind w:left="100" w:right="200" w:firstLine="540"/>
        <w:spacing w:after="0" w:line="279" w:lineRule="auto"/>
        <w:rPr>
          <w:sz w:val="20"/>
          <w:szCs w:val="20"/>
          <w:color w:val="auto"/>
        </w:rPr>
      </w:pPr>
      <w:r>
        <w:rPr>
          <w:rFonts w:ascii="Arial" w:cs="Arial" w:eastAsia="Arial" w:hAnsi="Arial"/>
          <w:sz w:val="21"/>
          <w:szCs w:val="21"/>
          <w:color w:val="auto"/>
        </w:rPr>
        <w:t>If an entity or other arrangement treated as a partnership for U.S. federal income tax purposes holds our ordinary shares or warrants, the tax treatment of a partner will generally depend upon the status of the partner and the activities of the partnership. A person that would be a U.S. Holder if it held our ordinary shares or warrants directly and that is a partner of a partnership holding our ordinary shares or warrants is urged to consult its own tax advisor.</w:t>
      </w:r>
    </w:p>
    <w:p>
      <w:pPr>
        <w:spacing w:after="0" w:line="227" w:lineRule="exact"/>
        <w:rPr>
          <w:sz w:val="20"/>
          <w:szCs w:val="20"/>
          <w:color w:val="auto"/>
        </w:rPr>
      </w:pPr>
    </w:p>
    <w:p>
      <w:pPr>
        <w:ind w:left="100"/>
        <w:spacing w:after="0"/>
        <w:rPr>
          <w:sz w:val="20"/>
          <w:szCs w:val="20"/>
          <w:color w:val="auto"/>
        </w:rPr>
      </w:pPr>
      <w:r>
        <w:rPr>
          <w:rFonts w:ascii="Arial" w:cs="Arial" w:eastAsia="Arial" w:hAnsi="Arial"/>
          <w:sz w:val="22"/>
          <w:szCs w:val="22"/>
          <w:b w:val="1"/>
          <w:bCs w:val="1"/>
          <w:i w:val="1"/>
          <w:iCs w:val="1"/>
          <w:color w:val="auto"/>
        </w:rPr>
        <w:t>Passive Foreign Investment Company</w:t>
      </w:r>
    </w:p>
    <w:p>
      <w:pPr>
        <w:spacing w:after="0" w:line="287" w:lineRule="exact"/>
        <w:rPr>
          <w:sz w:val="20"/>
          <w:szCs w:val="20"/>
          <w:color w:val="auto"/>
        </w:rPr>
      </w:pPr>
    </w:p>
    <w:p>
      <w:pPr>
        <w:ind w:left="100" w:right="440" w:firstLine="540"/>
        <w:spacing w:after="0" w:line="301" w:lineRule="auto"/>
        <w:rPr>
          <w:sz w:val="20"/>
          <w:szCs w:val="20"/>
          <w:color w:val="auto"/>
        </w:rPr>
      </w:pPr>
      <w:r>
        <w:rPr>
          <w:rFonts w:ascii="Arial" w:cs="Arial" w:eastAsia="Arial" w:hAnsi="Arial"/>
          <w:sz w:val="21"/>
          <w:szCs w:val="21"/>
          <w:color w:val="auto"/>
        </w:rPr>
        <w:t>A non-U.S. entity treated as a corporation for U.S. federal income tax purposes will generally be a passive foreign investment company (“PFIC”) for U.S. federal income tax purposes for any taxable year if either:</w:t>
      </w:r>
    </w:p>
    <w:p>
      <w:pPr>
        <w:spacing w:after="0" w:line="198" w:lineRule="exact"/>
        <w:rPr>
          <w:sz w:val="20"/>
          <w:szCs w:val="20"/>
          <w:color w:val="auto"/>
        </w:rPr>
      </w:pPr>
    </w:p>
    <w:p>
      <w:pPr>
        <w:ind w:left="740" w:hanging="314"/>
        <w:spacing w:after="0"/>
        <w:tabs>
          <w:tab w:leader="none" w:pos="74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at least 75% of its gross income for such year is passive income (such as interest income); or</w:t>
      </w:r>
    </w:p>
    <w:p>
      <w:pPr>
        <w:spacing w:after="0" w:line="279" w:lineRule="exact"/>
        <w:rPr>
          <w:rFonts w:ascii="Arial" w:cs="Arial" w:eastAsia="Arial" w:hAnsi="Arial"/>
          <w:sz w:val="18"/>
          <w:szCs w:val="18"/>
          <w:color w:val="auto"/>
        </w:rPr>
      </w:pPr>
    </w:p>
    <w:p>
      <w:pPr>
        <w:ind w:left="740" w:right="20" w:hanging="314"/>
        <w:spacing w:after="0" w:line="277" w:lineRule="auto"/>
        <w:tabs>
          <w:tab w:leader="none" w:pos="74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231" w:lineRule="exact"/>
        <w:rPr>
          <w:sz w:val="20"/>
          <w:szCs w:val="20"/>
          <w:color w:val="auto"/>
        </w:rPr>
      </w:pPr>
    </w:p>
    <w:p>
      <w:pPr>
        <w:jc w:val="both"/>
        <w:ind w:left="100" w:right="360" w:firstLine="540"/>
        <w:spacing w:after="0" w:line="266" w:lineRule="auto"/>
        <w:rPr>
          <w:sz w:val="20"/>
          <w:szCs w:val="20"/>
          <w:color w:val="auto"/>
        </w:rPr>
      </w:pPr>
      <w:r>
        <w:rPr>
          <w:rFonts w:ascii="Arial" w:cs="Arial" w:eastAsia="Arial" w:hAnsi="Arial"/>
          <w:sz w:val="22"/>
          <w:szCs w:val="22"/>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ectPr>
          <w:pgSz w:w="11900" w:h="16838" w:orient="portrait"/>
          <w:cols w:equalWidth="0" w:num="1">
            <w:col w:w="11240"/>
          </w:cols>
          <w:pgMar w:left="320" w:top="125" w:right="33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137" w:name="page138"/>
    <w:bookmarkEnd w:id="137"/>
    <w:p>
      <w:pPr>
        <w:jc w:val="both"/>
        <w:ind w:right="100" w:firstLine="540"/>
        <w:spacing w:after="0" w:line="303" w:lineRule="auto"/>
        <w:rPr>
          <w:sz w:val="20"/>
          <w:szCs w:val="20"/>
          <w:color w:val="auto"/>
        </w:rPr>
      </w:pPr>
      <w:r>
        <w:rPr>
          <w:rFonts w:ascii="Arial" w:cs="Arial" w:eastAsia="Arial" w:hAnsi="Arial"/>
          <w:sz w:val="19"/>
          <w:szCs w:val="19"/>
          <w:color w:val="auto"/>
        </w:rPr>
        <w:t>Starting in the first quarter of 2019, we began generating revenue under a collaboration agreement with Perrigo for the development of the generic version of Zovirax® (acyclovir) cream, 5%. We expect to generate substantial revenue under such agreement for our 2020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212" w:lineRule="exact"/>
        <w:rPr>
          <w:sz w:val="20"/>
          <w:szCs w:val="20"/>
          <w:color w:val="auto"/>
        </w:rPr>
      </w:pPr>
    </w:p>
    <w:p>
      <w:pPr>
        <w:jc w:val="both"/>
        <w:ind w:right="180" w:firstLine="540"/>
        <w:spacing w:after="0" w:line="305" w:lineRule="auto"/>
        <w:rPr>
          <w:sz w:val="20"/>
          <w:szCs w:val="20"/>
          <w:color w:val="auto"/>
        </w:rPr>
      </w:pPr>
      <w:r>
        <w:rPr>
          <w:rFonts w:ascii="Arial" w:cs="Arial" w:eastAsia="Arial" w:hAnsi="Arial"/>
          <w:sz w:val="19"/>
          <w:szCs w:val="19"/>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other ambiguities in applying the PFIC test to us. No rulings from the U.S. Internal Revenue Service (the “IRS”), however, have been or will be sought with respect to our status as a PFIC. If the IRS were to assert that, contrary to our expectation, we are a PFIC in the current taxable year or a future year, there would be adverse tax consequences to investors, including those described below. Potential investors are strongly advised to consult their own advisors regarding the consequences to them if we were to be considered a PFIC.</w:t>
      </w:r>
    </w:p>
    <w:p>
      <w:pPr>
        <w:spacing w:after="0" w:line="209" w:lineRule="exact"/>
        <w:rPr>
          <w:sz w:val="20"/>
          <w:szCs w:val="20"/>
          <w:color w:val="auto"/>
        </w:rPr>
      </w:pPr>
    </w:p>
    <w:p>
      <w:pPr>
        <w:jc w:val="both"/>
        <w:ind w:right="340" w:firstLine="540"/>
        <w:spacing w:after="0" w:line="276" w:lineRule="auto"/>
        <w:rPr>
          <w:sz w:val="20"/>
          <w:szCs w:val="20"/>
          <w:color w:val="auto"/>
        </w:rPr>
      </w:pPr>
      <w:r>
        <w:rPr>
          <w:rFonts w:ascii="Arial" w:cs="Arial" w:eastAsia="Arial" w:hAnsi="Arial"/>
          <w:sz w:val="21"/>
          <w:szCs w:val="21"/>
          <w:color w:val="auto"/>
        </w:rPr>
        <w:t>If we are a PFIC for any taxable year during your holding period for our ordinary shares (or under proposed Regulations, our warrants), we generally will continue to be treated as a PFIC with respect to your investment in our ordinary shares or warrants for all succeeding years during which you hold our ordinary shares or warrants, and, although subject to uncertainty, potentially our ordinary shares received upon exercise of such warrants. Certain elections (such as a deemed sale election) may be available under certain circumstances.</w:t>
      </w:r>
    </w:p>
    <w:p>
      <w:pPr>
        <w:spacing w:after="0" w:line="231" w:lineRule="exact"/>
        <w:rPr>
          <w:sz w:val="20"/>
          <w:szCs w:val="20"/>
          <w:color w:val="auto"/>
        </w:rPr>
      </w:pPr>
    </w:p>
    <w:p>
      <w:pPr>
        <w:jc w:val="both"/>
        <w:ind w:right="180" w:firstLine="540"/>
        <w:spacing w:after="0" w:line="274" w:lineRule="auto"/>
        <w:rPr>
          <w:sz w:val="20"/>
          <w:szCs w:val="20"/>
          <w:color w:val="auto"/>
        </w:rPr>
      </w:pPr>
      <w:r>
        <w:rPr>
          <w:rFonts w:ascii="Arial" w:cs="Arial" w:eastAsia="Arial" w:hAnsi="Arial"/>
          <w:sz w:val="21"/>
          <w:szCs w:val="21"/>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or warrants, unless you make a valid “mark-to-market” election as discussed below, which may not be available for the warrants. Distributions you receive in a taxable year that are greater than 125% of the average annual distributions you received during the shorter of the three preceding taxable years or your holding period will be treated as an excess distribution. Under these special tax rules:</w:t>
      </w:r>
    </w:p>
    <w:p>
      <w:pPr>
        <w:spacing w:after="0" w:line="229" w:lineRule="exact"/>
        <w:rPr>
          <w:sz w:val="20"/>
          <w:szCs w:val="20"/>
          <w:color w:val="auto"/>
        </w:rPr>
      </w:pPr>
    </w:p>
    <w:p>
      <w:pPr>
        <w:ind w:left="640" w:hanging="314"/>
        <w:spacing w:after="0"/>
        <w:tabs>
          <w:tab w:leader="none" w:pos="64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excess distribution or gain will be allocated ratably over your holding period;</w:t>
      </w:r>
    </w:p>
    <w:p>
      <w:pPr>
        <w:spacing w:after="0" w:line="279" w:lineRule="exact"/>
        <w:rPr>
          <w:rFonts w:ascii="Arial" w:cs="Arial" w:eastAsia="Arial" w:hAnsi="Arial"/>
          <w:sz w:val="18"/>
          <w:szCs w:val="18"/>
          <w:color w:val="auto"/>
        </w:rPr>
      </w:pPr>
    </w:p>
    <w:p>
      <w:pPr>
        <w:ind w:left="640" w:hanging="314"/>
        <w:spacing w:after="0" w:line="277" w:lineRule="auto"/>
        <w:tabs>
          <w:tab w:leader="none" w:pos="64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amount allocated to the current taxable year, and any taxable years in your holding period prior to the first taxable year in which we were a PFIC, will be treated as ordinary income; and</w:t>
      </w:r>
    </w:p>
    <w:p>
      <w:pPr>
        <w:spacing w:after="0" w:line="224" w:lineRule="exact"/>
        <w:rPr>
          <w:rFonts w:ascii="Arial" w:cs="Arial" w:eastAsia="Arial" w:hAnsi="Arial"/>
          <w:sz w:val="18"/>
          <w:szCs w:val="18"/>
          <w:color w:val="auto"/>
        </w:rPr>
      </w:pPr>
    </w:p>
    <w:p>
      <w:pPr>
        <w:jc w:val="both"/>
        <w:ind w:left="640" w:hanging="314"/>
        <w:spacing w:after="0" w:line="263" w:lineRule="auto"/>
        <w:tabs>
          <w:tab w:leader="none" w:pos="64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244" w:lineRule="exact"/>
        <w:rPr>
          <w:sz w:val="20"/>
          <w:szCs w:val="20"/>
          <w:color w:val="auto"/>
        </w:rPr>
      </w:pPr>
    </w:p>
    <w:p>
      <w:pPr>
        <w:jc w:val="both"/>
        <w:ind w:right="180" w:firstLine="539"/>
        <w:spacing w:after="0" w:line="284" w:lineRule="auto"/>
        <w:rPr>
          <w:sz w:val="20"/>
          <w:szCs w:val="20"/>
          <w:color w:val="auto"/>
        </w:rPr>
      </w:pPr>
      <w:r>
        <w:rPr>
          <w:rFonts w:ascii="Arial" w:cs="Arial" w:eastAsia="Arial" w:hAnsi="Arial"/>
          <w:sz w:val="21"/>
          <w:szCs w:val="21"/>
          <w:color w:val="auto"/>
        </w:rPr>
        <w:t>The tax liability for amounts allocated to taxable years prior to the year of disposition or excess distribution cannot be offset by any net operating losses, and gains (but not losses) realized on the sale of our ordinary shares or warrants cannot be treated as capital gains, even if you hold our ordinary shares or warrants as capital assets.</w:t>
      </w:r>
    </w:p>
    <w:p>
      <w:pPr>
        <w:spacing w:after="0" w:line="385" w:lineRule="exact"/>
        <w:rPr>
          <w:sz w:val="20"/>
          <w:szCs w:val="20"/>
          <w:color w:val="auto"/>
        </w:rPr>
      </w:pPr>
    </w:p>
    <w:p>
      <w:pPr>
        <w:jc w:val="center"/>
        <w:ind w:right="100"/>
        <w:spacing w:after="0"/>
        <w:rPr>
          <w:sz w:val="20"/>
          <w:szCs w:val="20"/>
          <w:color w:val="auto"/>
        </w:rPr>
      </w:pPr>
      <w:r>
        <w:rPr>
          <w:rFonts w:ascii="Arial" w:cs="Arial" w:eastAsia="Arial" w:hAnsi="Arial"/>
          <w:sz w:val="22"/>
          <w:szCs w:val="22"/>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41275</wp:posOffset>
            </wp:positionV>
            <wp:extent cx="7132320"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420" w:top="131" w:right="339" w:bottom="1440" w:gutter="0" w:footer="0" w:header="0"/>
        </w:sectPr>
      </w:pPr>
    </w:p>
    <w:bookmarkStart w:id="138" w:name="page139"/>
    <w:bookmarkEnd w:id="138"/>
    <w:p>
      <w:pPr>
        <w:jc w:val="both"/>
        <w:ind w:right="60" w:firstLine="539"/>
        <w:spacing w:after="0" w:line="308" w:lineRule="auto"/>
        <w:rPr>
          <w:sz w:val="20"/>
          <w:szCs w:val="20"/>
          <w:color w:val="auto"/>
        </w:rPr>
      </w:pPr>
      <w:r>
        <w:rPr>
          <w:rFonts w:ascii="Arial" w:cs="Arial" w:eastAsia="Arial" w:hAnsi="Arial"/>
          <w:sz w:val="19"/>
          <w:szCs w:val="19"/>
          <w:color w:val="auto"/>
        </w:rPr>
        <w:t>If we are treated as a PFIC with respect to you for any taxable year, to the extent any of our subsidiaries are also PFICs, you may be deemed to own a proportionate interest in such lower-tier PFICs that are directly or indirectly owned by us,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208" w:lineRule="exact"/>
        <w:rPr>
          <w:sz w:val="20"/>
          <w:szCs w:val="20"/>
          <w:color w:val="auto"/>
        </w:rPr>
      </w:pPr>
    </w:p>
    <w:p>
      <w:pPr>
        <w:jc w:val="both"/>
        <w:ind w:right="60" w:firstLine="539"/>
        <w:spacing w:after="0" w:line="301" w:lineRule="auto"/>
        <w:rPr>
          <w:sz w:val="20"/>
          <w:szCs w:val="20"/>
          <w:color w:val="auto"/>
        </w:rPr>
      </w:pPr>
      <w:r>
        <w:rPr>
          <w:rFonts w:ascii="Arial" w:cs="Arial" w:eastAsia="Arial" w:hAnsi="Arial"/>
          <w:sz w:val="19"/>
          <w:szCs w:val="19"/>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214" w:lineRule="exact"/>
        <w:rPr>
          <w:sz w:val="20"/>
          <w:szCs w:val="20"/>
          <w:color w:val="auto"/>
        </w:rPr>
      </w:pPr>
    </w:p>
    <w:p>
      <w:pPr>
        <w:jc w:val="both"/>
        <w:ind w:right="20" w:firstLine="539"/>
        <w:spacing w:after="0" w:line="269" w:lineRule="auto"/>
        <w:rPr>
          <w:sz w:val="20"/>
          <w:szCs w:val="20"/>
          <w:color w:val="auto"/>
        </w:rPr>
      </w:pPr>
      <w:r>
        <w:rPr>
          <w:rFonts w:ascii="Arial" w:cs="Arial" w:eastAsia="Arial" w:hAnsi="Arial"/>
          <w:sz w:val="21"/>
          <w:szCs w:val="21"/>
          <w:color w:val="auto"/>
        </w:rPr>
        <w:t>The mark-to-market election is available only for “marketable stock,” which is stock that is regularly traded on a qualified exchange or other market, as defined in applicable U.S. Treasury regulations, and may not include our warrants. Our ordinary shares are listed on the Nasdaq Global Market.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w:t>
      </w:r>
    </w:p>
    <w:p>
      <w:pPr>
        <w:spacing w:after="0" w:line="1" w:lineRule="exact"/>
        <w:rPr>
          <w:sz w:val="20"/>
          <w:szCs w:val="20"/>
          <w:color w:val="auto"/>
        </w:rPr>
      </w:pPr>
    </w:p>
    <w:p>
      <w:pPr>
        <w:jc w:val="both"/>
        <w:ind w:firstLine="539"/>
        <w:spacing w:after="0" w:line="261" w:lineRule="auto"/>
        <w:rPr>
          <w:sz w:val="20"/>
          <w:szCs w:val="20"/>
          <w:color w:val="auto"/>
        </w:rPr>
      </w:pPr>
      <w:r>
        <w:rPr>
          <w:rFonts w:ascii="Arial" w:cs="Arial" w:eastAsia="Arial" w:hAnsi="Arial"/>
          <w:sz w:val="22"/>
          <w:szCs w:val="22"/>
          <w:color w:val="auto"/>
        </w:rPr>
        <w:t>U.S. federal income tax purposes. The Nasdaq Global Market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245" w:lineRule="exact"/>
        <w:rPr>
          <w:sz w:val="20"/>
          <w:szCs w:val="20"/>
          <w:color w:val="auto"/>
        </w:rPr>
      </w:pPr>
    </w:p>
    <w:p>
      <w:pPr>
        <w:jc w:val="both"/>
        <w:ind w:right="40" w:firstLine="539"/>
        <w:spacing w:after="0" w:line="274" w:lineRule="auto"/>
        <w:rPr>
          <w:sz w:val="20"/>
          <w:szCs w:val="20"/>
          <w:color w:val="auto"/>
        </w:rPr>
      </w:pPr>
      <w:r>
        <w:rPr>
          <w:rFonts w:ascii="Arial" w:cs="Arial" w:eastAsia="Arial" w:hAnsi="Arial"/>
          <w:sz w:val="21"/>
          <w:szCs w:val="21"/>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 A qualified electing fund election may not be available for our warrants regardless of whether we provide such information.</w:t>
      </w:r>
    </w:p>
    <w:p>
      <w:pPr>
        <w:spacing w:after="0" w:line="236" w:lineRule="exact"/>
        <w:rPr>
          <w:sz w:val="20"/>
          <w:szCs w:val="20"/>
          <w:color w:val="auto"/>
        </w:rPr>
      </w:pPr>
    </w:p>
    <w:p>
      <w:pPr>
        <w:jc w:val="both"/>
        <w:ind w:right="60" w:firstLine="539"/>
        <w:spacing w:after="0" w:line="266" w:lineRule="auto"/>
        <w:rPr>
          <w:sz w:val="20"/>
          <w:szCs w:val="20"/>
          <w:color w:val="auto"/>
        </w:rPr>
      </w:pPr>
      <w:r>
        <w:rPr>
          <w:rFonts w:ascii="Arial" w:cs="Arial" w:eastAsia="Arial" w:hAnsi="Arial"/>
          <w:sz w:val="22"/>
          <w:szCs w:val="22"/>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an investment in ordinary shares or warrants.</w:t>
      </w:r>
    </w:p>
    <w:p>
      <w:pPr>
        <w:spacing w:after="0" w:line="239" w:lineRule="exact"/>
        <w:rPr>
          <w:sz w:val="20"/>
          <w:szCs w:val="20"/>
          <w:color w:val="auto"/>
        </w:rPr>
      </w:pPr>
    </w:p>
    <w:p>
      <w:pPr>
        <w:jc w:val="both"/>
        <w:ind w:right="40" w:firstLine="539"/>
        <w:spacing w:after="0" w:line="262" w:lineRule="auto"/>
        <w:rPr>
          <w:sz w:val="20"/>
          <w:szCs w:val="20"/>
          <w:color w:val="auto"/>
        </w:rPr>
      </w:pPr>
      <w:r>
        <w:rPr>
          <w:rFonts w:ascii="Arial" w:cs="Arial" w:eastAsia="Arial" w:hAnsi="Arial"/>
          <w:sz w:val="22"/>
          <w:szCs w:val="22"/>
          <w:color w:val="auto"/>
        </w:rPr>
        <w:t>YOU ARE STRONGLY URGED TO CONSULT YOUR TAX ADVISOR REGARDING THE IMPACT ON YOUR INVESTMENT IN OUR ORDINARY SHARES OR WARRANTS IF WE WERE TO BE CONSIDERED A PFIC AS WELL AS THE APPLICATION OF THE PFIC RULES AND THE POSSIBILITY OF MAKING A MARK-TO-MARKET ELECTION.</w:t>
      </w:r>
    </w:p>
    <w:p>
      <w:pPr>
        <w:spacing w:after="0" w:line="200" w:lineRule="exact"/>
        <w:rPr>
          <w:sz w:val="20"/>
          <w:szCs w:val="20"/>
          <w:color w:val="auto"/>
        </w:rPr>
      </w:pP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41275</wp:posOffset>
            </wp:positionV>
            <wp:extent cx="7132320" cy="171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60"/>
          </w:cols>
          <w:pgMar w:left="420" w:top="131" w:right="419" w:bottom="1440" w:gutter="0" w:footer="0" w:header="0"/>
        </w:sectPr>
      </w:pPr>
    </w:p>
    <w:bookmarkStart w:id="139" w:name="page140"/>
    <w:bookmarkEnd w:id="139"/>
    <w:p>
      <w:pPr>
        <w:ind w:left="100"/>
        <w:spacing w:after="0"/>
        <w:rPr>
          <w:sz w:val="20"/>
          <w:szCs w:val="20"/>
          <w:color w:val="auto"/>
        </w:rPr>
      </w:pPr>
      <w:r>
        <w:rPr>
          <w:rFonts w:ascii="Arial" w:cs="Arial" w:eastAsia="Arial" w:hAnsi="Arial"/>
          <w:sz w:val="22"/>
          <w:szCs w:val="22"/>
          <w:b w:val="1"/>
          <w:bCs w:val="1"/>
          <w:i w:val="1"/>
          <w:iCs w:val="1"/>
          <w:color w:val="auto"/>
        </w:rPr>
        <w:t>Taxation of Dividends and Other Distributions on our Ordinary Shares</w:t>
      </w:r>
    </w:p>
    <w:p>
      <w:pPr>
        <w:spacing w:after="0" w:line="287" w:lineRule="exact"/>
        <w:rPr>
          <w:sz w:val="20"/>
          <w:szCs w:val="20"/>
          <w:color w:val="auto"/>
        </w:rPr>
      </w:pPr>
    </w:p>
    <w:p>
      <w:pPr>
        <w:jc w:val="both"/>
        <w:ind w:left="100" w:right="60" w:firstLine="540"/>
        <w:spacing w:after="0" w:line="268" w:lineRule="auto"/>
        <w:rPr>
          <w:sz w:val="20"/>
          <w:szCs w:val="20"/>
          <w:color w:val="auto"/>
        </w:rPr>
      </w:pPr>
      <w:r>
        <w:rPr>
          <w:rFonts w:ascii="Arial" w:cs="Arial" w:eastAsia="Arial" w:hAnsi="Arial"/>
          <w:sz w:val="21"/>
          <w:szCs w:val="21"/>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w:t>
      </w:r>
    </w:p>
    <w:p>
      <w:pPr>
        <w:spacing w:after="0" w:line="8" w:lineRule="exact"/>
        <w:rPr>
          <w:sz w:val="20"/>
          <w:szCs w:val="20"/>
          <w:color w:val="auto"/>
        </w:rPr>
      </w:pPr>
    </w:p>
    <w:p>
      <w:pPr>
        <w:jc w:val="both"/>
        <w:ind w:left="100" w:right="180"/>
        <w:spacing w:after="0" w:line="264" w:lineRule="auto"/>
        <w:rPr>
          <w:sz w:val="20"/>
          <w:szCs w:val="20"/>
          <w:color w:val="auto"/>
        </w:rPr>
      </w:pPr>
      <w:r>
        <w:rPr>
          <w:rFonts w:ascii="Arial" w:cs="Arial" w:eastAsia="Arial" w:hAnsi="Arial"/>
          <w:sz w:val="22"/>
          <w:szCs w:val="22"/>
          <w:color w:val="auto"/>
        </w:rPr>
        <w:t>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241" w:lineRule="exact"/>
        <w:rPr>
          <w:sz w:val="20"/>
          <w:szCs w:val="20"/>
          <w:color w:val="auto"/>
        </w:rPr>
      </w:pPr>
    </w:p>
    <w:p>
      <w:pPr>
        <w:jc w:val="both"/>
        <w:ind w:left="100" w:right="40" w:firstLine="540"/>
        <w:spacing w:after="0" w:line="274" w:lineRule="auto"/>
        <w:rPr>
          <w:sz w:val="20"/>
          <w:szCs w:val="20"/>
          <w:color w:val="auto"/>
        </w:rPr>
      </w:pPr>
      <w:r>
        <w:rPr>
          <w:rFonts w:ascii="Arial" w:cs="Arial" w:eastAsia="Arial" w:hAnsi="Arial"/>
          <w:sz w:val="21"/>
          <w:szCs w:val="21"/>
          <w:color w:val="auto"/>
        </w:rPr>
        <w:t>With respect to certain non-corporate U.S. Holders, including individual U.S. Holders, dividends may be taxed at the lower capital gain rates applicable to “qualified dividend income,” provided (i) our ordinary shares are readily tradable on an established securities market in the United States (such as the Nasdaq Global Market), (ii) we are neither a PFIC nor treated as such with respect to you (as discussed above) for either the taxable year in which the dividend was paid or the preceding taxable year, (iii) certain holding period requirements are met and (iv) you are not under an obligation to make related payments with respect to positions in substantially similar or related property.</w:t>
      </w:r>
    </w:p>
    <w:p>
      <w:pPr>
        <w:spacing w:after="0" w:line="236" w:lineRule="exact"/>
        <w:rPr>
          <w:sz w:val="20"/>
          <w:szCs w:val="20"/>
          <w:color w:val="auto"/>
        </w:rPr>
      </w:pPr>
    </w:p>
    <w:p>
      <w:pPr>
        <w:jc w:val="both"/>
        <w:ind w:left="100" w:right="80" w:firstLine="540"/>
        <w:spacing w:after="0" w:line="262" w:lineRule="auto"/>
        <w:rPr>
          <w:sz w:val="20"/>
          <w:szCs w:val="20"/>
          <w:color w:val="auto"/>
        </w:rPr>
      </w:pPr>
      <w:r>
        <w:rPr>
          <w:rFonts w:ascii="Arial" w:cs="Arial" w:eastAsia="Arial" w:hAnsi="Arial"/>
          <w:sz w:val="22"/>
          <w:szCs w:val="22"/>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245" w:lineRule="exact"/>
        <w:rPr>
          <w:sz w:val="20"/>
          <w:szCs w:val="20"/>
          <w:color w:val="auto"/>
        </w:rPr>
      </w:pPr>
    </w:p>
    <w:p>
      <w:pPr>
        <w:jc w:val="both"/>
        <w:ind w:left="100" w:firstLine="540"/>
        <w:spacing w:after="0" w:line="308" w:lineRule="auto"/>
        <w:rPr>
          <w:sz w:val="20"/>
          <w:szCs w:val="20"/>
          <w:color w:val="auto"/>
        </w:rPr>
      </w:pPr>
      <w:r>
        <w:rPr>
          <w:rFonts w:ascii="Arial" w:cs="Arial" w:eastAsia="Arial" w:hAnsi="Arial"/>
          <w:sz w:val="19"/>
          <w:szCs w:val="19"/>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08" w:lineRule="exact"/>
        <w:rPr>
          <w:sz w:val="20"/>
          <w:szCs w:val="20"/>
          <w:color w:val="auto"/>
        </w:rPr>
      </w:pPr>
    </w:p>
    <w:p>
      <w:pPr>
        <w:jc w:val="both"/>
        <w:ind w:left="100" w:right="20" w:firstLine="540"/>
        <w:spacing w:after="0" w:line="305" w:lineRule="auto"/>
        <w:rPr>
          <w:sz w:val="20"/>
          <w:szCs w:val="20"/>
          <w:color w:val="auto"/>
        </w:rPr>
      </w:pPr>
      <w:r>
        <w:rPr>
          <w:rFonts w:ascii="Arial" w:cs="Arial" w:eastAsia="Arial" w:hAnsi="Arial"/>
          <w:sz w:val="19"/>
          <w:szCs w:val="19"/>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Constructive Dividends on our Ordinary Shares or Warrants</w:t>
      </w:r>
    </w:p>
    <w:p>
      <w:pPr>
        <w:spacing w:after="0" w:line="287" w:lineRule="exact"/>
        <w:rPr>
          <w:sz w:val="20"/>
          <w:szCs w:val="20"/>
          <w:color w:val="auto"/>
        </w:rPr>
      </w:pPr>
    </w:p>
    <w:p>
      <w:pPr>
        <w:jc w:val="both"/>
        <w:ind w:left="100" w:right="40" w:firstLine="540"/>
        <w:spacing w:after="0" w:line="304" w:lineRule="auto"/>
        <w:rPr>
          <w:sz w:val="20"/>
          <w:szCs w:val="20"/>
          <w:color w:val="auto"/>
        </w:rPr>
      </w:pPr>
      <w:r>
        <w:rPr>
          <w:rFonts w:ascii="Arial" w:cs="Arial" w:eastAsia="Arial" w:hAnsi="Arial"/>
          <w:sz w:val="19"/>
          <w:szCs w:val="19"/>
          <w:color w:val="auto"/>
        </w:rPr>
        <w:t>If the exercise price of our warrants is adjusted in certain circumstances (or in certain circumstances, there is a failure to make adjustments or a failure to make adequate adjustments), that adjustment (or failure to adjust) may result in the deemed payment of a taxable dividend to a U.S. Holder of the warrants or our ordinary shares. Any such constructive dividend will be taxable generally as described above under “Taxation of Dividends and Other Distributions on our Ordinary Shares.” Generally, a U.S. Holder’s tax basis in our ordinary shares or the warrants will be increased to the extent of any such constructive dividend. It is not entirely clear whether a constructive dividend deemed paid to a non-corporate U.S. Holder could be “qualified dividend income” as discussed above under “Taxation of Dividends and Other Distributions on our Ordinary Shares.” U.S. Holders should consult their tax advisers regarding the proper U.S. federal income tax treatment of any adjustments to (or failure to adjust or adjust adequately) the exercise price of the warrants.</w:t>
      </w:r>
    </w:p>
    <w:p>
      <w:pPr>
        <w:sectPr>
          <w:pgSz w:w="11900" w:h="16838" w:orient="portrait"/>
          <w:cols w:equalWidth="0" w:num="1">
            <w:col w:w="11160"/>
          </w:cols>
          <w:pgMar w:left="320" w:top="131" w:right="419" w:bottom="911" w:gutter="0" w:footer="0" w:header="0"/>
        </w:sectPr>
      </w:pPr>
    </w:p>
    <w:p>
      <w:pPr>
        <w:spacing w:after="0" w:line="371" w:lineRule="exact"/>
        <w:rPr>
          <w:sz w:val="20"/>
          <w:szCs w:val="20"/>
          <w:color w:val="auto"/>
        </w:rPr>
      </w:pPr>
    </w:p>
    <w:p>
      <w:pPr>
        <w:jc w:val="center"/>
        <w:ind w:right="-79"/>
        <w:spacing w:after="0"/>
        <w:rPr>
          <w:sz w:val="20"/>
          <w:szCs w:val="20"/>
          <w:color w:val="auto"/>
        </w:rPr>
      </w:pPr>
      <w:r>
        <w:rPr>
          <w:rFonts w:ascii="Arial" w:cs="Arial" w:eastAsia="Arial" w:hAnsi="Arial"/>
          <w:sz w:val="19"/>
          <w:szCs w:val="19"/>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131" w:right="419" w:bottom="911" w:gutter="0" w:footer="0" w:header="0"/>
          <w:type w:val="continuous"/>
        </w:sectPr>
      </w:pPr>
    </w:p>
    <w:bookmarkStart w:id="140" w:name="page141"/>
    <w:bookmarkEnd w:id="140"/>
    <w:p>
      <w:pPr>
        <w:jc w:val="both"/>
        <w:ind w:firstLine="540"/>
        <w:spacing w:after="0" w:line="302" w:lineRule="auto"/>
        <w:rPr>
          <w:sz w:val="20"/>
          <w:szCs w:val="20"/>
          <w:color w:val="auto"/>
        </w:rPr>
      </w:pPr>
      <w:r>
        <w:rPr>
          <w:rFonts w:ascii="Arial" w:cs="Arial" w:eastAsia="Arial" w:hAnsi="Arial"/>
          <w:sz w:val="19"/>
          <w:szCs w:val="19"/>
          <w:color w:val="auto"/>
        </w:rPr>
        <w:t>We are currently required to report the amount of any constructive dividends on our website or to the IRS and to holders not exempt from reporting. The IRS has proposed regulations addressing the amount and timing of constructive dividends, as well as, obligations of withholding agents and filing and notice obligations of issuers in respect of such constructive dividends. If adopted as proposed, the regulations would generally provide that (i) the amount of a constructive dividend is the excess of the fair market value of the right to acquire stock immediately after the exercise price adjustment over the fair market value of the right to acquire stock (after the exercise price adjustment) without the adjustment, (ii) the constructive dividend occurs at the earlier of the date the adjustment occurs under the terms of the instrument and the date of the actual distribution of cash or property that results in the constructive dividend and (iii) we are required to report the amount of any constructive dividends on our website or to the IRS and to all holders (including holders that would otherwise be exempt from reporting). The final regulations will be effective for constructive dividends occurring on or after the date of adoption, but holders and withholding agents may rely on them prior to that date under certain circumstances.</w:t>
      </w:r>
    </w:p>
    <w:p>
      <w:pPr>
        <w:spacing w:after="0" w:line="21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Taxation of Disposition of our Ordinary Shares or Warrants</w:t>
      </w:r>
    </w:p>
    <w:p>
      <w:pPr>
        <w:spacing w:after="0" w:line="287" w:lineRule="exact"/>
        <w:rPr>
          <w:sz w:val="20"/>
          <w:szCs w:val="20"/>
          <w:color w:val="auto"/>
        </w:rPr>
      </w:pPr>
    </w:p>
    <w:p>
      <w:pPr>
        <w:jc w:val="both"/>
        <w:ind w:right="20" w:firstLine="540"/>
        <w:spacing w:after="0" w:line="302" w:lineRule="auto"/>
        <w:rPr>
          <w:sz w:val="20"/>
          <w:szCs w:val="20"/>
          <w:color w:val="auto"/>
        </w:rPr>
      </w:pPr>
      <w:r>
        <w:rPr>
          <w:rFonts w:ascii="Arial" w:cs="Arial" w:eastAsia="Arial" w:hAnsi="Arial"/>
          <w:sz w:val="19"/>
          <w:szCs w:val="19"/>
          <w:color w:val="auto"/>
        </w:rPr>
        <w:t>Subject to the PFIC rules discussed above, upon a sale or other disposition of our ordinary shares or warrants, you will generally recognize capital gain or loss for U.S. federal income tax purposes in an amount equal to the difference between the amount realized (including the amount of any tax withheld) and your tax basis in such ordinary shares or warrants. If the consideration you receive for our ordinary shares or warrants is not paid in U.S. dollars, the amount realized will be the U.S. dollar value of the payment received determined by reference to the spot rate of exchange on the date of the sale or other disposition. However, if our ordinary shares or warrants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200" w:lineRule="exact"/>
        <w:rPr>
          <w:sz w:val="20"/>
          <w:szCs w:val="20"/>
          <w:color w:val="auto"/>
        </w:rPr>
      </w:pPr>
    </w:p>
    <w:p>
      <w:pPr>
        <w:spacing w:after="0" w:line="281" w:lineRule="exact"/>
        <w:rPr>
          <w:sz w:val="20"/>
          <w:szCs w:val="20"/>
          <w:color w:val="auto"/>
        </w:rPr>
      </w:pPr>
    </w:p>
    <w:p>
      <w:pPr>
        <w:jc w:val="both"/>
        <w:ind w:firstLine="540"/>
        <w:spacing w:after="0" w:line="308" w:lineRule="auto"/>
        <w:rPr>
          <w:sz w:val="20"/>
          <w:szCs w:val="20"/>
          <w:color w:val="auto"/>
        </w:rPr>
      </w:pPr>
      <w:r>
        <w:rPr>
          <w:rFonts w:ascii="Arial" w:cs="Arial" w:eastAsia="Arial" w:hAnsi="Arial"/>
          <w:sz w:val="19"/>
          <w:szCs w:val="19"/>
          <w:color w:val="auto"/>
        </w:rPr>
        <w:t>Any gain or loss on the sale or other disposition of our ordinary shares or warrants will generally be treated as U.S. source income or loss and treated as long-term capital gain or loss if your holding period in our ordinary shares or warrants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20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Taxation of Exercise or Expiration of our Warrants</w:t>
      </w:r>
    </w:p>
    <w:p>
      <w:pPr>
        <w:spacing w:after="0" w:line="287" w:lineRule="exact"/>
        <w:rPr>
          <w:sz w:val="20"/>
          <w:szCs w:val="20"/>
          <w:color w:val="auto"/>
        </w:rPr>
      </w:pPr>
    </w:p>
    <w:p>
      <w:pPr>
        <w:jc w:val="both"/>
        <w:ind w:right="20" w:firstLine="539"/>
        <w:spacing w:after="0" w:line="279" w:lineRule="auto"/>
        <w:rPr>
          <w:sz w:val="20"/>
          <w:szCs w:val="20"/>
          <w:color w:val="auto"/>
        </w:rPr>
      </w:pPr>
      <w:r>
        <w:rPr>
          <w:rFonts w:ascii="Arial" w:cs="Arial" w:eastAsia="Arial" w:hAnsi="Arial"/>
          <w:sz w:val="21"/>
          <w:szCs w:val="21"/>
          <w:color w:val="auto"/>
        </w:rPr>
        <w:t>In general, you will not be required to recognize income, gain or loss upon exercise of our warrants by payment of the exercise price. Your tax basis in our ordinary shares received upon exercise of our warrants will be equal to the sum of (1) your tax basis in the warrants exchanged therefor and (2) the exercise price of the warrants. Your holding period in our ordinary shares received upon exercise will commence on the day after you exercise the warrants.</w:t>
      </w:r>
    </w:p>
    <w:p>
      <w:pPr>
        <w:spacing w:after="0" w:line="227" w:lineRule="exact"/>
        <w:rPr>
          <w:sz w:val="20"/>
          <w:szCs w:val="20"/>
          <w:color w:val="auto"/>
        </w:rPr>
      </w:pPr>
    </w:p>
    <w:p>
      <w:pPr>
        <w:jc w:val="both"/>
        <w:ind w:right="80" w:firstLine="539"/>
        <w:spacing w:after="0" w:line="266" w:lineRule="auto"/>
        <w:rPr>
          <w:sz w:val="20"/>
          <w:szCs w:val="20"/>
          <w:color w:val="auto"/>
        </w:rPr>
      </w:pPr>
      <w:r>
        <w:rPr>
          <w:rFonts w:ascii="Arial" w:cs="Arial" w:eastAsia="Arial" w:hAnsi="Arial"/>
          <w:sz w:val="22"/>
          <w:szCs w:val="22"/>
          <w:color w:val="auto"/>
        </w:rPr>
        <w:t>If the warrants expire without being exercised, you will recognize a capital loss in an amount equal to your tax basis in the warrants. Such loss will be long-term capital loss if, at the time of the expiration, your holding period in the warrants is more than one year. The deductibility of capital losses is subject to limitations.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41275</wp:posOffset>
            </wp:positionV>
            <wp:extent cx="7132320" cy="171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40"/>
          </w:cols>
          <w:pgMar w:left="420" w:top="131" w:right="439" w:bottom="1440" w:gutter="0" w:footer="0" w:header="0"/>
        </w:sectPr>
      </w:pPr>
    </w:p>
    <w:bookmarkStart w:id="141" w:name="page142"/>
    <w:bookmarkEnd w:id="141"/>
    <w:p>
      <w:pPr>
        <w:ind w:left="100"/>
        <w:spacing w:after="0"/>
        <w:rPr>
          <w:sz w:val="20"/>
          <w:szCs w:val="20"/>
          <w:color w:val="auto"/>
        </w:rPr>
      </w:pPr>
      <w:r>
        <w:rPr>
          <w:rFonts w:ascii="Arial" w:cs="Arial" w:eastAsia="Arial" w:hAnsi="Arial"/>
          <w:sz w:val="22"/>
          <w:szCs w:val="22"/>
          <w:b w:val="1"/>
          <w:bCs w:val="1"/>
          <w:i w:val="1"/>
          <w:iCs w:val="1"/>
          <w:color w:val="auto"/>
        </w:rPr>
        <w:t>Information Reporting and Backup Withholding</w:t>
      </w:r>
    </w:p>
    <w:p>
      <w:pPr>
        <w:spacing w:after="0" w:line="287" w:lineRule="exact"/>
        <w:rPr>
          <w:sz w:val="20"/>
          <w:szCs w:val="20"/>
          <w:color w:val="auto"/>
        </w:rPr>
      </w:pPr>
    </w:p>
    <w:p>
      <w:pPr>
        <w:jc w:val="both"/>
        <w:ind w:left="100" w:right="100" w:firstLine="539"/>
        <w:spacing w:after="0" w:line="259" w:lineRule="auto"/>
        <w:rPr>
          <w:sz w:val="20"/>
          <w:szCs w:val="20"/>
          <w:color w:val="auto"/>
        </w:rPr>
      </w:pPr>
      <w:r>
        <w:rPr>
          <w:rFonts w:ascii="Arial" w:cs="Arial" w:eastAsia="Arial" w:hAnsi="Arial"/>
          <w:sz w:val="22"/>
          <w:szCs w:val="22"/>
          <w:color w:val="auto"/>
        </w:rPr>
        <w:t>Dividend payments (including constructive dividends) with respect to our ordinary shares or warrants and proceeds from the sale, exchange or redemption of our ordinary shares or warrants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49" w:lineRule="exact"/>
        <w:rPr>
          <w:sz w:val="20"/>
          <w:szCs w:val="20"/>
          <w:color w:val="auto"/>
        </w:rPr>
      </w:pPr>
    </w:p>
    <w:p>
      <w:pPr>
        <w:jc w:val="both"/>
        <w:ind w:left="100" w:right="120" w:firstLine="539"/>
        <w:spacing w:after="0" w:line="327" w:lineRule="auto"/>
        <w:rPr>
          <w:sz w:val="20"/>
          <w:szCs w:val="20"/>
          <w:color w:val="auto"/>
        </w:rPr>
      </w:pPr>
      <w:r>
        <w:rPr>
          <w:rFonts w:ascii="Arial" w:cs="Arial" w:eastAsia="Arial" w:hAnsi="Arial"/>
          <w:sz w:val="19"/>
          <w:szCs w:val="19"/>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187" w:lineRule="exact"/>
        <w:rPr>
          <w:sz w:val="20"/>
          <w:szCs w:val="20"/>
          <w:color w:val="auto"/>
        </w:rPr>
      </w:pPr>
    </w:p>
    <w:p>
      <w:pPr>
        <w:ind w:left="100"/>
        <w:spacing w:after="0"/>
        <w:rPr>
          <w:sz w:val="20"/>
          <w:szCs w:val="20"/>
          <w:color w:val="auto"/>
        </w:rPr>
      </w:pPr>
      <w:r>
        <w:rPr>
          <w:rFonts w:ascii="Arial" w:cs="Arial" w:eastAsia="Arial" w:hAnsi="Arial"/>
          <w:sz w:val="22"/>
          <w:szCs w:val="22"/>
          <w:b w:val="1"/>
          <w:bCs w:val="1"/>
          <w:i w:val="1"/>
          <w:iCs w:val="1"/>
          <w:color w:val="auto"/>
        </w:rPr>
        <w:t>Information with respect to Foreign Financial Assets</w:t>
      </w:r>
    </w:p>
    <w:p>
      <w:pPr>
        <w:spacing w:after="0" w:line="287" w:lineRule="exact"/>
        <w:rPr>
          <w:sz w:val="20"/>
          <w:szCs w:val="20"/>
          <w:color w:val="auto"/>
        </w:rPr>
      </w:pPr>
    </w:p>
    <w:p>
      <w:pPr>
        <w:jc w:val="both"/>
        <w:ind w:left="100" w:right="20" w:firstLine="539"/>
        <w:spacing w:after="0" w:line="317" w:lineRule="auto"/>
        <w:rPr>
          <w:sz w:val="20"/>
          <w:szCs w:val="20"/>
          <w:color w:val="auto"/>
        </w:rPr>
      </w:pPr>
      <w:r>
        <w:rPr>
          <w:rFonts w:ascii="Arial" w:cs="Arial" w:eastAsia="Arial" w:hAnsi="Arial"/>
          <w:sz w:val="19"/>
          <w:szCs w:val="19"/>
          <w:color w:val="auto"/>
        </w:rPr>
        <w:t>Certain U.S. Holders may be required to report information relating to an interest in our ordinary shares or warrants,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196" w:lineRule="exact"/>
        <w:rPr>
          <w:sz w:val="20"/>
          <w:szCs w:val="20"/>
          <w:color w:val="auto"/>
        </w:rPr>
      </w:pPr>
    </w:p>
    <w:p>
      <w:pPr>
        <w:jc w:val="both"/>
        <w:ind w:left="100" w:right="340" w:firstLine="539"/>
        <w:spacing w:after="0" w:line="261" w:lineRule="auto"/>
        <w:rPr>
          <w:sz w:val="20"/>
          <w:szCs w:val="20"/>
          <w:color w:val="auto"/>
        </w:rPr>
      </w:pPr>
      <w:r>
        <w:rPr>
          <w:rFonts w:ascii="Arial" w:cs="Arial" w:eastAsia="Arial" w:hAnsi="Arial"/>
          <w:sz w:val="22"/>
          <w:szCs w:val="22"/>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AN INVESTMENT IN OUR ORDINARY SHARES OR WARRANTS.</w:t>
      </w:r>
    </w:p>
    <w:p>
      <w:pPr>
        <w:spacing w:after="0" w:line="238" w:lineRule="exact"/>
        <w:rPr>
          <w:sz w:val="20"/>
          <w:szCs w:val="20"/>
          <w:color w:val="auto"/>
        </w:rPr>
      </w:pPr>
    </w:p>
    <w:p>
      <w:pPr>
        <w:ind w:left="720" w:hanging="712"/>
        <w:spacing w:after="0"/>
        <w:tabs>
          <w:tab w:leader="none" w:pos="720" w:val="left"/>
        </w:tabs>
        <w:numPr>
          <w:ilvl w:val="0"/>
          <w:numId w:val="126"/>
        </w:numPr>
        <w:rPr>
          <w:rFonts w:ascii="Arial" w:cs="Arial" w:eastAsia="Arial" w:hAnsi="Arial"/>
          <w:sz w:val="22"/>
          <w:szCs w:val="22"/>
          <w:b w:val="1"/>
          <w:bCs w:val="1"/>
          <w:color w:val="auto"/>
        </w:rPr>
      </w:pPr>
      <w:r>
        <w:rPr>
          <w:rFonts w:ascii="Arial" w:cs="Arial" w:eastAsia="Arial" w:hAnsi="Arial"/>
          <w:sz w:val="22"/>
          <w:szCs w:val="22"/>
          <w:b w:val="1"/>
          <w:bCs w:val="1"/>
          <w:color w:val="auto"/>
        </w:rPr>
        <w:t>Dividends and Paying Agents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80" w:hanging="772"/>
        <w:spacing w:after="0"/>
        <w:tabs>
          <w:tab w:leader="none" w:pos="780" w:val="left"/>
        </w:tabs>
        <w:numPr>
          <w:ilvl w:val="0"/>
          <w:numId w:val="127"/>
        </w:numPr>
        <w:rPr>
          <w:rFonts w:ascii="Arial" w:cs="Arial" w:eastAsia="Arial" w:hAnsi="Arial"/>
          <w:sz w:val="22"/>
          <w:szCs w:val="22"/>
          <w:b w:val="1"/>
          <w:bCs w:val="1"/>
          <w:color w:val="auto"/>
        </w:rPr>
      </w:pPr>
      <w:r>
        <w:rPr>
          <w:rFonts w:ascii="Arial" w:cs="Arial" w:eastAsia="Arial" w:hAnsi="Arial"/>
          <w:sz w:val="22"/>
          <w:szCs w:val="22"/>
          <w:b w:val="1"/>
          <w:bCs w:val="1"/>
          <w:color w:val="auto"/>
        </w:rPr>
        <w:t>Statement by Experts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80" w:hanging="772"/>
        <w:spacing w:after="0"/>
        <w:tabs>
          <w:tab w:leader="none" w:pos="780" w:val="left"/>
        </w:tabs>
        <w:numPr>
          <w:ilvl w:val="0"/>
          <w:numId w:val="128"/>
        </w:numPr>
        <w:rPr>
          <w:rFonts w:ascii="Arial" w:cs="Arial" w:eastAsia="Arial" w:hAnsi="Arial"/>
          <w:sz w:val="22"/>
          <w:szCs w:val="22"/>
          <w:b w:val="1"/>
          <w:bCs w:val="1"/>
          <w:color w:val="auto"/>
        </w:rPr>
      </w:pPr>
      <w:r>
        <w:rPr>
          <w:rFonts w:ascii="Arial" w:cs="Arial" w:eastAsia="Arial" w:hAnsi="Arial"/>
          <w:sz w:val="22"/>
          <w:szCs w:val="22"/>
          <w:b w:val="1"/>
          <w:bCs w:val="1"/>
          <w:color w:val="auto"/>
        </w:rPr>
        <w:t>Documents on Display</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 xml:space="preserve">We are subject to the information reporting requirements of the Exchange Act, applicable to foreign private issuers, and under those requirements, we file reports with the SEC. Our filings with the SEC are available to the public through the SEC’s website at </w:t>
      </w:r>
      <w:r>
        <w:rPr>
          <w:rFonts w:ascii="Arial" w:cs="Arial" w:eastAsia="Arial" w:hAnsi="Arial"/>
          <w:sz w:val="22"/>
          <w:szCs w:val="22"/>
          <w:i w:val="1"/>
          <w:iCs w:val="1"/>
          <w:u w:val="single" w:color="auto"/>
          <w:color w:val="auto"/>
        </w:rPr>
        <w:t>http://www.sec.gov</w:t>
      </w:r>
      <w:r>
        <w:rPr>
          <w:rFonts w:ascii="Arial" w:cs="Arial" w:eastAsia="Arial" w:hAnsi="Arial"/>
          <w:sz w:val="22"/>
          <w:szCs w:val="22"/>
          <w:color w:val="auto"/>
        </w:rPr>
        <w:t>.</w:t>
      </w:r>
    </w:p>
    <w:p>
      <w:pPr>
        <w:spacing w:after="0" w:line="23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As a foreign private issuer, we are exempt from the rules under the Exchange Act, related to the furnishing and content of proxy statements, and our officers, directors and principal shareholders are exempt from the reporting and short-swing profit recovery provisions contained in Section 16 of the Exchange Act. In addition, we are not required under the Exchange Act, to file annual, quarterly and current reports and financial statements with the SEC as frequently or as promptly as U.S. companies whose securities are registered under the Exchange Act. However, we are required to comply with the informational requirements of the Exchange Act, and, accordingly, file current reports on Form 6-K, annual reports on Form 20-F and other information with the SEC.</w:t>
      </w:r>
    </w:p>
    <w:p>
      <w:pPr>
        <w:spacing w:after="0" w:line="243" w:lineRule="exact"/>
        <w:rPr>
          <w:sz w:val="20"/>
          <w:szCs w:val="20"/>
          <w:color w:val="auto"/>
        </w:rPr>
      </w:pPr>
    </w:p>
    <w:p>
      <w:pPr>
        <w:ind w:left="740" w:hanging="732"/>
        <w:spacing w:after="0"/>
        <w:tabs>
          <w:tab w:leader="none" w:pos="740" w:val="left"/>
        </w:tabs>
        <w:numPr>
          <w:ilvl w:val="0"/>
          <w:numId w:val="129"/>
        </w:numPr>
        <w:rPr>
          <w:rFonts w:ascii="Arial" w:cs="Arial" w:eastAsia="Arial" w:hAnsi="Arial"/>
          <w:sz w:val="22"/>
          <w:szCs w:val="22"/>
          <w:b w:val="1"/>
          <w:bCs w:val="1"/>
          <w:color w:val="auto"/>
        </w:rPr>
      </w:pPr>
      <w:r>
        <w:rPr>
          <w:rFonts w:ascii="Arial" w:cs="Arial" w:eastAsia="Arial" w:hAnsi="Arial"/>
          <w:sz w:val="22"/>
          <w:szCs w:val="22"/>
          <w:b w:val="1"/>
          <w:bCs w:val="1"/>
          <w:color w:val="auto"/>
        </w:rPr>
        <w:t>Subsidiary Information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11.</w:t>
      </w:r>
      <w:r>
        <w:rPr>
          <w:sz w:val="20"/>
          <w:szCs w:val="20"/>
          <w:color w:val="auto"/>
        </w:rPr>
        <w:tab/>
      </w:r>
      <w:r>
        <w:rPr>
          <w:rFonts w:ascii="Arial" w:cs="Arial" w:eastAsia="Arial" w:hAnsi="Arial"/>
          <w:sz w:val="21"/>
          <w:szCs w:val="21"/>
          <w:b w:val="1"/>
          <w:bCs w:val="1"/>
          <w:color w:val="auto"/>
        </w:rPr>
        <w:t>QUANTITATIVE AND QUALITATIVE DISCLOSURES ABOUT MARKET RISK</w:t>
      </w:r>
    </w:p>
    <w:p>
      <w:pPr>
        <w:spacing w:after="0" w:line="293" w:lineRule="exact"/>
        <w:rPr>
          <w:sz w:val="20"/>
          <w:szCs w:val="20"/>
          <w:color w:val="auto"/>
        </w:rPr>
      </w:pPr>
    </w:p>
    <w:p>
      <w:pPr>
        <w:jc w:val="both"/>
        <w:ind w:right="20" w:firstLine="648"/>
        <w:spacing w:after="0" w:line="266" w:lineRule="auto"/>
        <w:rPr>
          <w:sz w:val="20"/>
          <w:szCs w:val="20"/>
          <w:color w:val="auto"/>
        </w:rPr>
      </w:pPr>
      <w:r>
        <w:rPr>
          <w:rFonts w:ascii="Arial" w:cs="Arial" w:eastAsia="Arial" w:hAnsi="Arial"/>
          <w:sz w:val="22"/>
          <w:szCs w:val="22"/>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ectPr>
          <w:pgSz w:w="11900" w:h="16838" w:orient="portrait"/>
          <w:cols w:equalWidth="0" w:num="1">
            <w:col w:w="11240"/>
          </w:cols>
          <w:pgMar w:left="320" w:top="131" w:right="339" w:bottom="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0" w:gutter="0" w:footer="0" w:header="0"/>
          <w:type w:val="continuous"/>
        </w:sectPr>
      </w:pPr>
    </w:p>
    <w:bookmarkStart w:id="142" w:name="page143"/>
    <w:bookmarkEnd w:id="142"/>
    <w:p>
      <w:pPr>
        <w:spacing w:after="0"/>
        <w:rPr>
          <w:sz w:val="20"/>
          <w:szCs w:val="20"/>
          <w:color w:val="auto"/>
        </w:rPr>
      </w:pPr>
      <w:r>
        <w:rPr>
          <w:rFonts w:ascii="Arial" w:cs="Arial" w:eastAsia="Arial" w:hAnsi="Arial"/>
          <w:sz w:val="22"/>
          <w:szCs w:val="22"/>
          <w:b w:val="1"/>
          <w:bCs w:val="1"/>
          <w:i w:val="1"/>
          <w:iCs w:val="1"/>
          <w:color w:val="auto"/>
        </w:rPr>
        <w:t>Interest Rate Risk</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do not anticipate undertaking any significant long-term borrowings.</w:t>
      </w:r>
    </w:p>
    <w:p>
      <w:pPr>
        <w:spacing w:after="0" w:line="287"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At present, our investments consist primarily of marketable securities. We may be exposed to market price risk because of investments in tradable securities, mainly corporate bonds, held by us and classified in our financial statements as financial assets at fair value through profit or loss. To manage the price risk arising from investments in tradable securities, we invest in marketable securities with high ratings and diversify our investment portfolio. Our investments may also be exposed to market risk due to fluctuation in interest rates, which may affect our interest income and the fair market value of our investments, if any.</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Foreign Currency Exchange Risk</w:t>
      </w:r>
    </w:p>
    <w:p>
      <w:pPr>
        <w:spacing w:after="0" w:line="287"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The U.S. dollar is our functional and reporting currency. Although a substantial portion of our expenses (mainly salaries and related costs) are denominated in NIS, accounting for almost half of our expenses in the year ended December 31, 2019, all of our financing has been in U.S. dollars 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1.3% during the fiscal year ended on December 31, 2019. We also have expenses, although to a much lesser extent, in other non-U.S. dollar currencies, in particular the Euro.</w:t>
      </w:r>
    </w:p>
    <w:p>
      <w:pPr>
        <w:spacing w:after="0" w:line="209"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“Item 3 – D. Risk Factors — Exchange rate fluctuations between the U.S. dollar, the New Israeli Shekel and other foreign currencies, may negatively affect our future revenues.” If the NIS fluctuates significantly against the U.S. dollar it may have a negative impact on our results of operations. As of the date of this annual report and for the periods under review, fluctuations in the currencies exchange rates have not materially affected our results of operations or financial condition.</w:t>
      </w:r>
    </w:p>
    <w:p>
      <w:pPr>
        <w:spacing w:after="0" w:line="210"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and therefore the changes in the fair value are included in financial expense (income), net.</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Inflation-related risks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233"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12.</w:t>
      </w:r>
      <w:r>
        <w:rPr>
          <w:sz w:val="20"/>
          <w:szCs w:val="20"/>
          <w:color w:val="auto"/>
        </w:rPr>
        <w:tab/>
      </w:r>
      <w:r>
        <w:rPr>
          <w:rFonts w:ascii="Arial" w:cs="Arial" w:eastAsia="Arial" w:hAnsi="Arial"/>
          <w:sz w:val="21"/>
          <w:szCs w:val="21"/>
          <w:b w:val="1"/>
          <w:bCs w:val="1"/>
          <w:color w:val="auto"/>
        </w:rPr>
        <w:t>DESCRIPTION OF SECURITIES OTHER THAN EQUITY SECURITIES</w:t>
      </w:r>
    </w:p>
    <w:p>
      <w:pPr>
        <w:spacing w:after="0" w:line="287" w:lineRule="exact"/>
        <w:rPr>
          <w:sz w:val="20"/>
          <w:szCs w:val="20"/>
          <w:color w:val="auto"/>
        </w:rPr>
      </w:pPr>
    </w:p>
    <w:p>
      <w:pPr>
        <w:ind w:left="820" w:hanging="812"/>
        <w:spacing w:after="0"/>
        <w:tabs>
          <w:tab w:leader="none" w:pos="820" w:val="left"/>
        </w:tabs>
        <w:numPr>
          <w:ilvl w:val="0"/>
          <w:numId w:val="130"/>
        </w:numPr>
        <w:rPr>
          <w:rFonts w:ascii="Arial" w:cs="Arial" w:eastAsia="Arial" w:hAnsi="Arial"/>
          <w:sz w:val="22"/>
          <w:szCs w:val="22"/>
          <w:b w:val="1"/>
          <w:bCs w:val="1"/>
          <w:color w:val="auto"/>
        </w:rPr>
      </w:pPr>
      <w:r>
        <w:rPr>
          <w:rFonts w:ascii="Arial" w:cs="Arial" w:eastAsia="Arial" w:hAnsi="Arial"/>
          <w:sz w:val="22"/>
          <w:szCs w:val="22"/>
          <w:b w:val="1"/>
          <w:bCs w:val="1"/>
          <w:color w:val="auto"/>
        </w:rPr>
        <w:t>Debt Securities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43" w:name="page144"/>
    <w:bookmarkEnd w:id="143"/>
    <w:p>
      <w:pPr>
        <w:ind w:left="740" w:hanging="732"/>
        <w:spacing w:after="0"/>
        <w:tabs>
          <w:tab w:leader="none" w:pos="740" w:val="left"/>
        </w:tabs>
        <w:numPr>
          <w:ilvl w:val="0"/>
          <w:numId w:val="131"/>
        </w:numPr>
        <w:rPr>
          <w:rFonts w:ascii="Arial" w:cs="Arial" w:eastAsia="Arial" w:hAnsi="Arial"/>
          <w:sz w:val="22"/>
          <w:szCs w:val="22"/>
          <w:b w:val="1"/>
          <w:bCs w:val="1"/>
          <w:color w:val="auto"/>
        </w:rPr>
      </w:pPr>
      <w:r>
        <w:rPr>
          <w:rFonts w:ascii="Arial" w:cs="Arial" w:eastAsia="Arial" w:hAnsi="Arial"/>
          <w:sz w:val="22"/>
          <w:szCs w:val="22"/>
          <w:b w:val="1"/>
          <w:bCs w:val="1"/>
          <w:color w:val="auto"/>
        </w:rPr>
        <w:t>Warrants and Rights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60" w:hanging="752"/>
        <w:spacing w:after="0"/>
        <w:tabs>
          <w:tab w:leader="none" w:pos="760" w:val="left"/>
        </w:tabs>
        <w:numPr>
          <w:ilvl w:val="0"/>
          <w:numId w:val="132"/>
        </w:numPr>
        <w:rPr>
          <w:rFonts w:ascii="Arial" w:cs="Arial" w:eastAsia="Arial" w:hAnsi="Arial"/>
          <w:sz w:val="22"/>
          <w:szCs w:val="22"/>
          <w:b w:val="1"/>
          <w:bCs w:val="1"/>
          <w:color w:val="auto"/>
        </w:rPr>
      </w:pPr>
      <w:r>
        <w:rPr>
          <w:rFonts w:ascii="Arial" w:cs="Arial" w:eastAsia="Arial" w:hAnsi="Arial"/>
          <w:sz w:val="22"/>
          <w:szCs w:val="22"/>
          <w:b w:val="1"/>
          <w:bCs w:val="1"/>
          <w:color w:val="auto"/>
        </w:rPr>
        <w:t>Other Securities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ind w:left="740" w:hanging="732"/>
        <w:spacing w:after="0"/>
        <w:tabs>
          <w:tab w:leader="none" w:pos="740" w:val="left"/>
        </w:tabs>
        <w:numPr>
          <w:ilvl w:val="0"/>
          <w:numId w:val="133"/>
        </w:numPr>
        <w:rPr>
          <w:rFonts w:ascii="Arial" w:cs="Arial" w:eastAsia="Arial" w:hAnsi="Arial"/>
          <w:sz w:val="22"/>
          <w:szCs w:val="22"/>
          <w:b w:val="1"/>
          <w:bCs w:val="1"/>
          <w:color w:val="auto"/>
        </w:rPr>
      </w:pPr>
      <w:r>
        <w:rPr>
          <w:rFonts w:ascii="Arial" w:cs="Arial" w:eastAsia="Arial" w:hAnsi="Arial"/>
          <w:sz w:val="22"/>
          <w:szCs w:val="22"/>
          <w:b w:val="1"/>
          <w:bCs w:val="1"/>
          <w:color w:val="auto"/>
        </w:rPr>
        <w:t>American Depositary Shares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13.</w:t>
      </w:r>
      <w:r>
        <w:rPr>
          <w:sz w:val="20"/>
          <w:szCs w:val="20"/>
          <w:color w:val="auto"/>
        </w:rPr>
        <w:tab/>
      </w:r>
      <w:r>
        <w:rPr>
          <w:rFonts w:ascii="Arial" w:cs="Arial" w:eastAsia="Arial" w:hAnsi="Arial"/>
          <w:sz w:val="21"/>
          <w:szCs w:val="21"/>
          <w:b w:val="1"/>
          <w:bCs w:val="1"/>
          <w:color w:val="auto"/>
        </w:rPr>
        <w:t>DEFAULTS, DIVIDEND ARREARAGES AND DELINQUENCIES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jc w:val="both"/>
        <w:spacing w:after="0" w:line="261" w:lineRule="auto"/>
        <w:rPr>
          <w:sz w:val="20"/>
          <w:szCs w:val="20"/>
          <w:color w:val="auto"/>
        </w:rPr>
      </w:pPr>
      <w:r>
        <w:rPr>
          <w:rFonts w:ascii="Arial" w:cs="Arial" w:eastAsia="Arial" w:hAnsi="Arial"/>
          <w:sz w:val="22"/>
          <w:szCs w:val="22"/>
          <w:b w:val="1"/>
          <w:bCs w:val="1"/>
          <w:color w:val="auto"/>
        </w:rPr>
        <w:t>ITEM 14. MATERIAL MODIFICATIONS TO THE RIGHTS OF SECURITY HOLDERS AND USE OF PROCEEDS</w:t>
      </w: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Initial Public Offering</w:t>
      </w:r>
    </w:p>
    <w:p>
      <w:pPr>
        <w:spacing w:after="0" w:line="287"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On February 5, 2018, we completed an initial public offering in the United States on Nasdaq of our ordinary shares, par value NIS 0.1 per share, pursuant to a Registration Statement on Form F-1, as amended (File No. 333-220234), which became effective on January 31, 2018. Jefferies LLC and BMO Capital Markets Corp. acted as joint book-running managers for the offering. JMP Securities LLC and Raymond James &amp; Associates, Inc. acted as co-managers, with Jefferies LLC and BMO Capital Markets acting as representatives of the underwriters. We issued and sold 7,187,500 ordinary shares in the offering at a price of $12.00 per ordinary share, including 937,500 ordinary shares purchased by the underwriters pursuant to their over-allotment option. The option to purchase additional ordinary shares was exercised in full on February 2, 2018. Following the sale of our ordinary shares in connection with the initial public offering, the offering terminated.</w:t>
      </w:r>
    </w:p>
    <w:p>
      <w:pPr>
        <w:spacing w:after="0" w:line="20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The gross proceeds of the shares sold (including the over-allotment option) was approximately $86.2 million. The total expenses of the offering, including underwriting discounts and commissions, were approximately $7.9 million. The net proceeds we received from the offering (including the over-allotment option) were approximately $78.3 million. No payments for such expenses were made directly or indirectly to (i) any of our directors, officers or their associates, (ii) any persons owning 10% or more of any class of our equity securities or (iii) any of our affiliates.</w:t>
      </w:r>
    </w:p>
    <w:p>
      <w:pPr>
        <w:spacing w:after="0" w:line="231" w:lineRule="exact"/>
        <w:rPr>
          <w:sz w:val="20"/>
          <w:szCs w:val="20"/>
          <w:color w:val="auto"/>
        </w:rPr>
      </w:pPr>
    </w:p>
    <w:p>
      <w:pPr>
        <w:ind w:right="220" w:firstLine="648"/>
        <w:spacing w:after="0" w:line="358" w:lineRule="auto"/>
        <w:rPr>
          <w:sz w:val="20"/>
          <w:szCs w:val="20"/>
          <w:color w:val="auto"/>
        </w:rPr>
      </w:pPr>
      <w:r>
        <w:rPr>
          <w:rFonts w:ascii="Arial" w:cs="Arial" w:eastAsia="Arial" w:hAnsi="Arial"/>
          <w:sz w:val="19"/>
          <w:szCs w:val="19"/>
          <w:color w:val="auto"/>
        </w:rPr>
        <w:t>We intend to use the net proceeds from the offering to fund pre-commercialization and launch activities for Epsolay and Twyneo, research and development activities and the remainder for working capital and other general corporate purposes.</w:t>
      </w:r>
    </w:p>
    <w:p>
      <w:pPr>
        <w:spacing w:after="0" w:line="152"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15.</w:t>
      </w:r>
      <w:r>
        <w:rPr>
          <w:sz w:val="20"/>
          <w:szCs w:val="20"/>
          <w:color w:val="auto"/>
        </w:rPr>
        <w:tab/>
      </w:r>
      <w:r>
        <w:rPr>
          <w:rFonts w:ascii="Arial" w:cs="Arial" w:eastAsia="Arial" w:hAnsi="Arial"/>
          <w:sz w:val="21"/>
          <w:szCs w:val="21"/>
          <w:b w:val="1"/>
          <w:bCs w:val="1"/>
          <w:color w:val="auto"/>
        </w:rPr>
        <w:t>CONTROLS AND PROCEDURES</w:t>
      </w:r>
    </w:p>
    <w:p>
      <w:pPr>
        <w:spacing w:after="0" w:line="287" w:lineRule="exact"/>
        <w:rPr>
          <w:sz w:val="20"/>
          <w:szCs w:val="20"/>
          <w:color w:val="auto"/>
        </w:rPr>
      </w:pPr>
    </w:p>
    <w:p>
      <w:pPr>
        <w:ind w:left="800" w:hanging="792"/>
        <w:spacing w:after="0"/>
        <w:tabs>
          <w:tab w:leader="none" w:pos="800" w:val="left"/>
        </w:tabs>
        <w:numPr>
          <w:ilvl w:val="0"/>
          <w:numId w:val="134"/>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Disclosure Controls and Procedures</w:t>
      </w:r>
    </w:p>
    <w:p>
      <w:pPr>
        <w:spacing w:after="0" w:line="293"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We performed an evaluation of the effectiveness of our disclosure controls and procedures that are designed to ensure that information required to be disclosed and filed with the SEC is recorded, processed, summarized and reported timely within the time period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our management, including our principal executive and principal financial officers, or persons performing similar functions, as appropriate to allow timely decisions regarding required disclosure. There can be no assurance that our disclosure controls and procedures will detect or uncover all failures of persons within the company to disclose information otherwise required to be set forth in our reports. Nevertheless, our disclosure controls and procedures are designed to provide reasonable assurance of achieving the desired control objectives. Based on our evaluation, our management, including our Chief Executive Officer and Chief Financial Officer, have concluded that our disclosure controls and procedures (as defined in Rules 13a-15(e) and 15d-15(e) of the Exchange Act) as of the end of the period covered by this report are effective at such reasonable assurance level.</w:t>
      </w:r>
    </w:p>
    <w:p>
      <w:pPr>
        <w:sectPr>
          <w:pgSz w:w="11900" w:h="16838" w:orient="portrait"/>
          <w:cols w:equalWidth="0" w:num="1">
            <w:col w:w="11240"/>
          </w:cols>
          <w:pgMar w:left="320" w:top="125" w:right="339" w:bottom="641"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641" w:gutter="0" w:footer="0" w:header="0"/>
          <w:type w:val="continuous"/>
        </w:sectPr>
      </w:pPr>
    </w:p>
    <w:bookmarkStart w:id="144" w:name="page145"/>
    <w:bookmarkEnd w:id="144"/>
    <w:p>
      <w:pPr>
        <w:ind w:right="20" w:firstLine="8"/>
        <w:spacing w:after="0" w:line="282" w:lineRule="auto"/>
        <w:tabs>
          <w:tab w:leader="none" w:pos="379" w:val="left"/>
        </w:tabs>
        <w:numPr>
          <w:ilvl w:val="0"/>
          <w:numId w:val="135"/>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 (c) </w:t>
      </w:r>
      <w:r>
        <w:rPr>
          <w:rFonts w:ascii="Arial" w:cs="Arial" w:eastAsia="Arial" w:hAnsi="Arial"/>
          <w:sz w:val="22"/>
          <w:szCs w:val="22"/>
          <w:b w:val="1"/>
          <w:bCs w:val="1"/>
          <w:u w:val="single" w:color="auto"/>
          <w:color w:val="auto"/>
        </w:rPr>
        <w:t>Management’s Annual Report on Internal Control over Financial Reporting</w:t>
      </w:r>
      <w:r>
        <w:rPr>
          <w:rFonts w:ascii="Arial" w:cs="Arial" w:eastAsia="Arial" w:hAnsi="Arial"/>
          <w:sz w:val="22"/>
          <w:szCs w:val="22"/>
          <w:b w:val="1"/>
          <w:bCs w:val="1"/>
          <w:color w:val="auto"/>
        </w:rPr>
        <w:t xml:space="preserve"> and </w:t>
      </w:r>
      <w:r>
        <w:rPr>
          <w:rFonts w:ascii="Arial" w:cs="Arial" w:eastAsia="Arial" w:hAnsi="Arial"/>
          <w:sz w:val="22"/>
          <w:szCs w:val="22"/>
          <w:b w:val="1"/>
          <w:bCs w:val="1"/>
          <w:u w:val="single" w:color="auto"/>
          <w:color w:val="auto"/>
        </w:rPr>
        <w:t>Attestation Report of</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Registered Public Accounting Firm</w:t>
      </w:r>
    </w:p>
    <w:p>
      <w:pPr>
        <w:spacing w:after="0" w:line="22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Our management, under the supervision of our Chief Executive Officer and Chief Financial Officer, is responsible for establishing and maintaining adequate internal control over our financial reporting, as defined in Rules 13a-15(f) and 15d-15(f) of the Exchange Act of 1934, as amended. The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Internal control over financial reporting includes policies and procedures that:</w:t>
      </w:r>
    </w:p>
    <w:p>
      <w:pPr>
        <w:spacing w:after="0" w:line="239" w:lineRule="exact"/>
        <w:rPr>
          <w:sz w:val="20"/>
          <w:szCs w:val="20"/>
          <w:color w:val="auto"/>
        </w:rPr>
      </w:pPr>
    </w:p>
    <w:p>
      <w:pPr>
        <w:ind w:left="860" w:hanging="447"/>
        <w:spacing w:after="0"/>
        <w:tabs>
          <w:tab w:leader="none" w:pos="86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our transactions and asset dispositions;</w:t>
      </w:r>
    </w:p>
    <w:p>
      <w:pPr>
        <w:spacing w:after="0" w:line="23" w:lineRule="exact"/>
        <w:rPr>
          <w:rFonts w:ascii="Arial" w:cs="Arial" w:eastAsia="Arial" w:hAnsi="Arial"/>
          <w:sz w:val="18"/>
          <w:szCs w:val="18"/>
          <w:color w:val="auto"/>
        </w:rPr>
      </w:pPr>
    </w:p>
    <w:p>
      <w:pPr>
        <w:ind w:left="860" w:right="20" w:hanging="447"/>
        <w:spacing w:after="0" w:line="250" w:lineRule="auto"/>
        <w:tabs>
          <w:tab w:leader="none" w:pos="86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provide reasonable assurance that transactions are recorded as necessary to permit the preparation of our financial statements in accordance with generally accepted accounting principles;</w:t>
      </w:r>
    </w:p>
    <w:p>
      <w:pPr>
        <w:ind w:left="860" w:hanging="447"/>
        <w:spacing w:after="0" w:line="250" w:lineRule="auto"/>
        <w:tabs>
          <w:tab w:leader="none" w:pos="86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provide reasonable assurance that receipts and expenditures are made only in accordance with authorizations of our management and board of directors (as appropriate); and</w:t>
      </w:r>
    </w:p>
    <w:p>
      <w:pPr>
        <w:ind w:left="860" w:hanging="447"/>
        <w:spacing w:after="0" w:line="260" w:lineRule="auto"/>
        <w:tabs>
          <w:tab w:leader="none" w:pos="86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provide reasonable assurance regarding the prevention or timely detection of unauthorized acquisition, use or disposition of assets that could have a material effect on our financial statements.</w:t>
      </w:r>
    </w:p>
    <w:p>
      <w:pPr>
        <w:spacing w:after="0" w:line="246"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Due to its inherent limitations, internal control over financial reporting may not prevent or detect misstatements. In addition,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Under the supervision and with the participation of our management, including our Chief Executive Officer and Chief Financial Officer, we assessed the effectiveness of our internal control over financial reporting as of December 31, 2019 based on the framework for Internal Control-Integrated Framework set forth by The Committee of Sponsoring Organizations of the Treadway Commission (COSO) (2013).</w:t>
      </w:r>
    </w:p>
    <w:p>
      <w:pPr>
        <w:spacing w:after="0" w:line="24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Based on our assessment and this framework, our management concluded that the Company’s internal control over financial reporting was effective as of December 31, 2019.</w:t>
      </w:r>
    </w:p>
    <w:p>
      <w:pPr>
        <w:spacing w:after="0" w:line="222" w:lineRule="exact"/>
        <w:rPr>
          <w:sz w:val="20"/>
          <w:szCs w:val="20"/>
          <w:color w:val="auto"/>
        </w:rPr>
      </w:pPr>
    </w:p>
    <w:p>
      <w:pPr>
        <w:ind w:left="820" w:hanging="812"/>
        <w:spacing w:after="0"/>
        <w:tabs>
          <w:tab w:leader="none" w:pos="820" w:val="left"/>
        </w:tabs>
        <w:numPr>
          <w:ilvl w:val="0"/>
          <w:numId w:val="13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Changes in Internal Controls Over Financial Reporting</w:t>
      </w:r>
    </w:p>
    <w:p>
      <w:pPr>
        <w:spacing w:after="0" w:line="293"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There were no changes in our internal control over financial reporting that occurred during the year ended December 31, 2019 that have materially affected or are reasonably likely to materially affect our internal control over financial reporting.</w:t>
      </w:r>
    </w:p>
    <w:p>
      <w:pPr>
        <w:spacing w:after="0" w:line="152"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ITEM16.</w:t>
      </w:r>
      <w:r>
        <w:rPr>
          <w:sz w:val="20"/>
          <w:szCs w:val="20"/>
          <w:color w:val="auto"/>
        </w:rPr>
        <w:tab/>
      </w:r>
      <w:r>
        <w:rPr>
          <w:rFonts w:ascii="Arial" w:cs="Arial" w:eastAsia="Arial" w:hAnsi="Arial"/>
          <w:sz w:val="22"/>
          <w:szCs w:val="22"/>
          <w:b w:val="1"/>
          <w:bCs w:val="1"/>
          <w:color w:val="auto"/>
        </w:rPr>
        <w:t>[RESERVED]</w:t>
      </w:r>
    </w:p>
    <w:p>
      <w:pPr>
        <w:spacing w:after="0" w:line="287"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16A.</w:t>
        <w:tab/>
        <w:t>AUDIT COMMITTEE FINANCIAL EXPERT</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board of directors has determined that Mr. Jerrold S. Gattegno is an audit committee financial expert. Mr. Gattegno is an independent director for the purposes of the Nasdaq Listing Rules.</w:t>
      </w:r>
    </w:p>
    <w:p>
      <w:pPr>
        <w:spacing w:after="0" w:line="222"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16B.</w:t>
      </w:r>
      <w:r>
        <w:rPr>
          <w:sz w:val="20"/>
          <w:szCs w:val="20"/>
          <w:color w:val="auto"/>
        </w:rPr>
        <w:tab/>
      </w:r>
      <w:r>
        <w:rPr>
          <w:rFonts w:ascii="Arial" w:cs="Arial" w:eastAsia="Arial" w:hAnsi="Arial"/>
          <w:sz w:val="21"/>
          <w:szCs w:val="21"/>
          <w:b w:val="1"/>
          <w:bCs w:val="1"/>
          <w:color w:val="auto"/>
        </w:rPr>
        <w:t>CODE OF ETHICS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have adopted a code of ethics that applies to our principal executive officer, principal financial officer, principal accounting officer or controller, or persons performing similar functions. This code of ethics is posted on our website, http://ir.sol-gel.com/corporate-governance/governance-overview.</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145" w:name="page146"/>
    <w:bookmarkEnd w:id="145"/>
    <w:p>
      <w:pPr>
        <w:spacing w:after="0"/>
        <w:tabs>
          <w:tab w:leader="none" w:pos="1360" w:val="left"/>
        </w:tabs>
        <w:rPr>
          <w:sz w:val="20"/>
          <w:szCs w:val="20"/>
          <w:color w:val="auto"/>
        </w:rPr>
      </w:pPr>
      <w:r>
        <w:rPr>
          <w:rFonts w:ascii="Arial" w:cs="Arial" w:eastAsia="Arial" w:hAnsi="Arial"/>
          <w:sz w:val="22"/>
          <w:szCs w:val="22"/>
          <w:b w:val="1"/>
          <w:bCs w:val="1"/>
          <w:color w:val="auto"/>
        </w:rPr>
        <w:t>ITEM 16C.</w:t>
      </w:r>
      <w:r>
        <w:rPr>
          <w:sz w:val="20"/>
          <w:szCs w:val="20"/>
          <w:color w:val="auto"/>
        </w:rPr>
        <w:tab/>
      </w:r>
      <w:r>
        <w:rPr>
          <w:rFonts w:ascii="Arial" w:cs="Arial" w:eastAsia="Arial" w:hAnsi="Arial"/>
          <w:sz w:val="21"/>
          <w:szCs w:val="21"/>
          <w:b w:val="1"/>
          <w:bCs w:val="1"/>
          <w:color w:val="auto"/>
        </w:rPr>
        <w:t>PRINCIPAL ACCOUNTANT FEES AND SERVICES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Fees Paid to Independent Registered Public Accounting Firm</w:t>
      </w:r>
    </w:p>
    <w:p>
      <w:pPr>
        <w:spacing w:after="0" w:line="293" w:lineRule="exact"/>
        <w:rPr>
          <w:sz w:val="20"/>
          <w:szCs w:val="20"/>
          <w:color w:val="auto"/>
        </w:rPr>
      </w:pPr>
    </w:p>
    <w:p>
      <w:pPr>
        <w:ind w:right="20" w:firstLine="648"/>
        <w:spacing w:after="0" w:line="276" w:lineRule="auto"/>
        <w:rPr>
          <w:sz w:val="20"/>
          <w:szCs w:val="20"/>
          <w:color w:val="auto"/>
        </w:rPr>
      </w:pPr>
      <w:r>
        <w:rPr>
          <w:rFonts w:ascii="Arial" w:cs="Arial" w:eastAsia="Arial" w:hAnsi="Arial"/>
          <w:sz w:val="22"/>
          <w:szCs w:val="22"/>
          <w:color w:val="auto"/>
        </w:rPr>
        <w:t>The following table sets forth, for each of the years indicated, the aggregate fees billed by our independent registered public accounting firm for professional services.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560" w:type="dxa"/>
            <w:vAlign w:val="bottom"/>
            <w:gridSpan w:val="5"/>
          </w:tcPr>
          <w:p>
            <w:pPr>
              <w:ind w:left="220"/>
              <w:spacing w:after="0"/>
              <w:rPr>
                <w:sz w:val="20"/>
                <w:szCs w:val="20"/>
                <w:color w:val="auto"/>
              </w:rPr>
            </w:pPr>
            <w:r>
              <w:rPr>
                <w:rFonts w:ascii="Arial" w:cs="Arial" w:eastAsia="Arial" w:hAnsi="Arial"/>
                <w:sz w:val="18"/>
                <w:szCs w:val="18"/>
                <w:b w:val="1"/>
                <w:bCs w:val="1"/>
                <w:color w:val="auto"/>
              </w:rPr>
              <w:t>Year Ended December 31,</w:t>
            </w:r>
          </w:p>
        </w:tc>
      </w:tr>
      <w:tr>
        <w:trPr>
          <w:trHeight w:val="223"/>
        </w:trPr>
        <w:tc>
          <w:tcPr>
            <w:tcW w:w="8680" w:type="dxa"/>
            <w:vAlign w:val="bottom"/>
            <w:gridSpan w:val="2"/>
          </w:tcPr>
          <w:p>
            <w:pPr>
              <w:spacing w:after="0"/>
              <w:rPr>
                <w:sz w:val="20"/>
                <w:szCs w:val="20"/>
                <w:color w:val="auto"/>
              </w:rPr>
            </w:pPr>
            <w:r>
              <w:rPr>
                <w:rFonts w:ascii="Arial" w:cs="Arial" w:eastAsia="Arial" w:hAnsi="Arial"/>
                <w:sz w:val="18"/>
                <w:szCs w:val="18"/>
                <w:b w:val="1"/>
                <w:bCs w:val="1"/>
                <w:color w:val="auto"/>
              </w:rPr>
              <w:t>Services Rendered</w:t>
            </w:r>
          </w:p>
        </w:tc>
        <w:tc>
          <w:tcPr>
            <w:tcW w:w="112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2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9"/>
                <w:szCs w:val="19"/>
                <w:color w:val="auto"/>
              </w:rPr>
            </w:pPr>
          </w:p>
        </w:tc>
      </w:tr>
      <w:tr>
        <w:trPr>
          <w:trHeight w:val="216"/>
        </w:trPr>
        <w:tc>
          <w:tcPr>
            <w:tcW w:w="85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(U.S. dollars</w:t>
            </w:r>
          </w:p>
        </w:tc>
        <w:tc>
          <w:tcPr>
            <w:tcW w:w="20" w:type="dxa"/>
            <w:vAlign w:val="bottom"/>
          </w:tcPr>
          <w:p>
            <w:pPr>
              <w:spacing w:after="0"/>
              <w:rPr>
                <w:sz w:val="18"/>
                <w:szCs w:val="18"/>
                <w:color w:val="auto"/>
              </w:rPr>
            </w:pPr>
          </w:p>
        </w:tc>
        <w:tc>
          <w:tcPr>
            <w:tcW w:w="200" w:type="dxa"/>
            <w:vAlign w:val="bottom"/>
          </w:tcPr>
          <w:p>
            <w:pPr>
              <w:ind w:left="60"/>
              <w:spacing w:after="0"/>
              <w:rPr>
                <w:sz w:val="20"/>
                <w:szCs w:val="20"/>
                <w:color w:val="auto"/>
              </w:rPr>
            </w:pPr>
            <w:r>
              <w:rPr>
                <w:rFonts w:ascii="Arial" w:cs="Arial" w:eastAsia="Arial" w:hAnsi="Arial"/>
                <w:sz w:val="18"/>
                <w:szCs w:val="18"/>
                <w:b w:val="1"/>
                <w:bCs w:val="1"/>
                <w:color w:val="auto"/>
                <w:w w:val="74"/>
              </w:rPr>
              <w:t>in</w:t>
            </w:r>
          </w:p>
        </w:tc>
        <w:tc>
          <w:tcPr>
            <w:tcW w:w="11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0"/>
              </w:rPr>
              <w:t>thousands)</w:t>
            </w:r>
          </w:p>
        </w:tc>
        <w:tc>
          <w:tcPr>
            <w:tcW w:w="100" w:type="dxa"/>
            <w:vAlign w:val="bottom"/>
          </w:tcPr>
          <w:p>
            <w:pPr>
              <w:spacing w:after="0"/>
              <w:rPr>
                <w:sz w:val="18"/>
                <w:szCs w:val="18"/>
                <w:color w:val="auto"/>
              </w:rPr>
            </w:pPr>
          </w:p>
        </w:tc>
      </w:tr>
      <w:tr>
        <w:trPr>
          <w:trHeight w:val="216"/>
        </w:trPr>
        <w:tc>
          <w:tcPr>
            <w:tcW w:w="8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Audit Fees (1)</w:t>
            </w:r>
          </w:p>
        </w:tc>
        <w:tc>
          <w:tcPr>
            <w:tcW w:w="1340" w:type="dxa"/>
            <w:vAlign w:val="bottom"/>
            <w:gridSpan w:val="3"/>
            <w:shd w:val="clear" w:color="auto" w:fill="CCEEFF"/>
          </w:tcPr>
          <w:p>
            <w:pPr>
              <w:jc w:val="right"/>
              <w:ind w:right="130"/>
              <w:spacing w:after="0"/>
              <w:rPr>
                <w:sz w:val="20"/>
                <w:szCs w:val="20"/>
                <w:color w:val="auto"/>
              </w:rPr>
            </w:pPr>
            <w:r>
              <w:rPr>
                <w:rFonts w:ascii="Arial" w:cs="Arial" w:eastAsia="Arial" w:hAnsi="Arial"/>
                <w:sz w:val="18"/>
                <w:szCs w:val="18"/>
                <w:color w:val="auto"/>
              </w:rPr>
              <w:t>164</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w:t>
            </w:r>
          </w:p>
        </w:tc>
      </w:tr>
      <w:tr>
        <w:trPr>
          <w:trHeight w:val="223"/>
        </w:trPr>
        <w:tc>
          <w:tcPr>
            <w:tcW w:w="8680" w:type="dxa"/>
            <w:vAlign w:val="bottom"/>
            <w:gridSpan w:val="2"/>
          </w:tcPr>
          <w:p>
            <w:pPr>
              <w:spacing w:after="0"/>
              <w:rPr>
                <w:sz w:val="20"/>
                <w:szCs w:val="20"/>
                <w:color w:val="auto"/>
              </w:rPr>
            </w:pPr>
            <w:r>
              <w:rPr>
                <w:rFonts w:ascii="Arial" w:cs="Arial" w:eastAsia="Arial" w:hAnsi="Arial"/>
                <w:sz w:val="18"/>
                <w:szCs w:val="18"/>
                <w:color w:val="auto"/>
              </w:rPr>
              <w:t>Tax (2)</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37</w:t>
            </w:r>
          </w:p>
        </w:tc>
        <w:tc>
          <w:tcPr>
            <w:tcW w:w="20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35</w:t>
            </w:r>
          </w:p>
        </w:tc>
      </w:tr>
      <w:tr>
        <w:trPr>
          <w:trHeight w:val="223"/>
        </w:trPr>
        <w:tc>
          <w:tcPr>
            <w:tcW w:w="86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20" w:type="dxa"/>
            <w:vAlign w:val="bottom"/>
            <w:tcBorders>
              <w:top w:val="single" w:sz="8" w:color="auto"/>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100" w:type="dxa"/>
            <w:vAlign w:val="bottom"/>
            <w:tcBorders>
              <w:bottom w:val="single" w:sz="8" w:color="CCEEFF"/>
            </w:tcBorders>
            <w:shd w:val="clear" w:color="auto" w:fill="CCEEFF"/>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308610</wp:posOffset>
            </wp:positionV>
            <wp:extent cx="17145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71450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500" w:hanging="492"/>
        <w:spacing w:after="0" w:line="274" w:lineRule="auto"/>
        <w:tabs>
          <w:tab w:leader="none" w:pos="500" w:val="left"/>
        </w:tabs>
        <w:numPr>
          <w:ilvl w:val="0"/>
          <w:numId w:val="138"/>
        </w:numPr>
        <w:rPr>
          <w:rFonts w:ascii="Arial" w:cs="Arial" w:eastAsia="Arial" w:hAnsi="Arial"/>
          <w:sz w:val="17"/>
          <w:szCs w:val="17"/>
          <w:color w:val="auto"/>
        </w:rPr>
      </w:pPr>
      <w:r>
        <w:rPr>
          <w:rFonts w:ascii="Arial" w:cs="Arial" w:eastAsia="Arial" w:hAnsi="Arial"/>
          <w:sz w:val="17"/>
          <w:szCs w:val="17"/>
          <w:color w:val="auto"/>
        </w:rPr>
        <w:t>Audit Fees consist of professional services rendered in connection with the audit of our consolidated financial statements, review of our consolidated quarterly financial statements, issuance of comfort letters, consents and assistance with review of documents filed with the SEC.</w:t>
      </w:r>
    </w:p>
    <w:p>
      <w:pPr>
        <w:ind w:left="500" w:hanging="492"/>
        <w:spacing w:after="0"/>
        <w:tabs>
          <w:tab w:leader="none" w:pos="50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Tax fees relate to tax compliance, planning and advice.</w:t>
      </w:r>
    </w:p>
    <w:p>
      <w:pPr>
        <w:spacing w:after="0" w:line="26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Audit Committee Pre-Approval Policies and Procedures</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Our audit committee’s specific responsibilities in carrying out its oversight of the quality and integrity of the accounting, auditing and reporting practices of the Company include the approval of audit and non-audit services to be provided by the external auditor. The audit committee approves in advance the particular services or categories of services to be provided to the Company during the following yearly period and also sets forth a specific budget for such audit and non-audit services. Additional non-audit services may be pre-approved by the audit committee.</w:t>
      </w:r>
    </w:p>
    <w:p>
      <w:pPr>
        <w:spacing w:after="0" w:line="238"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16D.</w:t>
      </w:r>
      <w:r>
        <w:rPr>
          <w:sz w:val="20"/>
          <w:szCs w:val="20"/>
          <w:color w:val="auto"/>
        </w:rPr>
        <w:tab/>
      </w:r>
      <w:r>
        <w:rPr>
          <w:rFonts w:ascii="Arial" w:cs="Arial" w:eastAsia="Arial" w:hAnsi="Arial"/>
          <w:sz w:val="22"/>
          <w:szCs w:val="22"/>
          <w:b w:val="1"/>
          <w:bCs w:val="1"/>
          <w:color w:val="auto"/>
        </w:rPr>
        <w:t>EXEMPTIONS FROM THE LISTING STANDARDS FOR AUDIT COMMITTEES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16E.</w:t>
      </w:r>
      <w:r>
        <w:rPr>
          <w:sz w:val="20"/>
          <w:szCs w:val="20"/>
          <w:color w:val="auto"/>
        </w:rPr>
        <w:tab/>
      </w:r>
      <w:r>
        <w:rPr>
          <w:rFonts w:ascii="Arial" w:cs="Arial" w:eastAsia="Arial" w:hAnsi="Arial"/>
          <w:sz w:val="21"/>
          <w:szCs w:val="21"/>
          <w:b w:val="1"/>
          <w:bCs w:val="1"/>
          <w:color w:val="auto"/>
        </w:rPr>
        <w:t>PURCHASES OF EQUITY SECURITIES BY THE ISSUER AND AFFILIATED PURCHASERS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380" w:val="left"/>
        </w:tabs>
        <w:rPr>
          <w:sz w:val="20"/>
          <w:szCs w:val="20"/>
          <w:color w:val="auto"/>
        </w:rPr>
      </w:pPr>
      <w:r>
        <w:rPr>
          <w:rFonts w:ascii="Arial" w:cs="Arial" w:eastAsia="Arial" w:hAnsi="Arial"/>
          <w:sz w:val="22"/>
          <w:szCs w:val="22"/>
          <w:b w:val="1"/>
          <w:bCs w:val="1"/>
          <w:color w:val="auto"/>
        </w:rPr>
        <w:t>ITEM 16F.</w:t>
      </w:r>
      <w:r>
        <w:rPr>
          <w:sz w:val="20"/>
          <w:szCs w:val="20"/>
          <w:color w:val="auto"/>
        </w:rPr>
        <w:tab/>
      </w:r>
      <w:r>
        <w:rPr>
          <w:rFonts w:ascii="Arial" w:cs="Arial" w:eastAsia="Arial" w:hAnsi="Arial"/>
          <w:sz w:val="21"/>
          <w:szCs w:val="21"/>
          <w:b w:val="1"/>
          <w:bCs w:val="1"/>
          <w:color w:val="auto"/>
        </w:rPr>
        <w:t>CHANGE IN REGISTRANT’S CERTIFYING ACCOUNTANT</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40" w:val="left"/>
        </w:tabs>
        <w:rPr>
          <w:sz w:val="20"/>
          <w:szCs w:val="20"/>
          <w:color w:val="auto"/>
        </w:rPr>
      </w:pPr>
      <w:r>
        <w:rPr>
          <w:rFonts w:ascii="Arial" w:cs="Arial" w:eastAsia="Arial" w:hAnsi="Arial"/>
          <w:sz w:val="22"/>
          <w:szCs w:val="22"/>
          <w:b w:val="1"/>
          <w:bCs w:val="1"/>
          <w:color w:val="auto"/>
        </w:rPr>
        <w:t>ITEM 16G.</w:t>
      </w:r>
      <w:r>
        <w:rPr>
          <w:sz w:val="20"/>
          <w:szCs w:val="20"/>
          <w:color w:val="auto"/>
        </w:rPr>
        <w:tab/>
      </w:r>
      <w:r>
        <w:rPr>
          <w:rFonts w:ascii="Arial" w:cs="Arial" w:eastAsia="Arial" w:hAnsi="Arial"/>
          <w:sz w:val="21"/>
          <w:szCs w:val="21"/>
          <w:b w:val="1"/>
          <w:bCs w:val="1"/>
          <w:color w:val="auto"/>
        </w:rPr>
        <w:t>CORPORATE GOVERNANCE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Nasdaq Stock Listing Rules and Home Country Practices</w:t>
      </w:r>
    </w:p>
    <w:p>
      <w:pPr>
        <w:spacing w:after="0" w:line="293"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As a foreign private issuer, we will be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 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ectPr>
          <w:pgSz w:w="11900" w:h="16838" w:orient="portrait"/>
          <w:cols w:equalWidth="0" w:num="1">
            <w:col w:w="11240"/>
          </w:cols>
          <w:pgMar w:left="320" w:top="125" w:right="339" w:bottom="1440" w:gutter="0" w:footer="0" w:header="0"/>
        </w:sect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type w:val="continuous"/>
        </w:sectPr>
      </w:pPr>
    </w:p>
    <w:bookmarkStart w:id="146" w:name="page147"/>
    <w:bookmarkEnd w:id="146"/>
    <w:p>
      <w:pPr>
        <w:jc w:val="both"/>
        <w:ind w:firstLine="648"/>
        <w:spacing w:after="0" w:line="266" w:lineRule="auto"/>
        <w:rPr>
          <w:sz w:val="20"/>
          <w:szCs w:val="20"/>
          <w:color w:val="auto"/>
        </w:rPr>
      </w:pPr>
      <w:r>
        <w:rPr>
          <w:rFonts w:ascii="Arial" w:cs="Arial" w:eastAsia="Arial" w:hAnsi="Arial"/>
          <w:sz w:val="22"/>
          <w:szCs w:val="22"/>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233" w:lineRule="exact"/>
        <w:rPr>
          <w:sz w:val="20"/>
          <w:szCs w:val="20"/>
          <w:color w:val="auto"/>
        </w:rPr>
      </w:pPr>
    </w:p>
    <w:p>
      <w:pPr>
        <w:jc w:val="both"/>
        <w:ind w:left="860" w:hanging="488"/>
        <w:spacing w:after="0" w:line="263" w:lineRule="auto"/>
        <w:tabs>
          <w:tab w:leader="none" w:pos="8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we intend to establish a quorum requirement such that 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237" w:lineRule="exact"/>
        <w:rPr>
          <w:rFonts w:ascii="Arial" w:cs="Arial" w:eastAsia="Arial" w:hAnsi="Arial"/>
          <w:sz w:val="18"/>
          <w:szCs w:val="18"/>
          <w:color w:val="auto"/>
        </w:rPr>
      </w:pPr>
    </w:p>
    <w:p>
      <w:pPr>
        <w:jc w:val="both"/>
        <w:ind w:left="860" w:hanging="488"/>
        <w:spacing w:after="0" w:line="259" w:lineRule="auto"/>
        <w:tabs>
          <w:tab w:leader="none" w:pos="8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we intend to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240" w:lineRule="exact"/>
        <w:rPr>
          <w:rFonts w:ascii="Arial" w:cs="Arial" w:eastAsia="Arial" w:hAnsi="Arial"/>
          <w:sz w:val="18"/>
          <w:szCs w:val="18"/>
          <w:color w:val="auto"/>
        </w:rPr>
      </w:pPr>
    </w:p>
    <w:p>
      <w:pPr>
        <w:jc w:val="both"/>
        <w:ind w:left="860" w:hanging="488"/>
        <w:spacing w:after="0" w:line="259" w:lineRule="auto"/>
        <w:tabs>
          <w:tab w:leader="none" w:pos="8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240" w:lineRule="exact"/>
        <w:rPr>
          <w:rFonts w:ascii="Arial" w:cs="Arial" w:eastAsia="Arial" w:hAnsi="Arial"/>
          <w:sz w:val="18"/>
          <w:szCs w:val="18"/>
          <w:color w:val="auto"/>
        </w:rPr>
      </w:pPr>
    </w:p>
    <w:p>
      <w:pPr>
        <w:jc w:val="both"/>
        <w:ind w:left="860" w:hanging="488"/>
        <w:spacing w:after="0" w:line="263" w:lineRule="auto"/>
        <w:tabs>
          <w:tab w:leader="none" w:pos="8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244"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We also intend to comply with Israeli corporate governance requirements under the Companies Law applicable to public companies.</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Controlled Company</w:t>
      </w:r>
    </w:p>
    <w:p>
      <w:pPr>
        <w:spacing w:after="0" w:line="2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As a result of the number of shares owned by Arkin Dermatology, as of the date of this annual report, we are a “controlled company” under the Nasdaq corporate governance rules. A “controlled company” is a company of which more than 50% of the voting power is held by an individual, group or another company. Pursuant to the “controlled company” exemption, we are not required to, and will not, comply with the requirements that: (1) a majority of our board of directors consist of independent directors; and (2) we have a nominating committee composed entirely of independent directors with a written charter addressing such committee’s purpose and responsibilities. See “Item 6. Directors, Senior Management and Employees — C. Board Practices."</w:t>
      </w:r>
    </w:p>
    <w:p>
      <w:pPr>
        <w:spacing w:after="0" w:line="243" w:lineRule="exact"/>
        <w:rPr>
          <w:sz w:val="20"/>
          <w:szCs w:val="20"/>
          <w:color w:val="auto"/>
        </w:rPr>
      </w:pPr>
    </w:p>
    <w:p>
      <w:pPr>
        <w:spacing w:after="0"/>
        <w:tabs>
          <w:tab w:leader="none" w:pos="1440" w:val="left"/>
        </w:tabs>
        <w:rPr>
          <w:sz w:val="20"/>
          <w:szCs w:val="20"/>
          <w:color w:val="auto"/>
        </w:rPr>
      </w:pPr>
      <w:r>
        <w:rPr>
          <w:rFonts w:ascii="Arial" w:cs="Arial" w:eastAsia="Arial" w:hAnsi="Arial"/>
          <w:sz w:val="22"/>
          <w:szCs w:val="22"/>
          <w:b w:val="1"/>
          <w:bCs w:val="1"/>
          <w:color w:val="auto"/>
        </w:rPr>
        <w:t>ITEM 16H.</w:t>
      </w:r>
      <w:r>
        <w:rPr>
          <w:sz w:val="20"/>
          <w:szCs w:val="20"/>
          <w:color w:val="auto"/>
        </w:rPr>
        <w:tab/>
      </w:r>
      <w:r>
        <w:rPr>
          <w:rFonts w:ascii="Arial" w:cs="Arial" w:eastAsia="Arial" w:hAnsi="Arial"/>
          <w:sz w:val="21"/>
          <w:szCs w:val="21"/>
          <w:b w:val="1"/>
          <w:bCs w:val="1"/>
          <w:color w:val="auto"/>
        </w:rPr>
        <w:t>MINE SAFETY DISCLOSURE</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17.</w:t>
      </w:r>
      <w:r>
        <w:rPr>
          <w:sz w:val="20"/>
          <w:szCs w:val="20"/>
          <w:color w:val="auto"/>
        </w:rPr>
        <w:tab/>
      </w:r>
      <w:r>
        <w:rPr>
          <w:rFonts w:ascii="Arial" w:cs="Arial" w:eastAsia="Arial" w:hAnsi="Arial"/>
          <w:sz w:val="22"/>
          <w:szCs w:val="22"/>
          <w:b w:val="1"/>
          <w:bCs w:val="1"/>
          <w:color w:val="auto"/>
        </w:rPr>
        <w:t>FINANCIAL STATEMENTS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Not applicable.</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18.</w:t>
      </w:r>
      <w:r>
        <w:rPr>
          <w:sz w:val="20"/>
          <w:szCs w:val="20"/>
          <w:color w:val="auto"/>
        </w:rPr>
        <w:tab/>
      </w:r>
      <w:r>
        <w:rPr>
          <w:rFonts w:ascii="Arial" w:cs="Arial" w:eastAsia="Arial" w:hAnsi="Arial"/>
          <w:sz w:val="22"/>
          <w:szCs w:val="22"/>
          <w:b w:val="1"/>
          <w:bCs w:val="1"/>
          <w:color w:val="auto"/>
        </w:rPr>
        <w:t>FINANCIAL STATEMENTS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The financial statements required by this item are found at the end of this annual report, beginning on page F-1.</w:t>
      </w:r>
    </w:p>
    <w:p>
      <w:pPr>
        <w:spacing w:after="0" w:line="281" w:lineRule="exact"/>
        <w:rPr>
          <w:sz w:val="20"/>
          <w:szCs w:val="20"/>
          <w:color w:val="auto"/>
        </w:rPr>
      </w:pPr>
    </w:p>
    <w:p>
      <w:pPr>
        <w:spacing w:after="0"/>
        <w:tabs>
          <w:tab w:leader="none" w:pos="1420" w:val="left"/>
        </w:tabs>
        <w:rPr>
          <w:sz w:val="20"/>
          <w:szCs w:val="20"/>
          <w:color w:val="auto"/>
        </w:rPr>
      </w:pPr>
      <w:r>
        <w:rPr>
          <w:rFonts w:ascii="Arial" w:cs="Arial" w:eastAsia="Arial" w:hAnsi="Arial"/>
          <w:sz w:val="22"/>
          <w:szCs w:val="22"/>
          <w:b w:val="1"/>
          <w:bCs w:val="1"/>
          <w:color w:val="auto"/>
        </w:rPr>
        <w:t>ITEM 19.</w:t>
      </w:r>
      <w:r>
        <w:rPr>
          <w:sz w:val="20"/>
          <w:szCs w:val="20"/>
          <w:color w:val="auto"/>
        </w:rPr>
        <w:tab/>
      </w:r>
      <w:r>
        <w:rPr>
          <w:rFonts w:ascii="Arial" w:cs="Arial" w:eastAsia="Arial" w:hAnsi="Arial"/>
          <w:sz w:val="22"/>
          <w:szCs w:val="22"/>
          <w:b w:val="1"/>
          <w:bCs w:val="1"/>
          <w:color w:val="auto"/>
        </w:rPr>
        <w:t>EXHIBITS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See Exhibit Index on page 144.</w:t>
      </w:r>
    </w:p>
    <w:p>
      <w:pPr>
        <w:sectPr>
          <w:pgSz w:w="11900" w:h="16838" w:orient="portrait"/>
          <w:cols w:equalWidth="0" w:num="1">
            <w:col w:w="11240"/>
          </w:cols>
          <w:pgMar w:left="320" w:top="131" w:right="339" w:bottom="1440" w:gutter="0" w:footer="0" w:header="0"/>
        </w:sect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type w:val="continuous"/>
        </w:sectPr>
      </w:pPr>
    </w:p>
    <w:bookmarkStart w:id="147" w:name="page148"/>
    <w:bookmarkEnd w:id="147"/>
    <w:p>
      <w:pPr>
        <w:jc w:val="center"/>
        <w:spacing w:after="0"/>
        <w:rPr>
          <w:sz w:val="20"/>
          <w:szCs w:val="20"/>
          <w:color w:val="auto"/>
        </w:rPr>
      </w:pPr>
      <w:r>
        <w:rPr>
          <w:rFonts w:ascii="Arial" w:cs="Arial" w:eastAsia="Arial" w:hAnsi="Arial"/>
          <w:sz w:val="22"/>
          <w:szCs w:val="22"/>
          <w:b w:val="1"/>
          <w:bCs w:val="1"/>
          <w:color w:val="auto"/>
        </w:rPr>
        <w:t>EXHIBIT INDEX</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The exhibits filed with or incorporated into this Registration Statement are listed in the index of exhibits below.</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40" w:type="dxa"/>
            <w:vAlign w:val="bottom"/>
            <w:gridSpan w:val="4"/>
          </w:tcPr>
          <w:p>
            <w:pPr>
              <w:spacing w:after="0"/>
              <w:rPr>
                <w:sz w:val="20"/>
                <w:szCs w:val="20"/>
                <w:color w:val="auto"/>
              </w:rPr>
            </w:pPr>
            <w:r>
              <w:rPr>
                <w:rFonts w:ascii="Arial" w:cs="Arial" w:eastAsia="Arial" w:hAnsi="Arial"/>
                <w:sz w:val="18"/>
                <w:szCs w:val="18"/>
                <w:b w:val="1"/>
                <w:bCs w:val="1"/>
                <w:color w:val="auto"/>
              </w:rPr>
              <w:t>Exhibit</w:t>
            </w:r>
          </w:p>
        </w:tc>
        <w:tc>
          <w:tcPr>
            <w:tcW w:w="2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41"/>
        </w:trPr>
        <w:tc>
          <w:tcPr>
            <w:tcW w:w="940" w:type="dxa"/>
            <w:vAlign w:val="bottom"/>
            <w:tcBorders>
              <w:bottom w:val="single" w:sz="8" w:color="auto"/>
            </w:tcBorders>
            <w:gridSpan w:val="4"/>
          </w:tcPr>
          <w:p>
            <w:pPr>
              <w:spacing w:after="0"/>
              <w:rPr>
                <w:sz w:val="20"/>
                <w:szCs w:val="20"/>
                <w:color w:val="auto"/>
              </w:rPr>
            </w:pPr>
            <w:r>
              <w:rPr>
                <w:rFonts w:ascii="Arial" w:cs="Arial" w:eastAsia="Arial" w:hAnsi="Arial"/>
                <w:sz w:val="18"/>
                <w:szCs w:val="18"/>
                <w:b w:val="1"/>
                <w:bCs w:val="1"/>
                <w:color w:val="auto"/>
              </w:rPr>
              <w:t>Number</w:t>
            </w:r>
          </w:p>
        </w:tc>
        <w:tc>
          <w:tcPr>
            <w:tcW w:w="200" w:type="dxa"/>
            <w:vAlign w:val="bottom"/>
          </w:tcPr>
          <w:p>
            <w:pPr>
              <w:spacing w:after="0"/>
              <w:rPr>
                <w:sz w:val="20"/>
                <w:szCs w:val="20"/>
                <w:color w:val="auto"/>
              </w:rPr>
            </w:pPr>
          </w:p>
        </w:tc>
        <w:tc>
          <w:tcPr>
            <w:tcW w:w="10100" w:type="dxa"/>
            <w:vAlign w:val="bottom"/>
            <w:tcBorders>
              <w:bottom w:val="single" w:sz="8" w:color="auto"/>
            </w:tcBorders>
            <w:gridSpan w:val="18"/>
          </w:tcPr>
          <w:p>
            <w:pPr>
              <w:spacing w:after="0"/>
              <w:rPr>
                <w:sz w:val="20"/>
                <w:szCs w:val="20"/>
                <w:color w:val="auto"/>
              </w:rPr>
            </w:pPr>
            <w:r>
              <w:rPr>
                <w:rFonts w:ascii="Arial" w:cs="Arial" w:eastAsia="Arial" w:hAnsi="Arial"/>
                <w:sz w:val="18"/>
                <w:szCs w:val="18"/>
                <w:b w:val="1"/>
                <w:bCs w:val="1"/>
                <w:color w:val="auto"/>
              </w:rPr>
              <w:t>Exhibit Description</w:t>
            </w:r>
          </w:p>
        </w:tc>
      </w:tr>
      <w:tr>
        <w:trPr>
          <w:trHeight w:val="392"/>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171">
              <w:r>
                <w:rPr>
                  <w:rFonts w:ascii="Arial" w:cs="Arial" w:eastAsia="Arial" w:hAnsi="Arial"/>
                  <w:sz w:val="18"/>
                  <w:szCs w:val="18"/>
                  <w:color w:val="0000EE"/>
                  <w:w w:val="87"/>
                </w:rPr>
                <w:t>1.</w:t>
              </w:r>
              <w:r>
                <w:rPr>
                  <w:rFonts w:ascii="Arial" w:cs="Arial" w:eastAsia="Arial" w:hAnsi="Arial"/>
                  <w:sz w:val="18"/>
                  <w:szCs w:val="18"/>
                  <w:u w:val="single" w:color="auto"/>
                  <w:color w:val="0000EE"/>
                  <w:w w:val="87"/>
                </w:rPr>
                <w:t>1</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tcBorders>
              <w:bottom w:val="single" w:sz="8" w:color="0000EE"/>
            </w:tcBorders>
            <w:gridSpan w:val="18"/>
          </w:tcPr>
          <w:p>
            <w:pPr>
              <w:spacing w:after="0"/>
              <w:rPr>
                <w:rFonts w:ascii="Arial" w:cs="Arial" w:eastAsia="Arial" w:hAnsi="Arial"/>
                <w:sz w:val="18"/>
                <w:szCs w:val="18"/>
                <w:color w:val="0000EE"/>
                <w:w w:val="91"/>
              </w:rPr>
            </w:pPr>
            <w:hyperlink r:id="rId171">
              <w:r>
                <w:rPr>
                  <w:rFonts w:ascii="Arial" w:cs="Arial" w:eastAsia="Arial" w:hAnsi="Arial"/>
                  <w:sz w:val="18"/>
                  <w:szCs w:val="18"/>
                  <w:color w:val="0000EE"/>
                  <w:w w:val="91"/>
                </w:rPr>
                <w:t>Amended and Restated Memorandum of Association (incorporated by reference to Exhibit 3.1 of the Registration Statement on Form F-1/A</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34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r:id="rId171">
              <w:r>
                <w:rPr>
                  <w:rFonts w:ascii="Arial" w:cs="Arial" w:eastAsia="Arial" w:hAnsi="Arial"/>
                  <w:sz w:val="18"/>
                  <w:szCs w:val="18"/>
                  <w:color w:val="0000EE"/>
                  <w:w w:val="90"/>
                </w:rPr>
                <w:t>filed with the Securities and Exchange Commission on January 23, 2018).</w:t>
              </w:r>
            </w:hyperlink>
          </w:p>
        </w:tc>
        <w:tc>
          <w:tcPr>
            <w:tcW w:w="4760" w:type="dxa"/>
            <w:vAlign w:val="bottom"/>
            <w:gridSpan w:val="9"/>
          </w:tcPr>
          <w:p>
            <w:pPr>
              <w:spacing w:after="0"/>
              <w:rPr>
                <w:sz w:val="17"/>
                <w:szCs w:val="17"/>
                <w:color w:val="auto"/>
              </w:rPr>
            </w:pPr>
          </w:p>
        </w:tc>
      </w:tr>
      <w:tr>
        <w:trPr>
          <w:trHeight w:val="412"/>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172">
              <w:r>
                <w:rPr>
                  <w:rFonts w:ascii="Arial" w:cs="Arial" w:eastAsia="Arial" w:hAnsi="Arial"/>
                  <w:sz w:val="18"/>
                  <w:szCs w:val="18"/>
                  <w:color w:val="0000EE"/>
                  <w:w w:val="87"/>
                </w:rPr>
                <w:t>1.</w:t>
              </w:r>
              <w:r>
                <w:rPr>
                  <w:rFonts w:ascii="Arial" w:cs="Arial" w:eastAsia="Arial" w:hAnsi="Arial"/>
                  <w:sz w:val="18"/>
                  <w:szCs w:val="18"/>
                  <w:u w:val="single" w:color="auto"/>
                  <w:color w:val="0000EE"/>
                  <w:w w:val="87"/>
                </w:rPr>
                <w:t>2</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tcBorders>
              <w:bottom w:val="single" w:sz="8" w:color="0000EE"/>
            </w:tcBorders>
            <w:gridSpan w:val="18"/>
          </w:tcPr>
          <w:p>
            <w:pPr>
              <w:spacing w:after="0"/>
              <w:rPr>
                <w:rFonts w:ascii="Arial" w:cs="Arial" w:eastAsia="Arial" w:hAnsi="Arial"/>
                <w:sz w:val="18"/>
                <w:szCs w:val="18"/>
                <w:color w:val="0000EE"/>
                <w:w w:val="96"/>
              </w:rPr>
            </w:pPr>
            <w:hyperlink r:id="rId172">
              <w:r>
                <w:rPr>
                  <w:rFonts w:ascii="Arial" w:cs="Arial" w:eastAsia="Arial" w:hAnsi="Arial"/>
                  <w:sz w:val="18"/>
                  <w:szCs w:val="18"/>
                  <w:color w:val="0000EE"/>
                  <w:w w:val="96"/>
                </w:rPr>
                <w:t>Amended and Restated Articles of Association (incorporated by reference to Exhibit 99.1 of Form 6-K/A filed with the Securities and</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40" w:type="dxa"/>
            <w:vAlign w:val="bottom"/>
            <w:tcBorders>
              <w:bottom w:val="single" w:sz="8" w:color="0000EE"/>
            </w:tcBorders>
            <w:gridSpan w:val="4"/>
          </w:tcPr>
          <w:p>
            <w:pPr>
              <w:spacing w:after="0" w:line="196" w:lineRule="exact"/>
              <w:rPr>
                <w:rFonts w:ascii="Arial" w:cs="Arial" w:eastAsia="Arial" w:hAnsi="Arial"/>
                <w:sz w:val="18"/>
                <w:szCs w:val="18"/>
                <w:color w:val="0000EE"/>
                <w:w w:val="90"/>
              </w:rPr>
            </w:pPr>
            <w:hyperlink r:id="rId172">
              <w:r>
                <w:rPr>
                  <w:rFonts w:ascii="Arial" w:cs="Arial" w:eastAsia="Arial" w:hAnsi="Arial"/>
                  <w:sz w:val="18"/>
                  <w:szCs w:val="18"/>
                  <w:color w:val="0000EE"/>
                  <w:w w:val="90"/>
                </w:rPr>
                <w:t>Exchange Commission on August 20, 2018).</w:t>
              </w:r>
            </w:hyperlink>
          </w:p>
        </w:tc>
        <w:tc>
          <w:tcPr>
            <w:tcW w:w="6860" w:type="dxa"/>
            <w:vAlign w:val="bottom"/>
            <w:gridSpan w:val="14"/>
          </w:tcPr>
          <w:p>
            <w:pPr>
              <w:spacing w:after="0"/>
              <w:rPr>
                <w:sz w:val="17"/>
                <w:szCs w:val="17"/>
                <w:color w:val="auto"/>
              </w:rPr>
            </w:pPr>
          </w:p>
        </w:tc>
      </w:tr>
      <w:tr>
        <w:trPr>
          <w:trHeight w:val="412"/>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173">
              <w:r>
                <w:rPr>
                  <w:rFonts w:ascii="Arial" w:cs="Arial" w:eastAsia="Arial" w:hAnsi="Arial"/>
                  <w:sz w:val="18"/>
                  <w:szCs w:val="18"/>
                  <w:color w:val="0000EE"/>
                  <w:w w:val="87"/>
                </w:rPr>
                <w:t>2.</w:t>
              </w:r>
              <w:r>
                <w:rPr>
                  <w:rFonts w:ascii="Arial" w:cs="Arial" w:eastAsia="Arial" w:hAnsi="Arial"/>
                  <w:sz w:val="18"/>
                  <w:szCs w:val="18"/>
                  <w:u w:val="single" w:color="auto"/>
                  <w:color w:val="0000EE"/>
                  <w:w w:val="87"/>
                </w:rPr>
                <w:t>1</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tcBorders>
              <w:bottom w:val="single" w:sz="8" w:color="0000EE"/>
            </w:tcBorders>
            <w:gridSpan w:val="18"/>
          </w:tcPr>
          <w:p>
            <w:pPr>
              <w:spacing w:after="0"/>
              <w:rPr>
                <w:rFonts w:ascii="Arial" w:cs="Arial" w:eastAsia="Arial" w:hAnsi="Arial"/>
                <w:sz w:val="18"/>
                <w:szCs w:val="18"/>
                <w:color w:val="0000EE"/>
                <w:w w:val="93"/>
              </w:rPr>
            </w:pPr>
            <w:hyperlink r:id="rId173">
              <w:r>
                <w:rPr>
                  <w:rFonts w:ascii="Arial" w:cs="Arial" w:eastAsia="Arial" w:hAnsi="Arial"/>
                  <w:sz w:val="18"/>
                  <w:szCs w:val="18"/>
                  <w:color w:val="0000EE"/>
                  <w:w w:val="93"/>
                </w:rPr>
                <w:t>Form of Specimen Share Certificate (incorporated by reference to Exhibit 4.1 of the Registration Statement on Form F-1/A filed with the</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gridSpan w:val="18"/>
          </w:tcPr>
          <w:p>
            <w:pPr>
              <w:spacing w:after="0" w:line="196" w:lineRule="exact"/>
              <w:rPr>
                <w:rFonts w:ascii="Arial" w:cs="Arial" w:eastAsia="Arial" w:hAnsi="Arial"/>
                <w:sz w:val="18"/>
                <w:szCs w:val="18"/>
                <w:color w:val="0000EE"/>
              </w:rPr>
            </w:pPr>
            <w:hyperlink r:id="rId173">
              <w:r>
                <w:rPr>
                  <w:rFonts w:ascii="Arial" w:cs="Arial" w:eastAsia="Arial" w:hAnsi="Arial"/>
                  <w:sz w:val="18"/>
                  <w:szCs w:val="18"/>
                  <w:color w:val="0000EE"/>
                </w:rPr>
                <w:t>Securities and Exchange Commission on September 20, 2017).</w:t>
              </w:r>
            </w:hyperlink>
          </w:p>
        </w:tc>
      </w:tr>
      <w:tr>
        <w:trPr>
          <w:trHeight w:val="412"/>
        </w:trPr>
        <w:tc>
          <w:tcPr>
            <w:tcW w:w="240" w:type="dxa"/>
            <w:vAlign w:val="bottom"/>
          </w:tcPr>
          <w:p>
            <w:pPr>
              <w:spacing w:after="0"/>
              <w:rPr>
                <w:rFonts w:ascii="Arial" w:cs="Arial" w:eastAsia="Arial" w:hAnsi="Arial"/>
                <w:sz w:val="18"/>
                <w:szCs w:val="18"/>
                <w:color w:val="0000EE"/>
                <w:w w:val="87"/>
              </w:rPr>
            </w:pPr>
            <w:hyperlink w:anchor="page181">
              <w:r>
                <w:rPr>
                  <w:rFonts w:ascii="Arial" w:cs="Arial" w:eastAsia="Arial" w:hAnsi="Arial"/>
                  <w:sz w:val="18"/>
                  <w:szCs w:val="18"/>
                  <w:color w:val="0000EE"/>
                  <w:w w:val="87"/>
                </w:rPr>
                <w:t>2.</w:t>
              </w:r>
              <w:r>
                <w:rPr>
                  <w:rFonts w:ascii="Arial" w:cs="Arial" w:eastAsia="Arial" w:hAnsi="Arial"/>
                  <w:sz w:val="18"/>
                  <w:szCs w:val="18"/>
                  <w:u w:val="single" w:color="auto"/>
                  <w:color w:val="0000EE"/>
                  <w:w w:val="87"/>
                </w:rPr>
                <w:t>2</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540" w:type="dxa"/>
            <w:vAlign w:val="bottom"/>
            <w:tcBorders>
              <w:top w:val="single" w:sz="8" w:color="0000EE"/>
            </w:tcBorders>
            <w:gridSpan w:val="6"/>
          </w:tcPr>
          <w:p>
            <w:pPr>
              <w:spacing w:after="0"/>
              <w:rPr>
                <w:rFonts w:ascii="Arial" w:cs="Arial" w:eastAsia="Arial" w:hAnsi="Arial"/>
                <w:sz w:val="18"/>
                <w:szCs w:val="18"/>
                <w:color w:val="0000EE"/>
              </w:rPr>
            </w:pPr>
            <w:hyperlink w:anchor="page181">
              <w:r>
                <w:rPr>
                  <w:rFonts w:ascii="Arial" w:cs="Arial" w:eastAsia="Arial" w:hAnsi="Arial"/>
                  <w:sz w:val="18"/>
                  <w:szCs w:val="18"/>
                  <w:color w:val="0000EE"/>
                </w:rPr>
                <w:t>Description of Share Capital.</w:t>
              </w:r>
            </w:hyperlink>
          </w:p>
        </w:tc>
        <w:tc>
          <w:tcPr>
            <w:tcW w:w="5560" w:type="dxa"/>
            <w:vAlign w:val="bottom"/>
            <w:gridSpan w:val="12"/>
          </w:tcPr>
          <w:p>
            <w:pPr>
              <w:spacing w:after="0"/>
              <w:rPr>
                <w:sz w:val="24"/>
                <w:szCs w:val="24"/>
                <w:color w:val="auto"/>
              </w:rPr>
            </w:pPr>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180" w:type="dxa"/>
            <w:vAlign w:val="bottom"/>
            <w:gridSpan w:val="2"/>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940" w:type="dxa"/>
            <w:vAlign w:val="bottom"/>
            <w:gridSpan w:val="4"/>
          </w:tcPr>
          <w:p>
            <w:pPr>
              <w:spacing w:after="0"/>
              <w:rPr>
                <w:rFonts w:ascii="Arial" w:cs="Arial" w:eastAsia="Arial" w:hAnsi="Arial"/>
                <w:sz w:val="18"/>
                <w:szCs w:val="18"/>
                <w:color w:val="0000EE"/>
              </w:rPr>
            </w:pPr>
            <w:hyperlink r:id="rId174">
              <w:r>
                <w:rPr>
                  <w:rFonts w:ascii="Arial" w:cs="Arial" w:eastAsia="Arial" w:hAnsi="Arial"/>
                  <w:sz w:val="18"/>
                  <w:szCs w:val="18"/>
                  <w:color w:val="0000EE"/>
                </w:rPr>
                <w:t>4.</w:t>
              </w:r>
              <w:r>
                <w:rPr>
                  <w:rFonts w:ascii="Arial" w:cs="Arial" w:eastAsia="Arial" w:hAnsi="Arial"/>
                  <w:sz w:val="18"/>
                  <w:szCs w:val="18"/>
                  <w:u w:val="single" w:color="auto"/>
                  <w:color w:val="0000EE"/>
                </w:rPr>
                <w:t>1†</w:t>
              </w:r>
            </w:hyperlink>
          </w:p>
        </w:tc>
        <w:tc>
          <w:tcPr>
            <w:tcW w:w="200" w:type="dxa"/>
            <w:vAlign w:val="bottom"/>
          </w:tcPr>
          <w:p>
            <w:pPr>
              <w:spacing w:after="0"/>
              <w:rPr>
                <w:sz w:val="24"/>
                <w:szCs w:val="24"/>
                <w:color w:val="auto"/>
              </w:rPr>
            </w:pPr>
          </w:p>
        </w:tc>
        <w:tc>
          <w:tcPr>
            <w:tcW w:w="10100" w:type="dxa"/>
            <w:vAlign w:val="bottom"/>
            <w:gridSpan w:val="18"/>
          </w:tcPr>
          <w:p>
            <w:pPr>
              <w:spacing w:after="0"/>
              <w:rPr>
                <w:rFonts w:ascii="Arial" w:cs="Arial" w:eastAsia="Arial" w:hAnsi="Arial"/>
                <w:sz w:val="18"/>
                <w:szCs w:val="18"/>
                <w:color w:val="0000EE"/>
                <w:w w:val="91"/>
              </w:rPr>
            </w:pPr>
            <w:hyperlink r:id="rId174">
              <w:r>
                <w:rPr>
                  <w:rFonts w:ascii="Arial" w:cs="Arial" w:eastAsia="Arial" w:hAnsi="Arial"/>
                  <w:sz w:val="18"/>
                  <w:szCs w:val="18"/>
                  <w:color w:val="0000EE"/>
                  <w:w w:val="91"/>
                </w:rPr>
                <w:t>Development, Manufacturing and Commercialization Agreement between Perrigo UK Finco Limited Partnership and Sol-Gel Technologies</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tcBorders>
              <w:top w:val="single" w:sz="8" w:color="0000EE"/>
            </w:tcBorders>
            <w:gridSpan w:val="17"/>
          </w:tcPr>
          <w:p>
            <w:pPr>
              <w:spacing w:after="0" w:line="196" w:lineRule="exact"/>
              <w:rPr>
                <w:rFonts w:ascii="Arial" w:cs="Arial" w:eastAsia="Arial" w:hAnsi="Arial"/>
                <w:sz w:val="18"/>
                <w:szCs w:val="18"/>
                <w:color w:val="0000EE"/>
                <w:w w:val="96"/>
              </w:rPr>
            </w:pPr>
            <w:hyperlink r:id="rId174">
              <w:r>
                <w:rPr>
                  <w:rFonts w:ascii="Arial" w:cs="Arial" w:eastAsia="Arial" w:hAnsi="Arial"/>
                  <w:sz w:val="18"/>
                  <w:szCs w:val="18"/>
                  <w:color w:val="0000EE"/>
                  <w:w w:val="96"/>
                </w:rPr>
                <w:t>Ltd., dated as of April 27, 2015 (incorporated by reference to Exhibit 10.3 of the Registration Statement on Form F-1/A filed with the</w:t>
              </w:r>
            </w:hyperlink>
          </w:p>
        </w:tc>
        <w:tc>
          <w:tcPr>
            <w:tcW w:w="20" w:type="dxa"/>
            <w:vAlign w:val="bottom"/>
          </w:tcPr>
          <w:p>
            <w:pPr>
              <w:spacing w:after="0"/>
              <w:rPr>
                <w:sz w:val="17"/>
                <w:szCs w:val="17"/>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56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89"/>
              </w:rPr>
            </w:pPr>
            <w:hyperlink r:id="rId174">
              <w:r>
                <w:rPr>
                  <w:rFonts w:ascii="Arial" w:cs="Arial" w:eastAsia="Arial" w:hAnsi="Arial"/>
                  <w:sz w:val="18"/>
                  <w:szCs w:val="18"/>
                  <w:color w:val="0000EE"/>
                  <w:w w:val="89"/>
                </w:rPr>
                <w:t>Securities and Exchange Commission on September 20, 2017).</w:t>
              </w:r>
            </w:hyperlink>
          </w:p>
        </w:tc>
        <w:tc>
          <w:tcPr>
            <w:tcW w:w="5060" w:type="dxa"/>
            <w:vAlign w:val="bottom"/>
            <w:tcBorders>
              <w:top w:val="single" w:sz="8" w:color="0000EE"/>
            </w:tcBorders>
            <w:gridSpan w:val="5"/>
          </w:tcPr>
          <w:p>
            <w:pPr>
              <w:spacing w:after="0"/>
              <w:rPr>
                <w:sz w:val="17"/>
                <w:szCs w:val="17"/>
                <w:color w:val="auto"/>
              </w:rPr>
            </w:pPr>
          </w:p>
        </w:tc>
        <w:tc>
          <w:tcPr>
            <w:tcW w:w="480" w:type="dxa"/>
            <w:vAlign w:val="bottom"/>
            <w:gridSpan w:val="6"/>
          </w:tcPr>
          <w:p>
            <w:pPr>
              <w:spacing w:after="0"/>
              <w:rPr>
                <w:sz w:val="17"/>
                <w:szCs w:val="17"/>
                <w:color w:val="auto"/>
              </w:rPr>
            </w:pPr>
          </w:p>
        </w:tc>
      </w:tr>
      <w:tr>
        <w:trPr>
          <w:trHeight w:val="412"/>
        </w:trPr>
        <w:tc>
          <w:tcPr>
            <w:tcW w:w="940" w:type="dxa"/>
            <w:vAlign w:val="bottom"/>
            <w:gridSpan w:val="4"/>
          </w:tcPr>
          <w:p>
            <w:pPr>
              <w:spacing w:after="0"/>
              <w:rPr>
                <w:rFonts w:ascii="Arial" w:cs="Arial" w:eastAsia="Arial" w:hAnsi="Arial"/>
                <w:sz w:val="18"/>
                <w:szCs w:val="18"/>
                <w:color w:val="0000EE"/>
              </w:rPr>
            </w:pPr>
            <w:hyperlink r:id="rId175">
              <w:r>
                <w:rPr>
                  <w:rFonts w:ascii="Arial" w:cs="Arial" w:eastAsia="Arial" w:hAnsi="Arial"/>
                  <w:sz w:val="18"/>
                  <w:szCs w:val="18"/>
                  <w:color w:val="0000EE"/>
                </w:rPr>
                <w:t>4.</w:t>
              </w:r>
              <w:r>
                <w:rPr>
                  <w:rFonts w:ascii="Arial" w:cs="Arial" w:eastAsia="Arial" w:hAnsi="Arial"/>
                  <w:sz w:val="18"/>
                  <w:szCs w:val="18"/>
                  <w:u w:val="single" w:color="auto"/>
                  <w:color w:val="0000EE"/>
                </w:rPr>
                <w:t>2†</w:t>
              </w:r>
            </w:hyperlink>
          </w:p>
        </w:tc>
        <w:tc>
          <w:tcPr>
            <w:tcW w:w="200" w:type="dxa"/>
            <w:vAlign w:val="bottom"/>
          </w:tcPr>
          <w:p>
            <w:pPr>
              <w:spacing w:after="0"/>
              <w:rPr>
                <w:sz w:val="24"/>
                <w:szCs w:val="24"/>
                <w:color w:val="auto"/>
              </w:rPr>
            </w:pPr>
          </w:p>
        </w:tc>
        <w:tc>
          <w:tcPr>
            <w:tcW w:w="10100" w:type="dxa"/>
            <w:vAlign w:val="bottom"/>
            <w:gridSpan w:val="18"/>
          </w:tcPr>
          <w:p>
            <w:pPr>
              <w:spacing w:after="0"/>
              <w:rPr>
                <w:rFonts w:ascii="Arial" w:cs="Arial" w:eastAsia="Arial" w:hAnsi="Arial"/>
                <w:sz w:val="18"/>
                <w:szCs w:val="18"/>
                <w:color w:val="0000EE"/>
                <w:w w:val="92"/>
              </w:rPr>
            </w:pPr>
            <w:hyperlink r:id="rId175">
              <w:r>
                <w:rPr>
                  <w:rFonts w:ascii="Arial" w:cs="Arial" w:eastAsia="Arial" w:hAnsi="Arial"/>
                  <w:sz w:val="18"/>
                  <w:szCs w:val="18"/>
                  <w:color w:val="0000EE"/>
                  <w:w w:val="92"/>
                </w:rPr>
                <w:t>Amendment to the Development, Manufacturing and Commercialization Agreement between the Registrant and Perrigo UK Finco Limited</w:t>
              </w:r>
            </w:hyperlink>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340" w:type="dxa"/>
            <w:vAlign w:val="bottom"/>
            <w:gridSpan w:val="3"/>
            <w:shd w:val="clear" w:color="auto" w:fill="0000EE"/>
          </w:tcPr>
          <w:p>
            <w:pPr>
              <w:spacing w:after="0" w:line="20" w:lineRule="exact"/>
              <w:rPr>
                <w:sz w:val="1"/>
                <w:szCs w:val="1"/>
                <w:color w:val="auto"/>
              </w:rPr>
            </w:pPr>
          </w:p>
        </w:tc>
        <w:tc>
          <w:tcPr>
            <w:tcW w:w="1440" w:type="dxa"/>
            <w:vAlign w:val="bottom"/>
            <w:gridSpan w:val="3"/>
            <w:shd w:val="clear" w:color="auto" w:fill="0000EE"/>
          </w:tcPr>
          <w:p>
            <w:pPr>
              <w:spacing w:after="0" w:line="20" w:lineRule="exact"/>
              <w:rPr>
                <w:sz w:val="1"/>
                <w:szCs w:val="1"/>
                <w:color w:val="auto"/>
              </w:rPr>
            </w:pPr>
          </w:p>
        </w:tc>
        <w:tc>
          <w:tcPr>
            <w:tcW w:w="386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gridSpan w:val="18"/>
          </w:tcPr>
          <w:p>
            <w:pPr>
              <w:spacing w:after="0" w:line="196" w:lineRule="exact"/>
              <w:rPr>
                <w:rFonts w:ascii="Arial" w:cs="Arial" w:eastAsia="Arial" w:hAnsi="Arial"/>
                <w:sz w:val="18"/>
                <w:szCs w:val="18"/>
                <w:color w:val="0000EE"/>
                <w:w w:val="91"/>
              </w:rPr>
            </w:pPr>
            <w:hyperlink r:id="rId175">
              <w:r>
                <w:rPr>
                  <w:rFonts w:ascii="Arial" w:cs="Arial" w:eastAsia="Arial" w:hAnsi="Arial"/>
                  <w:sz w:val="18"/>
                  <w:szCs w:val="18"/>
                  <w:color w:val="0000EE"/>
                  <w:w w:val="91"/>
                </w:rPr>
                <w:t>Partnership, dated as of October 26, 2015 (incorporated by reference to Exhibit 10.4 of the Registration Statement on Form F-1/A filed with</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72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89"/>
              </w:rPr>
            </w:pPr>
            <w:hyperlink r:id="rId175">
              <w:r>
                <w:rPr>
                  <w:rFonts w:ascii="Arial" w:cs="Arial" w:eastAsia="Arial" w:hAnsi="Arial"/>
                  <w:sz w:val="18"/>
                  <w:szCs w:val="18"/>
                  <w:color w:val="0000EE"/>
                  <w:w w:val="89"/>
                </w:rPr>
                <w:t>the Securities and Exchange Commission on September 6, 2017).</w:t>
              </w:r>
            </w:hyperlink>
          </w:p>
        </w:tc>
        <w:tc>
          <w:tcPr>
            <w:tcW w:w="5360" w:type="dxa"/>
            <w:vAlign w:val="bottom"/>
            <w:tcBorders>
              <w:top w:val="single" w:sz="8" w:color="0000EE"/>
            </w:tcBorders>
            <w:gridSpan w:val="9"/>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176">
              <w:r>
                <w:rPr>
                  <w:rFonts w:ascii="Arial" w:cs="Arial" w:eastAsia="Arial" w:hAnsi="Arial"/>
                  <w:sz w:val="18"/>
                  <w:szCs w:val="18"/>
                  <w:color w:val="0000EE"/>
                  <w:w w:val="87"/>
                </w:rPr>
                <w:t>4.</w:t>
              </w:r>
              <w:r>
                <w:rPr>
                  <w:rFonts w:ascii="Arial" w:cs="Arial" w:eastAsia="Arial" w:hAnsi="Arial"/>
                  <w:sz w:val="18"/>
                  <w:szCs w:val="18"/>
                  <w:u w:val="single" w:color="auto"/>
                  <w:color w:val="0000EE"/>
                  <w:w w:val="87"/>
                </w:rPr>
                <w:t>3</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tcBorders>
              <w:bottom w:val="single" w:sz="8" w:color="0000EE"/>
            </w:tcBorders>
            <w:gridSpan w:val="18"/>
          </w:tcPr>
          <w:p>
            <w:pPr>
              <w:spacing w:after="0"/>
              <w:rPr>
                <w:rFonts w:ascii="Arial" w:cs="Arial" w:eastAsia="Arial" w:hAnsi="Arial"/>
                <w:sz w:val="18"/>
                <w:szCs w:val="18"/>
                <w:color w:val="0000EE"/>
                <w:w w:val="93"/>
              </w:rPr>
            </w:pPr>
            <w:hyperlink r:id="rId176">
              <w:r>
                <w:rPr>
                  <w:rFonts w:ascii="Arial" w:cs="Arial" w:eastAsia="Arial" w:hAnsi="Arial"/>
                  <w:sz w:val="18"/>
                  <w:szCs w:val="18"/>
                  <w:color w:val="0000EE"/>
                  <w:w w:val="93"/>
                </w:rPr>
                <w:t>Form of Indemnification Agreement (incorporated by reference to Exhibit 10.5 of the Registration Statement on Form F-1/A filed with the</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gridSpan w:val="18"/>
          </w:tcPr>
          <w:p>
            <w:pPr>
              <w:spacing w:after="0" w:line="196" w:lineRule="exact"/>
              <w:rPr>
                <w:rFonts w:ascii="Arial" w:cs="Arial" w:eastAsia="Arial" w:hAnsi="Arial"/>
                <w:sz w:val="18"/>
                <w:szCs w:val="18"/>
                <w:color w:val="0000EE"/>
              </w:rPr>
            </w:pPr>
            <w:hyperlink r:id="rId176">
              <w:r>
                <w:rPr>
                  <w:rFonts w:ascii="Arial" w:cs="Arial" w:eastAsia="Arial" w:hAnsi="Arial"/>
                  <w:sz w:val="18"/>
                  <w:szCs w:val="18"/>
                  <w:color w:val="0000EE"/>
                </w:rPr>
                <w:t>Securities and Exchange Commission on September 20, 2017).</w:t>
              </w:r>
            </w:hyperlink>
          </w:p>
        </w:tc>
      </w:tr>
      <w:tr>
        <w:trPr>
          <w:trHeight w:val="412"/>
        </w:trPr>
        <w:tc>
          <w:tcPr>
            <w:tcW w:w="240" w:type="dxa"/>
            <w:vAlign w:val="bottom"/>
          </w:tcPr>
          <w:p>
            <w:pPr>
              <w:spacing w:after="0"/>
              <w:rPr>
                <w:rFonts w:ascii="Arial" w:cs="Arial" w:eastAsia="Arial" w:hAnsi="Arial"/>
                <w:sz w:val="18"/>
                <w:szCs w:val="18"/>
                <w:color w:val="0000EE"/>
                <w:w w:val="87"/>
              </w:rPr>
            </w:pPr>
            <w:hyperlink w:anchor="page187">
              <w:r>
                <w:rPr>
                  <w:rFonts w:ascii="Arial" w:cs="Arial" w:eastAsia="Arial" w:hAnsi="Arial"/>
                  <w:sz w:val="18"/>
                  <w:szCs w:val="18"/>
                  <w:color w:val="0000EE"/>
                  <w:w w:val="87"/>
                </w:rPr>
                <w:t>4.</w:t>
              </w:r>
              <w:r>
                <w:rPr>
                  <w:rFonts w:ascii="Arial" w:cs="Arial" w:eastAsia="Arial" w:hAnsi="Arial"/>
                  <w:sz w:val="18"/>
                  <w:szCs w:val="18"/>
                  <w:u w:val="single" w:color="auto"/>
                  <w:color w:val="0000EE"/>
                  <w:w w:val="87"/>
                </w:rPr>
                <w:t>4</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540" w:type="dxa"/>
            <w:vAlign w:val="bottom"/>
            <w:tcBorders>
              <w:top w:val="single" w:sz="8" w:color="0000EE"/>
            </w:tcBorders>
            <w:gridSpan w:val="6"/>
          </w:tcPr>
          <w:p>
            <w:pPr>
              <w:spacing w:after="0"/>
              <w:rPr>
                <w:rFonts w:ascii="Arial" w:cs="Arial" w:eastAsia="Arial" w:hAnsi="Arial"/>
                <w:sz w:val="18"/>
                <w:szCs w:val="18"/>
                <w:color w:val="0000EE"/>
              </w:rPr>
            </w:pPr>
            <w:hyperlink w:anchor="page187">
              <w:r>
                <w:rPr>
                  <w:rFonts w:ascii="Arial" w:cs="Arial" w:eastAsia="Arial" w:hAnsi="Arial"/>
                  <w:sz w:val="18"/>
                  <w:szCs w:val="18"/>
                  <w:color w:val="0000EE"/>
                </w:rPr>
                <w:t>2014 Share Incentive Plan.</w:t>
              </w:r>
            </w:hyperlink>
          </w:p>
        </w:tc>
        <w:tc>
          <w:tcPr>
            <w:tcW w:w="5560" w:type="dxa"/>
            <w:vAlign w:val="bottom"/>
            <w:gridSpan w:val="12"/>
          </w:tcPr>
          <w:p>
            <w:pPr>
              <w:spacing w:after="0"/>
              <w:rPr>
                <w:sz w:val="24"/>
                <w:szCs w:val="24"/>
                <w:color w:val="auto"/>
              </w:rPr>
            </w:pPr>
          </w:p>
        </w:tc>
      </w:tr>
      <w:tr>
        <w:trPr>
          <w:trHeight w:val="20"/>
        </w:trPr>
        <w:tc>
          <w:tcPr>
            <w:tcW w:w="2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340" w:type="dxa"/>
            <w:vAlign w:val="bottom"/>
            <w:gridSpan w:val="3"/>
          </w:tcPr>
          <w:p>
            <w:pPr>
              <w:spacing w:after="0" w:line="20" w:lineRule="exact"/>
              <w:rPr>
                <w:sz w:val="1"/>
                <w:szCs w:val="1"/>
                <w:color w:val="auto"/>
              </w:rPr>
            </w:pPr>
          </w:p>
        </w:tc>
        <w:tc>
          <w:tcPr>
            <w:tcW w:w="5300" w:type="dxa"/>
            <w:vAlign w:val="bottom"/>
            <w:gridSpan w:val="5"/>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Arial" w:cs="Arial" w:eastAsia="Arial" w:hAnsi="Arial"/>
                <w:sz w:val="18"/>
                <w:szCs w:val="18"/>
                <w:color w:val="0000EE"/>
                <w:w w:val="87"/>
              </w:rPr>
            </w:pPr>
            <w:hyperlink r:id="rId177">
              <w:r>
                <w:rPr>
                  <w:rFonts w:ascii="Arial" w:cs="Arial" w:eastAsia="Arial" w:hAnsi="Arial"/>
                  <w:sz w:val="18"/>
                  <w:szCs w:val="18"/>
                  <w:color w:val="0000EE"/>
                  <w:w w:val="87"/>
                </w:rPr>
                <w:t>4.</w:t>
              </w:r>
              <w:r>
                <w:rPr>
                  <w:rFonts w:ascii="Arial" w:cs="Arial" w:eastAsia="Arial" w:hAnsi="Arial"/>
                  <w:sz w:val="18"/>
                  <w:szCs w:val="18"/>
                  <w:u w:val="single" w:color="auto"/>
                  <w:color w:val="0000EE"/>
                  <w:w w:val="87"/>
                </w:rPr>
                <w:t>5</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8"/>
          </w:tcPr>
          <w:p>
            <w:pPr>
              <w:spacing w:after="0"/>
              <w:rPr>
                <w:rFonts w:ascii="Arial" w:cs="Arial" w:eastAsia="Arial" w:hAnsi="Arial"/>
                <w:sz w:val="18"/>
                <w:szCs w:val="18"/>
                <w:color w:val="0000EE"/>
                <w:w w:val="92"/>
              </w:rPr>
            </w:pPr>
            <w:hyperlink r:id="rId177">
              <w:r>
                <w:rPr>
                  <w:rFonts w:ascii="Arial" w:cs="Arial" w:eastAsia="Arial" w:hAnsi="Arial"/>
                  <w:sz w:val="18"/>
                  <w:szCs w:val="18"/>
                  <w:color w:val="0000EE"/>
                  <w:w w:val="92"/>
                </w:rPr>
                <w:t>Compensation Policy (incorporated by reference to Exhibit 10.6 of the Registration Statement on Form F-1/A filed with the Securities and</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8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9"/>
              </w:rPr>
            </w:pPr>
            <w:hyperlink r:id="rId177">
              <w:r>
                <w:rPr>
                  <w:rFonts w:ascii="Arial" w:cs="Arial" w:eastAsia="Arial" w:hAnsi="Arial"/>
                  <w:sz w:val="18"/>
                  <w:szCs w:val="18"/>
                  <w:color w:val="0000EE"/>
                  <w:w w:val="89"/>
                </w:rPr>
                <w:t>Exchange Commission on January 23, 2018).</w:t>
              </w:r>
            </w:hyperlink>
          </w:p>
        </w:tc>
        <w:tc>
          <w:tcPr>
            <w:tcW w:w="6800" w:type="dxa"/>
            <w:vAlign w:val="bottom"/>
            <w:tcBorders>
              <w:top w:val="single" w:sz="8" w:color="0000EE"/>
            </w:tcBorders>
            <w:gridSpan w:val="12"/>
          </w:tcPr>
          <w:p>
            <w:pPr>
              <w:spacing w:after="0"/>
              <w:rPr>
                <w:sz w:val="17"/>
                <w:szCs w:val="17"/>
                <w:color w:val="auto"/>
              </w:rPr>
            </w:pPr>
          </w:p>
        </w:tc>
        <w:tc>
          <w:tcPr>
            <w:tcW w:w="20" w:type="dxa"/>
            <w:vAlign w:val="bottom"/>
          </w:tcPr>
          <w:p>
            <w:pPr>
              <w:spacing w:after="0"/>
              <w:rPr>
                <w:sz w:val="17"/>
                <w:szCs w:val="17"/>
                <w:color w:val="auto"/>
              </w:rPr>
            </w:pPr>
          </w:p>
        </w:tc>
      </w:tr>
      <w:tr>
        <w:trPr>
          <w:trHeight w:val="412"/>
        </w:trPr>
        <w:tc>
          <w:tcPr>
            <w:tcW w:w="240" w:type="dxa"/>
            <w:vAlign w:val="bottom"/>
            <w:tcBorders>
              <w:bottom w:val="single" w:sz="8" w:color="0000EE"/>
            </w:tcBorders>
          </w:tcPr>
          <w:p>
            <w:pPr>
              <w:spacing w:after="0"/>
              <w:rPr>
                <w:rFonts w:ascii="Arial" w:cs="Arial" w:eastAsia="Arial" w:hAnsi="Arial"/>
                <w:sz w:val="18"/>
                <w:szCs w:val="18"/>
                <w:color w:val="0000EE"/>
                <w:w w:val="87"/>
              </w:rPr>
            </w:pPr>
            <w:hyperlink r:id="rId178">
              <w:r>
                <w:rPr>
                  <w:rFonts w:ascii="Arial" w:cs="Arial" w:eastAsia="Arial" w:hAnsi="Arial"/>
                  <w:sz w:val="18"/>
                  <w:szCs w:val="18"/>
                  <w:color w:val="0000EE"/>
                  <w:w w:val="87"/>
                </w:rPr>
                <w:t>4.</w:t>
              </w:r>
              <w:r>
                <w:rPr>
                  <w:rFonts w:ascii="Arial" w:cs="Arial" w:eastAsia="Arial" w:hAnsi="Arial"/>
                  <w:sz w:val="18"/>
                  <w:szCs w:val="18"/>
                  <w:u w:val="single" w:color="auto"/>
                  <w:color w:val="0000EE"/>
                  <w:w w:val="87"/>
                </w:rPr>
                <w:t>6</w:t>
              </w:r>
            </w:hyperlink>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tcBorders>
              <w:bottom w:val="single" w:sz="8" w:color="0000EE"/>
            </w:tcBorders>
            <w:gridSpan w:val="18"/>
          </w:tcPr>
          <w:p>
            <w:pPr>
              <w:spacing w:after="0"/>
              <w:rPr>
                <w:rFonts w:ascii="Arial" w:cs="Arial" w:eastAsia="Arial" w:hAnsi="Arial"/>
                <w:sz w:val="18"/>
                <w:szCs w:val="18"/>
                <w:color w:val="0000EE"/>
                <w:w w:val="92"/>
              </w:rPr>
            </w:pPr>
            <w:hyperlink r:id="rId178">
              <w:r>
                <w:rPr>
                  <w:rFonts w:ascii="Arial" w:cs="Arial" w:eastAsia="Arial" w:hAnsi="Arial"/>
                  <w:sz w:val="18"/>
                  <w:szCs w:val="18"/>
                  <w:color w:val="0000EE"/>
                  <w:w w:val="92"/>
                </w:rPr>
                <w:t>Registration Rights Agreement (incorporated by reference to Exhibit 99.2 of Form 6-K filed with the Securities and Exchange Commission</w:t>
              </w:r>
            </w:hyperlink>
          </w:p>
        </w:tc>
      </w:tr>
      <w:tr>
        <w:trPr>
          <w:trHeight w:val="196"/>
        </w:trPr>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gridSpan w:val="18"/>
          </w:tcPr>
          <w:p>
            <w:pPr>
              <w:spacing w:after="0" w:line="196" w:lineRule="exact"/>
              <w:rPr>
                <w:rFonts w:ascii="Arial" w:cs="Arial" w:eastAsia="Arial" w:hAnsi="Arial"/>
                <w:sz w:val="18"/>
                <w:szCs w:val="18"/>
                <w:color w:val="0000EE"/>
              </w:rPr>
            </w:pPr>
            <w:hyperlink r:id="rId178">
              <w:r>
                <w:rPr>
                  <w:rFonts w:ascii="Arial" w:cs="Arial" w:eastAsia="Arial" w:hAnsi="Arial"/>
                  <w:sz w:val="18"/>
                  <w:szCs w:val="18"/>
                  <w:color w:val="0000EE"/>
                </w:rPr>
                <w:t>on February 6, 2018).</w:t>
              </w:r>
            </w:hyperlink>
          </w:p>
        </w:tc>
      </w:tr>
      <w:tr>
        <w:trPr>
          <w:trHeight w:val="20"/>
        </w:trPr>
        <w:tc>
          <w:tcPr>
            <w:tcW w:w="360" w:type="dxa"/>
            <w:vAlign w:val="bottom"/>
            <w:gridSpan w:val="3"/>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7020" w:type="dxa"/>
            <w:vAlign w:val="bottom"/>
            <w:gridSpan w:val="9"/>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412"/>
        </w:trPr>
        <w:tc>
          <w:tcPr>
            <w:tcW w:w="940" w:type="dxa"/>
            <w:vAlign w:val="bottom"/>
            <w:gridSpan w:val="4"/>
          </w:tcPr>
          <w:p>
            <w:pPr>
              <w:spacing w:after="0"/>
              <w:rPr>
                <w:rFonts w:ascii="Arial" w:cs="Arial" w:eastAsia="Arial" w:hAnsi="Arial"/>
                <w:sz w:val="18"/>
                <w:szCs w:val="18"/>
                <w:color w:val="0000EE"/>
              </w:rPr>
            </w:pPr>
            <w:hyperlink r:id="rId179">
              <w:r>
                <w:rPr>
                  <w:rFonts w:ascii="Arial" w:cs="Arial" w:eastAsia="Arial" w:hAnsi="Arial"/>
                  <w:sz w:val="18"/>
                  <w:szCs w:val="18"/>
                  <w:color w:val="0000EE"/>
                </w:rPr>
                <w:t>4.</w:t>
              </w:r>
              <w:r>
                <w:rPr>
                  <w:rFonts w:ascii="Arial" w:cs="Arial" w:eastAsia="Arial" w:hAnsi="Arial"/>
                  <w:sz w:val="18"/>
                  <w:szCs w:val="18"/>
                  <w:u w:val="single" w:color="auto"/>
                  <w:color w:val="0000EE"/>
                </w:rPr>
                <w:t>7∞</w:t>
              </w:r>
            </w:hyperlink>
          </w:p>
        </w:tc>
        <w:tc>
          <w:tcPr>
            <w:tcW w:w="200" w:type="dxa"/>
            <w:vAlign w:val="bottom"/>
          </w:tcPr>
          <w:p>
            <w:pPr>
              <w:spacing w:after="0"/>
              <w:rPr>
                <w:sz w:val="24"/>
                <w:szCs w:val="24"/>
                <w:color w:val="auto"/>
              </w:rPr>
            </w:pPr>
          </w:p>
        </w:tc>
        <w:tc>
          <w:tcPr>
            <w:tcW w:w="10100" w:type="dxa"/>
            <w:vAlign w:val="bottom"/>
            <w:gridSpan w:val="18"/>
          </w:tcPr>
          <w:p>
            <w:pPr>
              <w:spacing w:after="0"/>
              <w:rPr>
                <w:rFonts w:ascii="Arial" w:cs="Arial" w:eastAsia="Arial" w:hAnsi="Arial"/>
                <w:sz w:val="18"/>
                <w:szCs w:val="18"/>
                <w:color w:val="0000EE"/>
                <w:w w:val="90"/>
              </w:rPr>
            </w:pPr>
            <w:hyperlink r:id="rId179">
              <w:r>
                <w:rPr>
                  <w:rFonts w:ascii="Arial" w:cs="Arial" w:eastAsia="Arial" w:hAnsi="Arial"/>
                  <w:sz w:val="18"/>
                  <w:szCs w:val="18"/>
                  <w:color w:val="0000EE"/>
                  <w:w w:val="90"/>
                </w:rPr>
                <w:t>Lease Agreement by and between the Registrant and Rachel Zacks, dated as of October 10, 2007 (incorporated by reference to Exhibit 10.7</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6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r:id="rId179">
              <w:r>
                <w:rPr>
                  <w:rFonts w:ascii="Arial" w:cs="Arial" w:eastAsia="Arial" w:hAnsi="Arial"/>
                  <w:sz w:val="18"/>
                  <w:szCs w:val="18"/>
                  <w:color w:val="0000EE"/>
                </w:rPr>
                <w:t>of the Registration Statement on Form F-1/A filed with the Securities and Exchange Commission on August 29, 2017).</w:t>
              </w:r>
            </w:hyperlink>
          </w:p>
        </w:tc>
        <w:tc>
          <w:tcPr>
            <w:tcW w:w="40" w:type="dxa"/>
            <w:vAlign w:val="bottom"/>
            <w:gridSpan w:val="2"/>
          </w:tcPr>
          <w:p>
            <w:pPr>
              <w:spacing w:after="0"/>
              <w:rPr>
                <w:sz w:val="17"/>
                <w:szCs w:val="17"/>
                <w:color w:val="auto"/>
              </w:rPr>
            </w:pPr>
          </w:p>
        </w:tc>
      </w:tr>
      <w:tr>
        <w:trPr>
          <w:trHeight w:val="20"/>
        </w:trPr>
        <w:tc>
          <w:tcPr>
            <w:tcW w:w="940" w:type="dxa"/>
            <w:vAlign w:val="bottom"/>
            <w:gridSpan w:val="4"/>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10"/>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gridSpan w:val="4"/>
          </w:tcPr>
          <w:p>
            <w:pPr>
              <w:spacing w:after="0" w:line="20" w:lineRule="exact"/>
              <w:rPr>
                <w:sz w:val="1"/>
                <w:szCs w:val="1"/>
                <w:color w:val="auto"/>
              </w:rPr>
            </w:pPr>
          </w:p>
        </w:tc>
      </w:tr>
      <w:tr>
        <w:trPr>
          <w:trHeight w:val="412"/>
        </w:trPr>
        <w:tc>
          <w:tcPr>
            <w:tcW w:w="940" w:type="dxa"/>
            <w:vAlign w:val="bottom"/>
            <w:gridSpan w:val="4"/>
          </w:tcPr>
          <w:p>
            <w:pPr>
              <w:spacing w:after="0"/>
              <w:rPr>
                <w:rFonts w:ascii="Arial" w:cs="Arial" w:eastAsia="Arial" w:hAnsi="Arial"/>
                <w:sz w:val="18"/>
                <w:szCs w:val="18"/>
                <w:color w:val="0000EE"/>
              </w:rPr>
            </w:pPr>
            <w:hyperlink r:id="rId180">
              <w:r>
                <w:rPr>
                  <w:rFonts w:ascii="Arial" w:cs="Arial" w:eastAsia="Arial" w:hAnsi="Arial"/>
                  <w:sz w:val="18"/>
                  <w:szCs w:val="18"/>
                  <w:color w:val="0000EE"/>
                </w:rPr>
                <w:t>4.</w:t>
              </w:r>
              <w:r>
                <w:rPr>
                  <w:rFonts w:ascii="Arial" w:cs="Arial" w:eastAsia="Arial" w:hAnsi="Arial"/>
                  <w:sz w:val="18"/>
                  <w:szCs w:val="18"/>
                  <w:u w:val="single" w:color="auto"/>
                  <w:color w:val="0000EE"/>
                </w:rPr>
                <w:t>8∞</w:t>
              </w:r>
            </w:hyperlink>
          </w:p>
        </w:tc>
        <w:tc>
          <w:tcPr>
            <w:tcW w:w="200" w:type="dxa"/>
            <w:vAlign w:val="bottom"/>
          </w:tcPr>
          <w:p>
            <w:pPr>
              <w:spacing w:after="0"/>
              <w:rPr>
                <w:sz w:val="24"/>
                <w:szCs w:val="24"/>
                <w:color w:val="auto"/>
              </w:rPr>
            </w:pPr>
          </w:p>
        </w:tc>
        <w:tc>
          <w:tcPr>
            <w:tcW w:w="10100" w:type="dxa"/>
            <w:vAlign w:val="bottom"/>
            <w:gridSpan w:val="18"/>
          </w:tcPr>
          <w:p>
            <w:pPr>
              <w:spacing w:after="0"/>
              <w:rPr>
                <w:rFonts w:ascii="Arial" w:cs="Arial" w:eastAsia="Arial" w:hAnsi="Arial"/>
                <w:sz w:val="18"/>
                <w:szCs w:val="18"/>
                <w:color w:val="0000EE"/>
                <w:w w:val="91"/>
              </w:rPr>
            </w:pPr>
            <w:hyperlink r:id="rId180">
              <w:r>
                <w:rPr>
                  <w:rFonts w:ascii="Arial" w:cs="Arial" w:eastAsia="Arial" w:hAnsi="Arial"/>
                  <w:sz w:val="18"/>
                  <w:szCs w:val="18"/>
                  <w:color w:val="0000EE"/>
                  <w:w w:val="91"/>
                </w:rPr>
                <w:t>Lease Agreement by and between the Registrant and Rachel Zacks, dated as of September 29, 2014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8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r:id="rId180">
              <w:r>
                <w:rPr>
                  <w:rFonts w:ascii="Arial" w:cs="Arial" w:eastAsia="Arial" w:hAnsi="Arial"/>
                  <w:sz w:val="18"/>
                  <w:szCs w:val="18"/>
                  <w:color w:val="0000EE"/>
                </w:rPr>
                <w:t>10.</w:t>
              </w:r>
              <w:r>
                <w:rPr>
                  <w:rFonts w:ascii="Arial" w:cs="Arial" w:eastAsia="Arial" w:hAnsi="Arial"/>
                  <w:sz w:val="18"/>
                  <w:szCs w:val="18"/>
                  <w:u w:val="single" w:color="auto"/>
                  <w:color w:val="0000EE"/>
                </w:rPr>
                <w:t>8</w:t>
              </w:r>
              <w:r>
                <w:rPr>
                  <w:rFonts w:ascii="Arial" w:cs="Arial" w:eastAsia="Arial" w:hAnsi="Arial"/>
                  <w:sz w:val="18"/>
                  <w:szCs w:val="18"/>
                  <w:color w:val="0000EE"/>
                </w:rPr>
                <w:t xml:space="preserve"> of the Registration Statement on Form F-1/A filed with the Securities and Exchange Commission on August 29, 2017).</w:t>
              </w:r>
            </w:hyperlink>
          </w:p>
        </w:tc>
        <w:tc>
          <w:tcPr>
            <w:tcW w:w="220" w:type="dxa"/>
            <w:vAlign w:val="bottom"/>
            <w:gridSpan w:val="5"/>
          </w:tcPr>
          <w:p>
            <w:pPr>
              <w:spacing w:after="0"/>
              <w:rPr>
                <w:sz w:val="17"/>
                <w:szCs w:val="17"/>
                <w:color w:val="auto"/>
              </w:rPr>
            </w:pPr>
          </w:p>
        </w:tc>
      </w:tr>
      <w:tr>
        <w:trPr>
          <w:trHeight w:val="20"/>
        </w:trPr>
        <w:tc>
          <w:tcPr>
            <w:tcW w:w="940" w:type="dxa"/>
            <w:vAlign w:val="bottom"/>
            <w:gridSpan w:val="4"/>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10"/>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160" w:type="dxa"/>
            <w:vAlign w:val="bottom"/>
            <w:gridSpan w:val="4"/>
          </w:tcPr>
          <w:p>
            <w:pPr>
              <w:spacing w:after="0" w:line="20" w:lineRule="exact"/>
              <w:rPr>
                <w:sz w:val="1"/>
                <w:szCs w:val="1"/>
                <w:color w:val="auto"/>
              </w:rPr>
            </w:pPr>
          </w:p>
        </w:tc>
      </w:tr>
      <w:tr>
        <w:trPr>
          <w:trHeight w:val="412"/>
        </w:trPr>
        <w:tc>
          <w:tcPr>
            <w:tcW w:w="940" w:type="dxa"/>
            <w:vAlign w:val="bottom"/>
            <w:gridSpan w:val="4"/>
          </w:tcPr>
          <w:p>
            <w:pPr>
              <w:spacing w:after="0"/>
              <w:rPr>
                <w:rFonts w:ascii="Arial" w:cs="Arial" w:eastAsia="Arial" w:hAnsi="Arial"/>
                <w:sz w:val="18"/>
                <w:szCs w:val="18"/>
                <w:color w:val="0000EE"/>
              </w:rPr>
            </w:pPr>
            <w:hyperlink r:id="rId181">
              <w:r>
                <w:rPr>
                  <w:rFonts w:ascii="Arial" w:cs="Arial" w:eastAsia="Arial" w:hAnsi="Arial"/>
                  <w:sz w:val="18"/>
                  <w:szCs w:val="18"/>
                  <w:color w:val="0000EE"/>
                </w:rPr>
                <w:t>4.</w:t>
              </w:r>
              <w:r>
                <w:rPr>
                  <w:rFonts w:ascii="Arial" w:cs="Arial" w:eastAsia="Arial" w:hAnsi="Arial"/>
                  <w:sz w:val="18"/>
                  <w:szCs w:val="18"/>
                  <w:u w:val="single" w:color="auto"/>
                  <w:color w:val="0000EE"/>
                </w:rPr>
                <w:t>9∞</w:t>
              </w:r>
            </w:hyperlink>
          </w:p>
        </w:tc>
        <w:tc>
          <w:tcPr>
            <w:tcW w:w="200" w:type="dxa"/>
            <w:vAlign w:val="bottom"/>
          </w:tcPr>
          <w:p>
            <w:pPr>
              <w:spacing w:after="0"/>
              <w:rPr>
                <w:sz w:val="24"/>
                <w:szCs w:val="24"/>
                <w:color w:val="auto"/>
              </w:rPr>
            </w:pPr>
          </w:p>
        </w:tc>
        <w:tc>
          <w:tcPr>
            <w:tcW w:w="10100" w:type="dxa"/>
            <w:vAlign w:val="bottom"/>
            <w:gridSpan w:val="18"/>
          </w:tcPr>
          <w:p>
            <w:pPr>
              <w:spacing w:after="0"/>
              <w:rPr>
                <w:rFonts w:ascii="Arial" w:cs="Arial" w:eastAsia="Arial" w:hAnsi="Arial"/>
                <w:sz w:val="18"/>
                <w:szCs w:val="18"/>
                <w:color w:val="0000EE"/>
                <w:w w:val="91"/>
              </w:rPr>
            </w:pPr>
            <w:hyperlink r:id="rId181">
              <w:r>
                <w:rPr>
                  <w:rFonts w:ascii="Arial" w:cs="Arial" w:eastAsia="Arial" w:hAnsi="Arial"/>
                  <w:sz w:val="18"/>
                  <w:szCs w:val="18"/>
                  <w:color w:val="0000EE"/>
                  <w:w w:val="91"/>
                </w:rPr>
                <w:t>Lease Agreement by and between the Registrant and Rachel Zacks, dated as of March 30, 2016 (incorporated by reference to Exhibit 10.9</w:t>
              </w:r>
            </w:hyperlink>
          </w:p>
        </w:tc>
      </w:tr>
      <w:tr>
        <w:trPr>
          <w:trHeight w:val="196"/>
        </w:trPr>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4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r:id="rId181">
              <w:r>
                <w:rPr>
                  <w:rFonts w:ascii="Arial" w:cs="Arial" w:eastAsia="Arial" w:hAnsi="Arial"/>
                  <w:sz w:val="18"/>
                  <w:szCs w:val="18"/>
                  <w:color w:val="0000EE"/>
                </w:rPr>
                <w:t>of the Registration Statement on Form F-1/A filed with the Securities and Exchange Commission on August 29, 2017).</w:t>
              </w:r>
            </w:hyperlink>
          </w:p>
        </w:tc>
        <w:tc>
          <w:tcPr>
            <w:tcW w:w="160" w:type="dxa"/>
            <w:vAlign w:val="bottom"/>
            <w:gridSpan w:val="4"/>
          </w:tcPr>
          <w:p>
            <w:pPr>
              <w:spacing w:after="0"/>
              <w:rPr>
                <w:sz w:val="17"/>
                <w:szCs w:val="17"/>
                <w:color w:val="auto"/>
              </w:rPr>
            </w:pPr>
          </w:p>
        </w:tc>
      </w:tr>
      <w:tr>
        <w:trPr>
          <w:trHeight w:val="719"/>
        </w:trPr>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720" w:type="dxa"/>
            <w:vAlign w:val="bottom"/>
            <w:tcBorders>
              <w:top w:val="single" w:sz="8" w:color="0000EE"/>
            </w:tcBorders>
            <w:gridSpan w:val="8"/>
          </w:tcPr>
          <w:p>
            <w:pPr>
              <w:ind w:left="4320"/>
              <w:spacing w:after="0"/>
              <w:rPr>
                <w:sz w:val="20"/>
                <w:szCs w:val="20"/>
                <w:color w:val="auto"/>
              </w:rPr>
            </w:pPr>
            <w:r>
              <w:rPr>
                <w:rFonts w:ascii="Arial" w:cs="Arial" w:eastAsia="Arial" w:hAnsi="Arial"/>
                <w:sz w:val="22"/>
                <w:szCs w:val="22"/>
                <w:color w:val="auto"/>
              </w:rPr>
              <w:t>144</w:t>
            </w:r>
          </w:p>
        </w:tc>
        <w:tc>
          <w:tcPr>
            <w:tcW w:w="620" w:type="dxa"/>
            <w:vAlign w:val="bottom"/>
            <w:tcBorders>
              <w:top w:val="single" w:sz="8" w:color="0000EE"/>
            </w:tcBorders>
          </w:tcPr>
          <w:p>
            <w:pPr>
              <w:spacing w:after="0"/>
              <w:rPr>
                <w:sz w:val="24"/>
                <w:szCs w:val="24"/>
                <w:color w:val="auto"/>
              </w:rPr>
            </w:pPr>
          </w:p>
        </w:tc>
        <w:tc>
          <w:tcPr>
            <w:tcW w:w="3240" w:type="dxa"/>
            <w:vAlign w:val="bottom"/>
            <w:tcBorders>
              <w:top w:val="single" w:sz="8" w:color="0000EE"/>
            </w:tcBorders>
          </w:tcPr>
          <w:p>
            <w:pPr>
              <w:spacing w:after="0"/>
              <w:rPr>
                <w:sz w:val="24"/>
                <w:szCs w:val="24"/>
                <w:color w:val="auto"/>
              </w:rPr>
            </w:pPr>
          </w:p>
        </w:tc>
        <w:tc>
          <w:tcPr>
            <w:tcW w:w="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1"/>
        </w:trPr>
        <w:tc>
          <w:tcPr>
            <w:tcW w:w="2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324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bl>
    <w:p>
      <w:pPr>
        <w:sectPr>
          <w:pgSz w:w="11900" w:h="16838" w:orient="portrait"/>
          <w:cols w:equalWidth="0" w:num="1">
            <w:col w:w="11240"/>
          </w:cols>
          <w:pgMar w:left="320" w:top="665" w:right="339" w:bottom="1440" w:gutter="0" w:footer="0" w:header="0"/>
        </w:sectPr>
      </w:pPr>
    </w:p>
    <w:bookmarkStart w:id="148" w:name="page149"/>
    <w:bookmarkEnd w:id="14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0" w:type="dxa"/>
            <w:vAlign w:val="bottom"/>
            <w:tcBorders>
              <w:bottom w:val="single" w:sz="8" w:color="0000EE"/>
            </w:tcBorders>
            <w:gridSpan w:val="3"/>
          </w:tcPr>
          <w:p>
            <w:pPr>
              <w:spacing w:after="0"/>
              <w:rPr>
                <w:rFonts w:ascii="Arial" w:cs="Arial" w:eastAsia="Arial" w:hAnsi="Arial"/>
                <w:sz w:val="18"/>
                <w:szCs w:val="18"/>
                <w:color w:val="0000EE"/>
                <w:w w:val="87"/>
              </w:rPr>
            </w:pPr>
            <w:hyperlink r:id="rId182">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10∞</w:t>
              </w:r>
            </w:hyperlink>
          </w:p>
        </w:tc>
        <w:tc>
          <w:tcPr>
            <w:tcW w:w="720" w:type="dxa"/>
            <w:vAlign w:val="bottom"/>
          </w:tcPr>
          <w:p>
            <w:pPr>
              <w:spacing w:after="0"/>
              <w:rPr>
                <w:sz w:val="17"/>
                <w:szCs w:val="17"/>
                <w:color w:val="auto"/>
              </w:rPr>
            </w:pPr>
          </w:p>
        </w:tc>
        <w:tc>
          <w:tcPr>
            <w:tcW w:w="9900" w:type="dxa"/>
            <w:vAlign w:val="bottom"/>
            <w:tcBorders>
              <w:bottom w:val="single" w:sz="8" w:color="0000EE"/>
            </w:tcBorders>
            <w:gridSpan w:val="18"/>
          </w:tcPr>
          <w:p>
            <w:pPr>
              <w:spacing w:after="0"/>
              <w:rPr>
                <w:rFonts w:ascii="Arial" w:cs="Arial" w:eastAsia="Arial" w:hAnsi="Arial"/>
                <w:sz w:val="18"/>
                <w:szCs w:val="18"/>
                <w:color w:val="0000EE"/>
                <w:w w:val="89"/>
              </w:rPr>
            </w:pPr>
            <w:hyperlink r:id="rId182">
              <w:r>
                <w:rPr>
                  <w:rFonts w:ascii="Arial" w:cs="Arial" w:eastAsia="Arial" w:hAnsi="Arial"/>
                  <w:sz w:val="18"/>
                  <w:szCs w:val="18"/>
                  <w:color w:val="0000EE"/>
                  <w:w w:val="89"/>
                </w:rPr>
                <w:t>Lease Agreement by and between the Registrant and Rachel Zacks, dated as of September 20, 2016 (incorporated by reference to Exhibit</w:t>
              </w:r>
            </w:hyperlink>
          </w:p>
        </w:tc>
        <w:tc>
          <w:tcPr>
            <w:tcW w:w="160" w:type="dxa"/>
            <w:vAlign w:val="bottom"/>
            <w:gridSpan w:val="4"/>
          </w:tcPr>
          <w:p>
            <w:pPr>
              <w:spacing w:after="0"/>
              <w:rPr>
                <w:sz w:val="17"/>
                <w:szCs w:val="17"/>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040" w:type="dxa"/>
            <w:vAlign w:val="bottom"/>
            <w:tcBorders>
              <w:bottom w:val="single" w:sz="8" w:color="0000EE"/>
            </w:tcBorders>
            <w:gridSpan w:val="12"/>
          </w:tcPr>
          <w:p>
            <w:pPr>
              <w:spacing w:after="0" w:line="196" w:lineRule="exact"/>
              <w:rPr>
                <w:rFonts w:ascii="Arial" w:cs="Arial" w:eastAsia="Arial" w:hAnsi="Arial"/>
                <w:sz w:val="18"/>
                <w:szCs w:val="18"/>
                <w:color w:val="0000EE"/>
                <w:w w:val="91"/>
              </w:rPr>
            </w:pPr>
            <w:hyperlink r:id="rId182">
              <w:r>
                <w:rPr>
                  <w:rFonts w:ascii="Arial" w:cs="Arial" w:eastAsia="Arial" w:hAnsi="Arial"/>
                  <w:sz w:val="18"/>
                  <w:szCs w:val="18"/>
                  <w:color w:val="0000EE"/>
                  <w:w w:val="91"/>
                </w:rPr>
                <w:t>10.</w:t>
              </w:r>
              <w:r>
                <w:rPr>
                  <w:rFonts w:ascii="Arial" w:cs="Arial" w:eastAsia="Arial" w:hAnsi="Arial"/>
                  <w:sz w:val="18"/>
                  <w:szCs w:val="18"/>
                  <w:u w:val="single" w:color="auto"/>
                  <w:color w:val="0000EE"/>
                  <w:w w:val="91"/>
                </w:rPr>
                <w:t>10</w:t>
              </w:r>
              <w:r>
                <w:rPr>
                  <w:rFonts w:ascii="Arial" w:cs="Arial" w:eastAsia="Arial" w:hAnsi="Arial"/>
                  <w:sz w:val="18"/>
                  <w:szCs w:val="18"/>
                  <w:color w:val="0000EE"/>
                  <w:w w:val="91"/>
                </w:rPr>
                <w:t xml:space="preserve"> of the Registration Statement on Form F-1/A filed with the Securities and Exchange Commission on August 29, 2017).</w:t>
              </w:r>
            </w:hyperlink>
          </w:p>
        </w:tc>
        <w:tc>
          <w:tcPr>
            <w:tcW w:w="1020" w:type="dxa"/>
            <w:vAlign w:val="bottom"/>
            <w:gridSpan w:val="10"/>
          </w:tcPr>
          <w:p>
            <w:pPr>
              <w:spacing w:after="0"/>
              <w:rPr>
                <w:sz w:val="17"/>
                <w:szCs w:val="17"/>
                <w:color w:val="auto"/>
              </w:rPr>
            </w:pPr>
          </w:p>
        </w:tc>
      </w:tr>
      <w:tr>
        <w:trPr>
          <w:trHeight w:val="412"/>
        </w:trPr>
        <w:tc>
          <w:tcPr>
            <w:tcW w:w="1180" w:type="dxa"/>
            <w:vAlign w:val="bottom"/>
            <w:gridSpan w:val="4"/>
          </w:tcPr>
          <w:p>
            <w:pPr>
              <w:spacing w:after="0"/>
              <w:rPr>
                <w:rFonts w:ascii="Arial" w:cs="Arial" w:eastAsia="Arial" w:hAnsi="Arial"/>
                <w:sz w:val="18"/>
                <w:szCs w:val="18"/>
                <w:color w:val="0000EE"/>
              </w:rPr>
            </w:pPr>
            <w:hyperlink r:id="rId183">
              <w:r>
                <w:rPr>
                  <w:rFonts w:ascii="Arial" w:cs="Arial" w:eastAsia="Arial" w:hAnsi="Arial"/>
                  <w:sz w:val="18"/>
                  <w:szCs w:val="18"/>
                  <w:color w:val="0000EE"/>
                </w:rPr>
                <w:t>4.</w:t>
              </w:r>
              <w:r>
                <w:rPr>
                  <w:rFonts w:ascii="Arial" w:cs="Arial" w:eastAsia="Arial" w:hAnsi="Arial"/>
                  <w:sz w:val="18"/>
                  <w:szCs w:val="18"/>
                  <w:u w:val="single" w:color="auto"/>
                  <w:color w:val="0000EE"/>
                </w:rPr>
                <w:t>11∞</w:t>
              </w:r>
            </w:hyperlink>
          </w:p>
        </w:tc>
        <w:tc>
          <w:tcPr>
            <w:tcW w:w="10060" w:type="dxa"/>
            <w:vAlign w:val="bottom"/>
            <w:gridSpan w:val="22"/>
          </w:tcPr>
          <w:p>
            <w:pPr>
              <w:spacing w:after="0"/>
              <w:rPr>
                <w:rFonts w:ascii="Arial" w:cs="Arial" w:eastAsia="Arial" w:hAnsi="Arial"/>
                <w:sz w:val="18"/>
                <w:szCs w:val="18"/>
                <w:color w:val="0000EE"/>
                <w:w w:val="93"/>
              </w:rPr>
            </w:pPr>
            <w:hyperlink r:id="rId183">
              <w:r>
                <w:rPr>
                  <w:rFonts w:ascii="Arial" w:cs="Arial" w:eastAsia="Arial" w:hAnsi="Arial"/>
                  <w:sz w:val="18"/>
                  <w:szCs w:val="18"/>
                  <w:color w:val="0000EE"/>
                  <w:w w:val="93"/>
                </w:rPr>
                <w:t>Lease Agreement by and between the Registrant and Rachel Zacks, dated as of January 30, 2017 (incorporated by reference to Exhibit</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720" w:type="dxa"/>
            <w:vAlign w:val="bottom"/>
          </w:tcPr>
          <w:p>
            <w:pPr>
              <w:spacing w:after="0"/>
              <w:rPr>
                <w:sz w:val="17"/>
                <w:szCs w:val="17"/>
                <w:color w:val="auto"/>
              </w:rPr>
            </w:pPr>
          </w:p>
        </w:tc>
        <w:tc>
          <w:tcPr>
            <w:tcW w:w="10060" w:type="dxa"/>
            <w:vAlign w:val="bottom"/>
            <w:tcBorders>
              <w:top w:val="single" w:sz="8" w:color="0000EE"/>
            </w:tcBorders>
            <w:gridSpan w:val="22"/>
          </w:tcPr>
          <w:p>
            <w:pPr>
              <w:spacing w:after="0" w:line="196" w:lineRule="exact"/>
              <w:rPr>
                <w:rFonts w:ascii="Arial" w:cs="Arial" w:eastAsia="Arial" w:hAnsi="Arial"/>
                <w:sz w:val="18"/>
                <w:szCs w:val="18"/>
                <w:color w:val="0000EE"/>
              </w:rPr>
            </w:pPr>
            <w:hyperlink r:id="rId183">
              <w:r>
                <w:rPr>
                  <w:rFonts w:ascii="Arial" w:cs="Arial" w:eastAsia="Arial" w:hAnsi="Arial"/>
                  <w:sz w:val="18"/>
                  <w:szCs w:val="18"/>
                  <w:color w:val="0000EE"/>
                </w:rPr>
                <w:t>10.</w:t>
              </w:r>
              <w:r>
                <w:rPr>
                  <w:rFonts w:ascii="Arial" w:cs="Arial" w:eastAsia="Arial" w:hAnsi="Arial"/>
                  <w:sz w:val="18"/>
                  <w:szCs w:val="18"/>
                  <w:u w:val="single" w:color="auto"/>
                  <w:color w:val="0000EE"/>
                </w:rPr>
                <w:t>11</w:t>
              </w:r>
              <w:r>
                <w:rPr>
                  <w:rFonts w:ascii="Arial" w:cs="Arial" w:eastAsia="Arial" w:hAnsi="Arial"/>
                  <w:sz w:val="18"/>
                  <w:szCs w:val="18"/>
                  <w:color w:val="0000EE"/>
                </w:rPr>
                <w:t xml:space="preserve"> of the Registration Statement on Form F-1/A filed with the Securities and Exchange Commission on August 29, 2017).</w:t>
              </w:r>
            </w:hyperlink>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28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60" w:type="dxa"/>
            <w:vAlign w:val="bottom"/>
            <w:tcBorders>
              <w:bottom w:val="single" w:sz="8" w:color="0000EE"/>
            </w:tcBorders>
            <w:gridSpan w:val="3"/>
          </w:tcPr>
          <w:p>
            <w:pPr>
              <w:spacing w:after="0"/>
              <w:rPr>
                <w:rFonts w:ascii="Arial" w:cs="Arial" w:eastAsia="Arial" w:hAnsi="Arial"/>
                <w:sz w:val="18"/>
                <w:szCs w:val="18"/>
                <w:color w:val="0000EE"/>
                <w:w w:val="87"/>
              </w:rPr>
            </w:pPr>
            <w:hyperlink r:id="rId184">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12∞</w:t>
              </w:r>
            </w:hyperlink>
          </w:p>
        </w:tc>
        <w:tc>
          <w:tcPr>
            <w:tcW w:w="720" w:type="dxa"/>
            <w:vAlign w:val="bottom"/>
          </w:tcPr>
          <w:p>
            <w:pPr>
              <w:spacing w:after="0"/>
              <w:rPr>
                <w:sz w:val="24"/>
                <w:szCs w:val="24"/>
                <w:color w:val="auto"/>
              </w:rPr>
            </w:pPr>
          </w:p>
        </w:tc>
        <w:tc>
          <w:tcPr>
            <w:tcW w:w="9900" w:type="dxa"/>
            <w:vAlign w:val="bottom"/>
            <w:tcBorders>
              <w:bottom w:val="single" w:sz="8" w:color="0000EE"/>
            </w:tcBorders>
            <w:gridSpan w:val="18"/>
          </w:tcPr>
          <w:p>
            <w:pPr>
              <w:spacing w:after="0"/>
              <w:rPr>
                <w:rFonts w:ascii="Arial" w:cs="Arial" w:eastAsia="Arial" w:hAnsi="Arial"/>
                <w:sz w:val="18"/>
                <w:szCs w:val="18"/>
                <w:color w:val="0000EE"/>
                <w:w w:val="89"/>
              </w:rPr>
            </w:pPr>
            <w:hyperlink r:id="rId184">
              <w:r>
                <w:rPr>
                  <w:rFonts w:ascii="Arial" w:cs="Arial" w:eastAsia="Arial" w:hAnsi="Arial"/>
                  <w:sz w:val="18"/>
                  <w:szCs w:val="18"/>
                  <w:color w:val="0000EE"/>
                  <w:w w:val="89"/>
                </w:rPr>
                <w:t>Lease Agreement by and between the Registrant and Rachel Zacks, dated as of September 25, 2017 (incorporated by reference to Exhibit</w:t>
              </w:r>
            </w:hyperlink>
          </w:p>
        </w:tc>
        <w:tc>
          <w:tcPr>
            <w:tcW w:w="160" w:type="dxa"/>
            <w:vAlign w:val="bottom"/>
            <w:gridSpan w:val="4"/>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60" w:type="dxa"/>
            <w:vAlign w:val="bottom"/>
            <w:gridSpan w:val="22"/>
          </w:tcPr>
          <w:p>
            <w:pPr>
              <w:spacing w:after="0" w:line="196" w:lineRule="exact"/>
              <w:rPr>
                <w:rFonts w:ascii="Arial" w:cs="Arial" w:eastAsia="Arial" w:hAnsi="Arial"/>
                <w:sz w:val="18"/>
                <w:szCs w:val="18"/>
                <w:color w:val="0000EE"/>
              </w:rPr>
            </w:pPr>
            <w:hyperlink r:id="rId184">
              <w:r>
                <w:rPr>
                  <w:rFonts w:ascii="Arial" w:cs="Arial" w:eastAsia="Arial" w:hAnsi="Arial"/>
                  <w:sz w:val="18"/>
                  <w:szCs w:val="18"/>
                  <w:color w:val="0000EE"/>
                </w:rPr>
                <w:t>4.</w:t>
              </w:r>
              <w:r>
                <w:rPr>
                  <w:rFonts w:ascii="Arial" w:cs="Arial" w:eastAsia="Arial" w:hAnsi="Arial"/>
                  <w:sz w:val="18"/>
                  <w:szCs w:val="18"/>
                  <w:u w:val="single" w:color="auto"/>
                  <w:color w:val="0000EE"/>
                </w:rPr>
                <w:t>12</w:t>
              </w:r>
              <w:r>
                <w:rPr>
                  <w:rFonts w:ascii="Arial" w:cs="Arial" w:eastAsia="Arial" w:hAnsi="Arial"/>
                  <w:sz w:val="18"/>
                  <w:szCs w:val="18"/>
                  <w:color w:val="0000EE"/>
                </w:rPr>
                <w:t xml:space="preserve"> of the Annual on Form 20-F filed with the Securities and Exchange Commission on March 21, 2019).</w:t>
              </w:r>
            </w:hyperlink>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28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60" w:type="dxa"/>
            <w:vAlign w:val="bottom"/>
            <w:gridSpan w:val="3"/>
          </w:tcPr>
          <w:p>
            <w:pPr>
              <w:spacing w:after="0"/>
              <w:rPr>
                <w:rFonts w:ascii="Arial" w:cs="Arial" w:eastAsia="Arial" w:hAnsi="Arial"/>
                <w:sz w:val="18"/>
                <w:szCs w:val="18"/>
                <w:color w:val="0000EE"/>
                <w:w w:val="87"/>
              </w:rPr>
            </w:pPr>
            <w:hyperlink r:id="rId185">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13∞</w:t>
              </w:r>
            </w:hyperlink>
          </w:p>
        </w:tc>
        <w:tc>
          <w:tcPr>
            <w:tcW w:w="720" w:type="dxa"/>
            <w:vAlign w:val="bottom"/>
          </w:tcPr>
          <w:p>
            <w:pPr>
              <w:spacing w:after="0"/>
              <w:rPr>
                <w:sz w:val="24"/>
                <w:szCs w:val="24"/>
                <w:color w:val="auto"/>
              </w:rPr>
            </w:pPr>
          </w:p>
        </w:tc>
        <w:tc>
          <w:tcPr>
            <w:tcW w:w="10060" w:type="dxa"/>
            <w:vAlign w:val="bottom"/>
            <w:gridSpan w:val="22"/>
          </w:tcPr>
          <w:p>
            <w:pPr>
              <w:spacing w:after="0"/>
              <w:rPr>
                <w:rFonts w:ascii="Arial" w:cs="Arial" w:eastAsia="Arial" w:hAnsi="Arial"/>
                <w:sz w:val="18"/>
                <w:szCs w:val="18"/>
                <w:color w:val="0000EE"/>
                <w:w w:val="91"/>
              </w:rPr>
            </w:pPr>
            <w:hyperlink r:id="rId185">
              <w:r>
                <w:rPr>
                  <w:rFonts w:ascii="Arial" w:cs="Arial" w:eastAsia="Arial" w:hAnsi="Arial"/>
                  <w:sz w:val="18"/>
                  <w:szCs w:val="18"/>
                  <w:color w:val="0000EE"/>
                  <w:w w:val="91"/>
                </w:rPr>
                <w:t>Lease Agreement by and between the Registrant and Rachel Zacks, dated as of July 3, 2018 (incorporated by reference to Exhibit 4.13 of</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720" w:type="dxa"/>
            <w:vAlign w:val="bottom"/>
          </w:tcPr>
          <w:p>
            <w:pPr>
              <w:spacing w:after="0"/>
              <w:rPr>
                <w:sz w:val="17"/>
                <w:szCs w:val="17"/>
                <w:color w:val="auto"/>
              </w:rPr>
            </w:pPr>
          </w:p>
        </w:tc>
        <w:tc>
          <w:tcPr>
            <w:tcW w:w="714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1"/>
              </w:rPr>
            </w:pPr>
            <w:hyperlink r:id="rId185">
              <w:r>
                <w:rPr>
                  <w:rFonts w:ascii="Arial" w:cs="Arial" w:eastAsia="Arial" w:hAnsi="Arial"/>
                  <w:sz w:val="18"/>
                  <w:szCs w:val="18"/>
                  <w:color w:val="0000EE"/>
                  <w:w w:val="91"/>
                </w:rPr>
                <w:t>the Annual on Form 20-F filed with the Securities and Exchange Commission on March 21, 2019).</w:t>
              </w:r>
            </w:hyperlink>
          </w:p>
        </w:tc>
        <w:tc>
          <w:tcPr>
            <w:tcW w:w="2740" w:type="dxa"/>
            <w:vAlign w:val="bottom"/>
            <w:tcBorders>
              <w:top w:val="single" w:sz="8" w:color="0000EE"/>
            </w:tcBorders>
            <w:gridSpan w:val="12"/>
          </w:tcPr>
          <w:p>
            <w:pPr>
              <w:spacing w:after="0"/>
              <w:rPr>
                <w:sz w:val="17"/>
                <w:szCs w:val="17"/>
                <w:color w:val="auto"/>
              </w:rPr>
            </w:pPr>
          </w:p>
        </w:tc>
        <w:tc>
          <w:tcPr>
            <w:tcW w:w="180" w:type="dxa"/>
            <w:vAlign w:val="bottom"/>
            <w:gridSpan w:val="5"/>
          </w:tcPr>
          <w:p>
            <w:pPr>
              <w:spacing w:after="0"/>
              <w:rPr>
                <w:sz w:val="17"/>
                <w:szCs w:val="17"/>
                <w:color w:val="auto"/>
              </w:rPr>
            </w:pPr>
          </w:p>
        </w:tc>
      </w:tr>
      <w:tr>
        <w:trPr>
          <w:trHeight w:val="412"/>
        </w:trPr>
        <w:tc>
          <w:tcPr>
            <w:tcW w:w="460" w:type="dxa"/>
            <w:vAlign w:val="bottom"/>
            <w:tcBorders>
              <w:bottom w:val="single" w:sz="8" w:color="0000EE"/>
            </w:tcBorders>
            <w:gridSpan w:val="3"/>
          </w:tcPr>
          <w:p>
            <w:pPr>
              <w:spacing w:after="0"/>
              <w:rPr>
                <w:rFonts w:ascii="Arial" w:cs="Arial" w:eastAsia="Arial" w:hAnsi="Arial"/>
                <w:sz w:val="18"/>
                <w:szCs w:val="18"/>
                <w:color w:val="0000EE"/>
                <w:w w:val="87"/>
              </w:rPr>
            </w:pPr>
            <w:hyperlink r:id="rId186">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14∞</w:t>
              </w:r>
            </w:hyperlink>
          </w:p>
        </w:tc>
        <w:tc>
          <w:tcPr>
            <w:tcW w:w="720" w:type="dxa"/>
            <w:vAlign w:val="bottom"/>
          </w:tcPr>
          <w:p>
            <w:pPr>
              <w:spacing w:after="0"/>
              <w:rPr>
                <w:sz w:val="24"/>
                <w:szCs w:val="24"/>
                <w:color w:val="auto"/>
              </w:rPr>
            </w:pPr>
          </w:p>
        </w:tc>
        <w:tc>
          <w:tcPr>
            <w:tcW w:w="10000" w:type="dxa"/>
            <w:vAlign w:val="bottom"/>
            <w:tcBorders>
              <w:bottom w:val="single" w:sz="8" w:color="0000EE"/>
            </w:tcBorders>
            <w:gridSpan w:val="21"/>
          </w:tcPr>
          <w:p>
            <w:pPr>
              <w:spacing w:after="0"/>
              <w:rPr>
                <w:rFonts w:ascii="Arial" w:cs="Arial" w:eastAsia="Arial" w:hAnsi="Arial"/>
                <w:sz w:val="18"/>
                <w:szCs w:val="18"/>
                <w:color w:val="0000EE"/>
                <w:w w:val="89"/>
              </w:rPr>
            </w:pPr>
            <w:hyperlink r:id="rId186">
              <w:r>
                <w:rPr>
                  <w:rFonts w:ascii="Arial" w:cs="Arial" w:eastAsia="Arial" w:hAnsi="Arial"/>
                  <w:sz w:val="18"/>
                  <w:szCs w:val="18"/>
                  <w:color w:val="0000EE"/>
                  <w:w w:val="89"/>
                </w:rPr>
                <w:t>Lease Agreement by and between the Registrant and Rachel Zacks, dated as of August 14, 2018 (incorporated by reference to Exhibit 4.14</w:t>
              </w:r>
            </w:hyperlink>
          </w:p>
        </w:tc>
        <w:tc>
          <w:tcPr>
            <w:tcW w:w="60" w:type="dxa"/>
            <w:vAlign w:val="bottom"/>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60" w:type="dxa"/>
            <w:vAlign w:val="bottom"/>
            <w:gridSpan w:val="22"/>
          </w:tcPr>
          <w:p>
            <w:pPr>
              <w:spacing w:after="0" w:line="196" w:lineRule="exact"/>
              <w:rPr>
                <w:rFonts w:ascii="Arial" w:cs="Arial" w:eastAsia="Arial" w:hAnsi="Arial"/>
                <w:sz w:val="18"/>
                <w:szCs w:val="18"/>
                <w:color w:val="0000EE"/>
              </w:rPr>
            </w:pPr>
            <w:hyperlink r:id="rId186">
              <w:r>
                <w:rPr>
                  <w:rFonts w:ascii="Arial" w:cs="Arial" w:eastAsia="Arial" w:hAnsi="Arial"/>
                  <w:sz w:val="18"/>
                  <w:szCs w:val="18"/>
                  <w:color w:val="0000EE"/>
                </w:rPr>
                <w:t>of the Annual on Form 20-F filed with the Securities and Exchange Commission on March 21, 2019).</w:t>
              </w:r>
            </w:hyperlink>
          </w:p>
        </w:tc>
      </w:tr>
      <w:tr>
        <w:trPr>
          <w:trHeight w:val="412"/>
        </w:trPr>
        <w:tc>
          <w:tcPr>
            <w:tcW w:w="460" w:type="dxa"/>
            <w:vAlign w:val="bottom"/>
            <w:gridSpan w:val="3"/>
          </w:tcPr>
          <w:p>
            <w:pPr>
              <w:spacing w:after="0"/>
              <w:rPr>
                <w:rFonts w:ascii="Arial" w:cs="Arial" w:eastAsia="Arial" w:hAnsi="Arial"/>
                <w:sz w:val="18"/>
                <w:szCs w:val="18"/>
                <w:color w:val="0000EE"/>
                <w:w w:val="87"/>
              </w:rPr>
            </w:pPr>
            <w:hyperlink w:anchor="page223">
              <w:r>
                <w:rPr>
                  <w:rFonts w:ascii="Arial" w:cs="Arial" w:eastAsia="Arial" w:hAnsi="Arial"/>
                  <w:sz w:val="18"/>
                  <w:szCs w:val="18"/>
                  <w:color w:val="0000EE"/>
                  <w:w w:val="87"/>
                </w:rPr>
                <w:t>4.</w:t>
              </w:r>
              <w:r>
                <w:rPr>
                  <w:rFonts w:ascii="Arial" w:cs="Arial" w:eastAsia="Arial" w:hAnsi="Arial"/>
                  <w:sz w:val="18"/>
                  <w:szCs w:val="18"/>
                  <w:u w:val="single" w:color="auto"/>
                  <w:color w:val="0000EE"/>
                  <w:w w:val="87"/>
                </w:rPr>
                <w:t>15∞</w:t>
              </w:r>
            </w:hyperlink>
          </w:p>
        </w:tc>
        <w:tc>
          <w:tcPr>
            <w:tcW w:w="720" w:type="dxa"/>
            <w:vAlign w:val="bottom"/>
          </w:tcPr>
          <w:p>
            <w:pPr>
              <w:spacing w:after="0"/>
              <w:rPr>
                <w:sz w:val="24"/>
                <w:szCs w:val="24"/>
                <w:color w:val="auto"/>
              </w:rPr>
            </w:pPr>
          </w:p>
        </w:tc>
        <w:tc>
          <w:tcPr>
            <w:tcW w:w="7320" w:type="dxa"/>
            <w:vAlign w:val="bottom"/>
            <w:tcBorders>
              <w:top w:val="single" w:sz="8" w:color="0000EE"/>
            </w:tcBorders>
            <w:gridSpan w:val="8"/>
          </w:tcPr>
          <w:p>
            <w:pPr>
              <w:spacing w:after="0"/>
              <w:rPr>
                <w:rFonts w:ascii="Arial" w:cs="Arial" w:eastAsia="Arial" w:hAnsi="Arial"/>
                <w:sz w:val="18"/>
                <w:szCs w:val="18"/>
                <w:color w:val="0000EE"/>
                <w:w w:val="90"/>
              </w:rPr>
            </w:pPr>
            <w:hyperlink w:anchor="page223">
              <w:r>
                <w:rPr>
                  <w:rFonts w:ascii="Arial" w:cs="Arial" w:eastAsia="Arial" w:hAnsi="Arial"/>
                  <w:sz w:val="18"/>
                  <w:szCs w:val="18"/>
                  <w:color w:val="0000EE"/>
                  <w:w w:val="90"/>
                </w:rPr>
                <w:t>Lease Agreement by and between the Registrant and Rachel Zacks, dated as of November 12, 2019.</w:t>
              </w:r>
            </w:hyperlink>
          </w:p>
        </w:tc>
        <w:tc>
          <w:tcPr>
            <w:tcW w:w="2740" w:type="dxa"/>
            <w:vAlign w:val="bottom"/>
            <w:gridSpan w:val="14"/>
          </w:tcPr>
          <w:p>
            <w:pPr>
              <w:spacing w:after="0"/>
              <w:rPr>
                <w:sz w:val="24"/>
                <w:szCs w:val="24"/>
                <w:color w:val="auto"/>
              </w:rPr>
            </w:pPr>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288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320" w:type="dxa"/>
            <w:vAlign w:val="bottom"/>
            <w:gridSpan w:val="3"/>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320" w:type="dxa"/>
            <w:vAlign w:val="bottom"/>
            <w:gridSpan w:val="2"/>
          </w:tcPr>
          <w:p>
            <w:pPr>
              <w:spacing w:after="0"/>
              <w:rPr>
                <w:rFonts w:ascii="Arial" w:cs="Arial" w:eastAsia="Arial" w:hAnsi="Arial"/>
                <w:sz w:val="18"/>
                <w:szCs w:val="18"/>
                <w:color w:val="0000EE"/>
                <w:w w:val="85"/>
              </w:rPr>
            </w:pPr>
            <w:hyperlink r:id="rId187">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16</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60" w:type="dxa"/>
            <w:vAlign w:val="bottom"/>
            <w:gridSpan w:val="22"/>
          </w:tcPr>
          <w:p>
            <w:pPr>
              <w:spacing w:after="0"/>
              <w:rPr>
                <w:rFonts w:ascii="Arial" w:cs="Arial" w:eastAsia="Arial" w:hAnsi="Arial"/>
                <w:sz w:val="18"/>
                <w:szCs w:val="18"/>
                <w:color w:val="0000EE"/>
                <w:w w:val="91"/>
              </w:rPr>
            </w:pPr>
            <w:hyperlink r:id="rId187">
              <w:r>
                <w:rPr>
                  <w:rFonts w:ascii="Arial" w:cs="Arial" w:eastAsia="Arial" w:hAnsi="Arial"/>
                  <w:sz w:val="18"/>
                  <w:szCs w:val="18"/>
                  <w:color w:val="0000EE"/>
                  <w:w w:val="91"/>
                </w:rPr>
                <w:t>Promissory Note by and between the Registrant and Moshe Arkin, dated as of August 2, 2016 (incorporated by reference to Exhibit 10.12</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920" w:type="dxa"/>
            <w:vAlign w:val="bottom"/>
            <w:tcBorders>
              <w:top w:val="single" w:sz="8" w:color="0000EE"/>
            </w:tcBorders>
            <w:gridSpan w:val="19"/>
          </w:tcPr>
          <w:p>
            <w:pPr>
              <w:spacing w:after="0" w:line="196" w:lineRule="exact"/>
              <w:rPr>
                <w:rFonts w:ascii="Arial" w:cs="Arial" w:eastAsia="Arial" w:hAnsi="Arial"/>
                <w:sz w:val="18"/>
                <w:szCs w:val="18"/>
                <w:color w:val="0000EE"/>
              </w:rPr>
            </w:pPr>
            <w:hyperlink r:id="rId187">
              <w:r>
                <w:rPr>
                  <w:rFonts w:ascii="Arial" w:cs="Arial" w:eastAsia="Arial" w:hAnsi="Arial"/>
                  <w:sz w:val="18"/>
                  <w:szCs w:val="18"/>
                  <w:color w:val="0000EE"/>
                </w:rPr>
                <w:t>of the Registration Statement on Form F-1/A filed with the Securities and Exchange Commission on August 29, 2017).</w:t>
              </w:r>
            </w:hyperlink>
          </w:p>
        </w:tc>
        <w:tc>
          <w:tcPr>
            <w:tcW w:w="140" w:type="dxa"/>
            <w:vAlign w:val="bottom"/>
            <w:gridSpan w:val="3"/>
          </w:tcPr>
          <w:p>
            <w:pPr>
              <w:spacing w:after="0"/>
              <w:rPr>
                <w:sz w:val="17"/>
                <w:szCs w:val="17"/>
                <w:color w:val="auto"/>
              </w:rPr>
            </w:pPr>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800" w:type="dxa"/>
            <w:vAlign w:val="bottom"/>
            <w:shd w:val="clear" w:color="auto" w:fill="0000EE"/>
          </w:tcPr>
          <w:p>
            <w:pPr>
              <w:spacing w:after="0" w:line="20" w:lineRule="exact"/>
              <w:rPr>
                <w:sz w:val="1"/>
                <w:szCs w:val="1"/>
                <w:color w:val="auto"/>
              </w:rPr>
            </w:pPr>
          </w:p>
        </w:tc>
        <w:tc>
          <w:tcPr>
            <w:tcW w:w="288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320" w:type="dxa"/>
            <w:vAlign w:val="bottom"/>
            <w:gridSpan w:val="3"/>
            <w:shd w:val="clear" w:color="auto" w:fill="0000EE"/>
          </w:tcPr>
          <w:p>
            <w:pPr>
              <w:spacing w:after="0" w:line="20" w:lineRule="exact"/>
              <w:rPr>
                <w:sz w:val="1"/>
                <w:szCs w:val="1"/>
                <w:color w:val="auto"/>
              </w:rPr>
            </w:pPr>
          </w:p>
        </w:tc>
        <w:tc>
          <w:tcPr>
            <w:tcW w:w="7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188">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17</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960" w:type="dxa"/>
            <w:vAlign w:val="bottom"/>
            <w:tcBorders>
              <w:bottom w:val="single" w:sz="8" w:color="0000EE"/>
            </w:tcBorders>
            <w:gridSpan w:val="20"/>
          </w:tcPr>
          <w:p>
            <w:pPr>
              <w:spacing w:after="0"/>
              <w:rPr>
                <w:rFonts w:ascii="Arial" w:cs="Arial" w:eastAsia="Arial" w:hAnsi="Arial"/>
                <w:sz w:val="18"/>
                <w:szCs w:val="18"/>
                <w:color w:val="0000EE"/>
                <w:w w:val="89"/>
              </w:rPr>
            </w:pPr>
            <w:hyperlink r:id="rId188">
              <w:r>
                <w:rPr>
                  <w:rFonts w:ascii="Arial" w:cs="Arial" w:eastAsia="Arial" w:hAnsi="Arial"/>
                  <w:sz w:val="18"/>
                  <w:szCs w:val="18"/>
                  <w:color w:val="0000EE"/>
                  <w:w w:val="89"/>
                </w:rPr>
                <w:t>Schedule A, as amended, of Promissory Note by and between the Registrant and Moshe Arkin, dated as of June 28, 2017 (incorporated by</w:t>
              </w:r>
            </w:hyperlink>
          </w:p>
        </w:tc>
        <w:tc>
          <w:tcPr>
            <w:tcW w:w="100" w:type="dxa"/>
            <w:vAlign w:val="bottom"/>
            <w:gridSpan w:val="2"/>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60" w:type="dxa"/>
            <w:vAlign w:val="bottom"/>
            <w:gridSpan w:val="22"/>
          </w:tcPr>
          <w:p>
            <w:pPr>
              <w:spacing w:after="0" w:line="196" w:lineRule="exact"/>
              <w:rPr>
                <w:rFonts w:ascii="Arial" w:cs="Arial" w:eastAsia="Arial" w:hAnsi="Arial"/>
                <w:sz w:val="18"/>
                <w:szCs w:val="18"/>
                <w:color w:val="0000EE"/>
                <w:w w:val="91"/>
              </w:rPr>
            </w:pPr>
            <w:hyperlink r:id="rId188">
              <w:r>
                <w:rPr>
                  <w:rFonts w:ascii="Arial" w:cs="Arial" w:eastAsia="Arial" w:hAnsi="Arial"/>
                  <w:sz w:val="18"/>
                  <w:szCs w:val="18"/>
                  <w:color w:val="0000EE"/>
                  <w:w w:val="91"/>
                </w:rPr>
                <w:t>reference to Exhibit 10.13 of the Registration Statement on Form F-1/A filed with the Securities and Exchange Commission on August 29,</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188">
              <w:r>
                <w:rPr>
                  <w:rFonts w:ascii="Arial" w:cs="Arial" w:eastAsia="Arial" w:hAnsi="Arial"/>
                  <w:sz w:val="18"/>
                  <w:szCs w:val="18"/>
                  <w:color w:val="0000EE"/>
                  <w:w w:val="86"/>
                </w:rPr>
                <w:t>2017).</w:t>
              </w:r>
            </w:hyperlink>
          </w:p>
        </w:tc>
        <w:tc>
          <w:tcPr>
            <w:tcW w:w="28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1800" w:type="dxa"/>
            <w:vAlign w:val="bottom"/>
            <w:tcBorders>
              <w:top w:val="single" w:sz="8" w:color="0000EE"/>
            </w:tcBorders>
          </w:tcPr>
          <w:p>
            <w:pPr>
              <w:spacing w:after="0"/>
              <w:rPr>
                <w:sz w:val="17"/>
                <w:szCs w:val="17"/>
                <w:color w:val="auto"/>
              </w:rPr>
            </w:pPr>
          </w:p>
        </w:tc>
        <w:tc>
          <w:tcPr>
            <w:tcW w:w="28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900" w:type="dxa"/>
            <w:vAlign w:val="bottom"/>
            <w:tcBorders>
              <w:top w:val="single" w:sz="8" w:color="0000EE"/>
            </w:tcBorders>
          </w:tcPr>
          <w:p>
            <w:pPr>
              <w:spacing w:after="0"/>
              <w:rPr>
                <w:sz w:val="17"/>
                <w:szCs w:val="17"/>
                <w:color w:val="auto"/>
              </w:rPr>
            </w:pPr>
          </w:p>
        </w:tc>
        <w:tc>
          <w:tcPr>
            <w:tcW w:w="4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6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189">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18</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60" w:type="dxa"/>
            <w:vAlign w:val="bottom"/>
            <w:tcBorders>
              <w:bottom w:val="single" w:sz="8" w:color="0000EE"/>
            </w:tcBorders>
            <w:gridSpan w:val="22"/>
          </w:tcPr>
          <w:p>
            <w:pPr>
              <w:spacing w:after="0"/>
              <w:rPr>
                <w:rFonts w:ascii="Arial" w:cs="Arial" w:eastAsia="Arial" w:hAnsi="Arial"/>
                <w:sz w:val="18"/>
                <w:szCs w:val="18"/>
                <w:color w:val="0000EE"/>
                <w:w w:val="91"/>
              </w:rPr>
            </w:pPr>
            <w:hyperlink r:id="rId189">
              <w:r>
                <w:rPr>
                  <w:rFonts w:ascii="Arial" w:cs="Arial" w:eastAsia="Arial" w:hAnsi="Arial"/>
                  <w:sz w:val="18"/>
                  <w:szCs w:val="18"/>
                  <w:color w:val="0000EE"/>
                  <w:w w:val="91"/>
                </w:rPr>
                <w:t>Instrument of Conversion of Promissory Note by and between the Registrant and Moshe Arkin, dated as of August 22, 2017 (incorporated</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60" w:type="dxa"/>
            <w:vAlign w:val="bottom"/>
            <w:tcBorders>
              <w:bottom w:val="single" w:sz="8" w:color="0000EE"/>
            </w:tcBorders>
            <w:gridSpan w:val="22"/>
          </w:tcPr>
          <w:p>
            <w:pPr>
              <w:spacing w:after="0" w:line="196" w:lineRule="exact"/>
              <w:rPr>
                <w:rFonts w:ascii="Arial" w:cs="Arial" w:eastAsia="Arial" w:hAnsi="Arial"/>
                <w:sz w:val="18"/>
                <w:szCs w:val="18"/>
                <w:color w:val="0000EE"/>
                <w:w w:val="92"/>
              </w:rPr>
            </w:pPr>
            <w:hyperlink r:id="rId189">
              <w:r>
                <w:rPr>
                  <w:rFonts w:ascii="Arial" w:cs="Arial" w:eastAsia="Arial" w:hAnsi="Arial"/>
                  <w:sz w:val="18"/>
                  <w:szCs w:val="18"/>
                  <w:color w:val="0000EE"/>
                  <w:w w:val="92"/>
                </w:rPr>
                <w:t>by reference to Exhibit 10.14 of the Registration Statement on Form F-1/A filed with the Securities and Exchange Commission on August</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40" w:type="dxa"/>
            <w:vAlign w:val="bottom"/>
            <w:tcBorders>
              <w:bottom w:val="single" w:sz="8" w:color="0000EE"/>
            </w:tcBorders>
            <w:gridSpan w:val="2"/>
          </w:tcPr>
          <w:p>
            <w:pPr>
              <w:spacing w:after="0" w:line="196" w:lineRule="exact"/>
              <w:rPr>
                <w:rFonts w:ascii="Arial" w:cs="Arial" w:eastAsia="Arial" w:hAnsi="Arial"/>
                <w:sz w:val="18"/>
                <w:szCs w:val="18"/>
                <w:color w:val="0000EE"/>
                <w:w w:val="88"/>
              </w:rPr>
            </w:pPr>
            <w:hyperlink r:id="rId189">
              <w:r>
                <w:rPr>
                  <w:rFonts w:ascii="Arial" w:cs="Arial" w:eastAsia="Arial" w:hAnsi="Arial"/>
                  <w:sz w:val="18"/>
                  <w:szCs w:val="18"/>
                  <w:color w:val="0000EE"/>
                  <w:w w:val="88"/>
                </w:rPr>
                <w:t>29, 2017).</w:t>
              </w:r>
            </w:hyperlink>
          </w:p>
        </w:tc>
        <w:tc>
          <w:tcPr>
            <w:tcW w:w="178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28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r:id="rId190">
              <w:r>
                <w:rPr>
                  <w:rFonts w:ascii="Arial" w:cs="Arial" w:eastAsia="Arial" w:hAnsi="Arial"/>
                  <w:sz w:val="18"/>
                  <w:szCs w:val="18"/>
                  <w:color w:val="0000EE"/>
                  <w:w w:val="85"/>
                </w:rPr>
                <w:t>4.</w:t>
              </w:r>
              <w:r>
                <w:rPr>
                  <w:rFonts w:ascii="Arial" w:cs="Arial" w:eastAsia="Arial" w:hAnsi="Arial"/>
                  <w:sz w:val="18"/>
                  <w:szCs w:val="18"/>
                  <w:u w:val="single" w:color="auto"/>
                  <w:color w:val="0000EE"/>
                  <w:w w:val="85"/>
                </w:rPr>
                <w:t>19</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360" w:type="dxa"/>
            <w:vAlign w:val="bottom"/>
            <w:tcBorders>
              <w:bottom w:val="single" w:sz="8" w:color="0000EE"/>
            </w:tcBorders>
            <w:gridSpan w:val="14"/>
          </w:tcPr>
          <w:p>
            <w:pPr>
              <w:spacing w:after="0"/>
              <w:rPr>
                <w:rFonts w:ascii="Arial" w:cs="Arial" w:eastAsia="Arial" w:hAnsi="Arial"/>
                <w:sz w:val="18"/>
                <w:szCs w:val="18"/>
                <w:color w:val="0000EE"/>
                <w:w w:val="90"/>
              </w:rPr>
            </w:pPr>
            <w:hyperlink r:id="rId190">
              <w:r>
                <w:rPr>
                  <w:rFonts w:ascii="Arial" w:cs="Arial" w:eastAsia="Arial" w:hAnsi="Arial"/>
                  <w:sz w:val="18"/>
                  <w:szCs w:val="18"/>
                  <w:color w:val="0000EE"/>
                  <w:w w:val="90"/>
                </w:rPr>
                <w:t>Assignment Agreement between the Registrant and Medicis Pharmaceutical Corporation, dated August 16, 2013 (incorporated by</w:t>
              </w:r>
            </w:hyperlink>
          </w:p>
        </w:tc>
        <w:tc>
          <w:tcPr>
            <w:tcW w:w="700" w:type="dxa"/>
            <w:vAlign w:val="bottom"/>
            <w:gridSpan w:val="8"/>
          </w:tcPr>
          <w:p>
            <w:pPr>
              <w:spacing w:after="0"/>
              <w:rPr>
                <w:sz w:val="24"/>
                <w:szCs w:val="24"/>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0060" w:type="dxa"/>
            <w:vAlign w:val="bottom"/>
            <w:gridSpan w:val="22"/>
          </w:tcPr>
          <w:p>
            <w:pPr>
              <w:spacing w:after="0" w:line="196" w:lineRule="exact"/>
              <w:rPr>
                <w:rFonts w:ascii="Arial" w:cs="Arial" w:eastAsia="Arial" w:hAnsi="Arial"/>
                <w:sz w:val="18"/>
                <w:szCs w:val="18"/>
                <w:color w:val="0000EE"/>
                <w:w w:val="91"/>
              </w:rPr>
            </w:pPr>
            <w:hyperlink r:id="rId190">
              <w:r>
                <w:rPr>
                  <w:rFonts w:ascii="Arial" w:cs="Arial" w:eastAsia="Arial" w:hAnsi="Arial"/>
                  <w:sz w:val="18"/>
                  <w:szCs w:val="18"/>
                  <w:color w:val="0000EE"/>
                  <w:w w:val="91"/>
                </w:rPr>
                <w:t>reference to Exhibit 10.15 of the Registration Statement on Form F-1/A filed with the Securities and Exchange Commission on August 29,</w:t>
              </w:r>
            </w:hyperlink>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6"/>
              </w:rPr>
            </w:pPr>
            <w:hyperlink r:id="rId190">
              <w:r>
                <w:rPr>
                  <w:rFonts w:ascii="Arial" w:cs="Arial" w:eastAsia="Arial" w:hAnsi="Arial"/>
                  <w:sz w:val="18"/>
                  <w:szCs w:val="18"/>
                  <w:color w:val="0000EE"/>
                  <w:w w:val="86"/>
                </w:rPr>
                <w:t>2017).</w:t>
              </w:r>
            </w:hyperlink>
          </w:p>
        </w:tc>
        <w:tc>
          <w:tcPr>
            <w:tcW w:w="28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1800" w:type="dxa"/>
            <w:vAlign w:val="bottom"/>
            <w:tcBorders>
              <w:top w:val="single" w:sz="8" w:color="0000EE"/>
            </w:tcBorders>
          </w:tcPr>
          <w:p>
            <w:pPr>
              <w:spacing w:after="0"/>
              <w:rPr>
                <w:sz w:val="17"/>
                <w:szCs w:val="17"/>
                <w:color w:val="auto"/>
              </w:rPr>
            </w:pPr>
          </w:p>
        </w:tc>
        <w:tc>
          <w:tcPr>
            <w:tcW w:w="282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900" w:type="dxa"/>
            <w:vAlign w:val="bottom"/>
            <w:tcBorders>
              <w:top w:val="single" w:sz="8" w:color="0000EE"/>
            </w:tcBorders>
          </w:tcPr>
          <w:p>
            <w:pPr>
              <w:spacing w:after="0"/>
              <w:rPr>
                <w:sz w:val="17"/>
                <w:szCs w:val="17"/>
                <w:color w:val="auto"/>
              </w:rPr>
            </w:pPr>
          </w:p>
        </w:tc>
        <w:tc>
          <w:tcPr>
            <w:tcW w:w="4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60" w:type="dxa"/>
            <w:vAlign w:val="bottom"/>
            <w:tcBorders>
              <w:top w:val="single" w:sz="8" w:color="0000EE"/>
            </w:tcBorders>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460" w:type="dxa"/>
            <w:vAlign w:val="bottom"/>
            <w:gridSpan w:val="3"/>
          </w:tcPr>
          <w:p>
            <w:pPr>
              <w:spacing w:after="0"/>
              <w:rPr>
                <w:rFonts w:ascii="Arial" w:cs="Arial" w:eastAsia="Arial" w:hAnsi="Arial"/>
                <w:sz w:val="18"/>
                <w:szCs w:val="18"/>
                <w:color w:val="0000EE"/>
                <w:w w:val="87"/>
              </w:rPr>
            </w:pPr>
            <w:hyperlink r:id="rId191">
              <w:r>
                <w:rPr>
                  <w:rFonts w:ascii="Arial" w:cs="Arial" w:eastAsia="Arial" w:hAnsi="Arial"/>
                  <w:sz w:val="18"/>
                  <w:szCs w:val="18"/>
                  <w:color w:val="0000EE"/>
                  <w:w w:val="87"/>
                </w:rPr>
                <w:t>4.</w:t>
              </w:r>
              <w:r>
                <w:rPr>
                  <w:rFonts w:ascii="Arial" w:cs="Arial" w:eastAsia="Arial" w:hAnsi="Arial"/>
                  <w:sz w:val="18"/>
                  <w:szCs w:val="18"/>
                  <w:u w:val="single" w:color="auto"/>
                  <w:color w:val="0000EE"/>
                  <w:w w:val="87"/>
                </w:rPr>
                <w:t>20∞</w:t>
              </w:r>
            </w:hyperlink>
          </w:p>
        </w:tc>
        <w:tc>
          <w:tcPr>
            <w:tcW w:w="720" w:type="dxa"/>
            <w:vAlign w:val="bottom"/>
          </w:tcPr>
          <w:p>
            <w:pPr>
              <w:spacing w:after="0"/>
              <w:rPr>
                <w:sz w:val="24"/>
                <w:szCs w:val="24"/>
                <w:color w:val="auto"/>
              </w:rPr>
            </w:pPr>
          </w:p>
        </w:tc>
        <w:tc>
          <w:tcPr>
            <w:tcW w:w="10060" w:type="dxa"/>
            <w:vAlign w:val="bottom"/>
            <w:gridSpan w:val="22"/>
          </w:tcPr>
          <w:p>
            <w:pPr>
              <w:spacing w:after="0"/>
              <w:rPr>
                <w:rFonts w:ascii="Arial" w:cs="Arial" w:eastAsia="Arial" w:hAnsi="Arial"/>
                <w:sz w:val="18"/>
                <w:szCs w:val="18"/>
                <w:color w:val="0000EE"/>
                <w:w w:val="93"/>
              </w:rPr>
            </w:pPr>
            <w:hyperlink r:id="rId191">
              <w:r>
                <w:rPr>
                  <w:rFonts w:ascii="Arial" w:cs="Arial" w:eastAsia="Arial" w:hAnsi="Arial"/>
                  <w:sz w:val="18"/>
                  <w:szCs w:val="18"/>
                  <w:color w:val="0000EE"/>
                  <w:w w:val="93"/>
                </w:rPr>
                <w:t>Asset Transfer Agreement and Assignment Deed between Sol-Gel Technologies Ltd. and M. Arkin Dermatology Ltd., dated August 22,</w:t>
              </w:r>
            </w:hyperlink>
          </w:p>
        </w:tc>
      </w:tr>
      <w:tr>
        <w:trPr>
          <w:trHeight w:val="196"/>
        </w:trPr>
        <w:tc>
          <w:tcPr>
            <w:tcW w:w="18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720" w:type="dxa"/>
            <w:vAlign w:val="bottom"/>
          </w:tcPr>
          <w:p>
            <w:pPr>
              <w:spacing w:after="0"/>
              <w:rPr>
                <w:sz w:val="17"/>
                <w:szCs w:val="17"/>
                <w:color w:val="auto"/>
              </w:rPr>
            </w:pPr>
          </w:p>
        </w:tc>
        <w:tc>
          <w:tcPr>
            <w:tcW w:w="9780" w:type="dxa"/>
            <w:vAlign w:val="bottom"/>
            <w:tcBorders>
              <w:top w:val="single" w:sz="8" w:color="0000EE"/>
            </w:tcBorders>
            <w:gridSpan w:val="16"/>
          </w:tcPr>
          <w:p>
            <w:pPr>
              <w:spacing w:after="0" w:line="196" w:lineRule="exact"/>
              <w:rPr>
                <w:rFonts w:ascii="Arial" w:cs="Arial" w:eastAsia="Arial" w:hAnsi="Arial"/>
                <w:sz w:val="18"/>
                <w:szCs w:val="18"/>
                <w:color w:val="0000EE"/>
                <w:w w:val="92"/>
              </w:rPr>
            </w:pPr>
            <w:hyperlink r:id="rId191">
              <w:r>
                <w:rPr>
                  <w:rFonts w:ascii="Arial" w:cs="Arial" w:eastAsia="Arial" w:hAnsi="Arial"/>
                  <w:sz w:val="18"/>
                  <w:szCs w:val="18"/>
                  <w:color w:val="0000EE"/>
                  <w:w w:val="92"/>
                </w:rPr>
                <w:t>2017 (incorporated by reference to Exhibit 10.16 of the Registration Statement on Form F-1/A filed with the Securities and Exchange</w:t>
              </w:r>
            </w:hyperlink>
          </w:p>
        </w:tc>
        <w:tc>
          <w:tcPr>
            <w:tcW w:w="280" w:type="dxa"/>
            <w:vAlign w:val="bottom"/>
            <w:gridSpan w:val="6"/>
          </w:tcPr>
          <w:p>
            <w:pPr>
              <w:spacing w:after="0"/>
              <w:rPr>
                <w:sz w:val="17"/>
                <w:szCs w:val="17"/>
                <w:color w:val="auto"/>
              </w:rPr>
            </w:pPr>
          </w:p>
        </w:tc>
      </w:tr>
      <w:tr>
        <w:trPr>
          <w:trHeight w:val="196"/>
        </w:trPr>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962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r:id="rId191">
              <w:r>
                <w:rPr>
                  <w:rFonts w:ascii="Arial" w:cs="Arial" w:eastAsia="Arial" w:hAnsi="Arial"/>
                  <w:sz w:val="18"/>
                  <w:szCs w:val="18"/>
                  <w:color w:val="0000EE"/>
                </w:rPr>
                <w:t>Commission on January 30, 2017).</w:t>
              </w:r>
            </w:hyperlink>
          </w:p>
        </w:tc>
        <w:tc>
          <w:tcPr>
            <w:tcW w:w="440" w:type="dxa"/>
            <w:vAlign w:val="bottom"/>
            <w:gridSpan w:val="7"/>
          </w:tcPr>
          <w:p>
            <w:pPr>
              <w:spacing w:after="0"/>
              <w:rPr>
                <w:sz w:val="17"/>
                <w:szCs w:val="17"/>
                <w:color w:val="auto"/>
              </w:rPr>
            </w:pPr>
          </w:p>
        </w:tc>
      </w:tr>
      <w:tr>
        <w:trPr>
          <w:trHeight w:val="20"/>
        </w:trPr>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520" w:type="dxa"/>
            <w:vAlign w:val="bottom"/>
            <w:gridSpan w:val="3"/>
            <w:shd w:val="clear" w:color="auto" w:fill="0000EE"/>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20" w:type="dxa"/>
            <w:vAlign w:val="bottom"/>
            <w:gridSpan w:val="6"/>
          </w:tcPr>
          <w:p>
            <w:pPr>
              <w:spacing w:after="0" w:line="20" w:lineRule="exact"/>
              <w:rPr>
                <w:sz w:val="1"/>
                <w:szCs w:val="1"/>
                <w:color w:val="auto"/>
              </w:rPr>
            </w:pPr>
          </w:p>
        </w:tc>
        <w:tc>
          <w:tcPr>
            <w:tcW w:w="780" w:type="dxa"/>
            <w:vAlign w:val="bottom"/>
            <w:gridSpan w:val="9"/>
          </w:tcPr>
          <w:p>
            <w:pPr>
              <w:spacing w:after="0" w:line="20" w:lineRule="exact"/>
              <w:rPr>
                <w:sz w:val="1"/>
                <w:szCs w:val="1"/>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w:anchor="page224">
              <w:r>
                <w:rPr>
                  <w:rFonts w:ascii="Arial" w:cs="Arial" w:eastAsia="Arial" w:hAnsi="Arial"/>
                  <w:sz w:val="18"/>
                  <w:szCs w:val="18"/>
                  <w:color w:val="0000EE"/>
                  <w:w w:val="85"/>
                </w:rPr>
                <w:t>12.</w:t>
              </w:r>
              <w:r>
                <w:rPr>
                  <w:rFonts w:ascii="Arial" w:cs="Arial" w:eastAsia="Arial" w:hAnsi="Arial"/>
                  <w:sz w:val="18"/>
                  <w:szCs w:val="18"/>
                  <w:u w:val="single" w:color="auto"/>
                  <w:color w:val="0000EE"/>
                  <w:w w:val="85"/>
                </w:rPr>
                <w:t>1</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26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224">
              <w:r>
                <w:rPr>
                  <w:rFonts w:ascii="Arial" w:cs="Arial" w:eastAsia="Arial" w:hAnsi="Arial"/>
                  <w:sz w:val="18"/>
                  <w:szCs w:val="18"/>
                  <w:color w:val="0000EE"/>
                  <w:w w:val="91"/>
                </w:rPr>
                <w:t>Certification by Chief Executive Officer pursuant to Section 302 of the Sarbanes-Oxley Act of 2002.</w:t>
              </w:r>
            </w:hyperlink>
          </w:p>
        </w:tc>
        <w:tc>
          <w:tcPr>
            <w:tcW w:w="2800" w:type="dxa"/>
            <w:vAlign w:val="bottom"/>
            <w:gridSpan w:val="15"/>
          </w:tcPr>
          <w:p>
            <w:pPr>
              <w:spacing w:after="0"/>
              <w:rPr>
                <w:sz w:val="24"/>
                <w:szCs w:val="24"/>
                <w:color w:val="auto"/>
              </w:rPr>
            </w:pPr>
          </w:p>
        </w:tc>
      </w:tr>
      <w:tr>
        <w:trPr>
          <w:trHeight w:val="412"/>
        </w:trPr>
        <w:tc>
          <w:tcPr>
            <w:tcW w:w="320" w:type="dxa"/>
            <w:vAlign w:val="bottom"/>
            <w:gridSpan w:val="2"/>
          </w:tcPr>
          <w:p>
            <w:pPr>
              <w:spacing w:after="0"/>
              <w:rPr>
                <w:rFonts w:ascii="Arial" w:cs="Arial" w:eastAsia="Arial" w:hAnsi="Arial"/>
                <w:sz w:val="18"/>
                <w:szCs w:val="18"/>
                <w:color w:val="0000EE"/>
                <w:w w:val="85"/>
              </w:rPr>
            </w:pPr>
            <w:hyperlink w:anchor="page225">
              <w:r>
                <w:rPr>
                  <w:rFonts w:ascii="Arial" w:cs="Arial" w:eastAsia="Arial" w:hAnsi="Arial"/>
                  <w:sz w:val="18"/>
                  <w:szCs w:val="18"/>
                  <w:color w:val="0000EE"/>
                  <w:w w:val="85"/>
                </w:rPr>
                <w:t>12.</w:t>
              </w:r>
              <w:r>
                <w:rPr>
                  <w:rFonts w:ascii="Arial" w:cs="Arial" w:eastAsia="Arial" w:hAnsi="Arial"/>
                  <w:sz w:val="18"/>
                  <w:szCs w:val="18"/>
                  <w:u w:val="single" w:color="auto"/>
                  <w:color w:val="0000EE"/>
                  <w:w w:val="85"/>
                </w:rPr>
                <w:t>2</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60" w:type="dxa"/>
            <w:vAlign w:val="bottom"/>
            <w:gridSpan w:val="22"/>
          </w:tcPr>
          <w:p>
            <w:pPr>
              <w:spacing w:after="0"/>
              <w:rPr>
                <w:rFonts w:ascii="Arial" w:cs="Arial" w:eastAsia="Arial" w:hAnsi="Arial"/>
                <w:sz w:val="18"/>
                <w:szCs w:val="18"/>
                <w:color w:val="0000EE"/>
              </w:rPr>
            </w:pPr>
            <w:hyperlink w:anchor="page225">
              <w:r>
                <w:rPr>
                  <w:rFonts w:ascii="Arial" w:cs="Arial" w:eastAsia="Arial" w:hAnsi="Arial"/>
                  <w:sz w:val="18"/>
                  <w:szCs w:val="18"/>
                  <w:color w:val="0000EE"/>
                </w:rPr>
                <w:t>Certification by Chief Financial Officer pursuant to Section 302 of the Sarbanes-Oxley Act of 2002.</w:t>
              </w:r>
            </w:hyperlink>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320" w:type="dxa"/>
            <w:vAlign w:val="bottom"/>
            <w:gridSpan w:val="4"/>
            <w:shd w:val="clear" w:color="auto" w:fill="0000EE"/>
          </w:tcPr>
          <w:p>
            <w:pPr>
              <w:spacing w:after="0" w:line="20" w:lineRule="exact"/>
              <w:rPr>
                <w:sz w:val="1"/>
                <w:szCs w:val="1"/>
                <w:color w:val="auto"/>
              </w:rPr>
            </w:pPr>
          </w:p>
        </w:tc>
        <w:tc>
          <w:tcPr>
            <w:tcW w:w="2880" w:type="dxa"/>
            <w:vAlign w:val="bottom"/>
            <w:gridSpan w:val="2"/>
            <w:shd w:val="clear" w:color="auto" w:fill="0000EE"/>
          </w:tcPr>
          <w:p>
            <w:pPr>
              <w:spacing w:after="0" w:line="20" w:lineRule="exact"/>
              <w:rPr>
                <w:sz w:val="1"/>
                <w:szCs w:val="1"/>
                <w:color w:val="auto"/>
              </w:rPr>
            </w:pPr>
          </w:p>
        </w:tc>
        <w:tc>
          <w:tcPr>
            <w:tcW w:w="2080" w:type="dxa"/>
            <w:vAlign w:val="bottom"/>
            <w:gridSpan w:val="7"/>
          </w:tcPr>
          <w:p>
            <w:pPr>
              <w:spacing w:after="0" w:line="20" w:lineRule="exact"/>
              <w:rPr>
                <w:sz w:val="1"/>
                <w:szCs w:val="1"/>
                <w:color w:val="auto"/>
              </w:rPr>
            </w:pPr>
          </w:p>
        </w:tc>
        <w:tc>
          <w:tcPr>
            <w:tcW w:w="780" w:type="dxa"/>
            <w:vAlign w:val="bottom"/>
            <w:gridSpan w:val="9"/>
          </w:tcPr>
          <w:p>
            <w:pPr>
              <w:spacing w:after="0" w:line="20" w:lineRule="exact"/>
              <w:rPr>
                <w:sz w:val="1"/>
                <w:szCs w:val="1"/>
                <w:color w:val="auto"/>
              </w:rPr>
            </w:pPr>
          </w:p>
        </w:tc>
      </w:tr>
      <w:tr>
        <w:trPr>
          <w:trHeight w:val="412"/>
        </w:trPr>
        <w:tc>
          <w:tcPr>
            <w:tcW w:w="180" w:type="dxa"/>
            <w:vAlign w:val="bottom"/>
          </w:tcPr>
          <w:p>
            <w:pPr>
              <w:spacing w:after="0"/>
              <w:rPr>
                <w:rFonts w:ascii="Arial" w:cs="Arial" w:eastAsia="Arial" w:hAnsi="Arial"/>
                <w:sz w:val="18"/>
                <w:szCs w:val="18"/>
                <w:color w:val="0000EE"/>
                <w:w w:val="79"/>
              </w:rPr>
            </w:pPr>
            <w:hyperlink w:anchor="page226">
              <w:r>
                <w:rPr>
                  <w:rFonts w:ascii="Arial" w:cs="Arial" w:eastAsia="Arial" w:hAnsi="Arial"/>
                  <w:sz w:val="18"/>
                  <w:szCs w:val="18"/>
                  <w:color w:val="0000EE"/>
                  <w:w w:val="79"/>
                </w:rPr>
                <w:t>13</w:t>
              </w:r>
            </w:hyperlink>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60" w:type="dxa"/>
            <w:vAlign w:val="bottom"/>
            <w:gridSpan w:val="22"/>
          </w:tcPr>
          <w:p>
            <w:pPr>
              <w:spacing w:after="0"/>
              <w:rPr>
                <w:rFonts w:ascii="Arial" w:cs="Arial" w:eastAsia="Arial" w:hAnsi="Arial"/>
                <w:sz w:val="18"/>
                <w:szCs w:val="18"/>
                <w:color w:val="0000EE"/>
                <w:w w:val="99"/>
              </w:rPr>
            </w:pPr>
            <w:hyperlink w:anchor="page226">
              <w:r>
                <w:rPr>
                  <w:rFonts w:ascii="Arial" w:cs="Arial" w:eastAsia="Arial" w:hAnsi="Arial"/>
                  <w:sz w:val="18"/>
                  <w:szCs w:val="18"/>
                  <w:color w:val="0000EE"/>
                  <w:w w:val="99"/>
                </w:rPr>
                <w:t>Certification by Chief Executive Officer and Chief Financial Officer pursuant to Section 906 of the Sarbanes-Oxley Act of 2002.</w:t>
              </w:r>
            </w:hyperlink>
          </w:p>
        </w:tc>
      </w:tr>
      <w:tr>
        <w:trPr>
          <w:trHeight w:val="20"/>
        </w:trPr>
        <w:tc>
          <w:tcPr>
            <w:tcW w:w="1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320" w:type="dxa"/>
            <w:vAlign w:val="bottom"/>
            <w:gridSpan w:val="4"/>
            <w:shd w:val="clear" w:color="auto" w:fill="0000EE"/>
          </w:tcPr>
          <w:p>
            <w:pPr>
              <w:spacing w:after="0" w:line="20" w:lineRule="exact"/>
              <w:rPr>
                <w:sz w:val="1"/>
                <w:szCs w:val="1"/>
                <w:color w:val="auto"/>
              </w:rPr>
            </w:pPr>
          </w:p>
        </w:tc>
        <w:tc>
          <w:tcPr>
            <w:tcW w:w="4960" w:type="dxa"/>
            <w:vAlign w:val="bottom"/>
            <w:gridSpan w:val="9"/>
            <w:shd w:val="clear" w:color="auto" w:fill="0000EE"/>
          </w:tcPr>
          <w:p>
            <w:pPr>
              <w:spacing w:after="0" w:line="20" w:lineRule="exact"/>
              <w:rPr>
                <w:sz w:val="1"/>
                <w:szCs w:val="1"/>
                <w:color w:val="auto"/>
              </w:rPr>
            </w:pPr>
          </w:p>
        </w:tc>
        <w:tc>
          <w:tcPr>
            <w:tcW w:w="780" w:type="dxa"/>
            <w:vAlign w:val="bottom"/>
            <w:gridSpan w:val="9"/>
          </w:tcPr>
          <w:p>
            <w:pPr>
              <w:spacing w:after="0" w:line="20" w:lineRule="exact"/>
              <w:rPr>
                <w:sz w:val="1"/>
                <w:szCs w:val="1"/>
                <w:color w:val="auto"/>
              </w:rPr>
            </w:pPr>
          </w:p>
        </w:tc>
      </w:tr>
      <w:tr>
        <w:trPr>
          <w:trHeight w:val="412"/>
        </w:trPr>
        <w:tc>
          <w:tcPr>
            <w:tcW w:w="320" w:type="dxa"/>
            <w:vAlign w:val="bottom"/>
            <w:tcBorders>
              <w:bottom w:val="single" w:sz="8" w:color="0000EE"/>
            </w:tcBorders>
            <w:gridSpan w:val="2"/>
          </w:tcPr>
          <w:p>
            <w:pPr>
              <w:spacing w:after="0"/>
              <w:rPr>
                <w:rFonts w:ascii="Arial" w:cs="Arial" w:eastAsia="Arial" w:hAnsi="Arial"/>
                <w:sz w:val="18"/>
                <w:szCs w:val="18"/>
                <w:color w:val="0000EE"/>
                <w:w w:val="85"/>
              </w:rPr>
            </w:pPr>
            <w:hyperlink w:anchor="page227">
              <w:r>
                <w:rPr>
                  <w:rFonts w:ascii="Arial" w:cs="Arial" w:eastAsia="Arial" w:hAnsi="Arial"/>
                  <w:sz w:val="18"/>
                  <w:szCs w:val="18"/>
                  <w:color w:val="0000EE"/>
                  <w:w w:val="85"/>
                </w:rPr>
                <w:t>15.</w:t>
              </w:r>
              <w:r>
                <w:rPr>
                  <w:rFonts w:ascii="Arial" w:cs="Arial" w:eastAsia="Arial" w:hAnsi="Arial"/>
                  <w:sz w:val="18"/>
                  <w:szCs w:val="18"/>
                  <w:u w:val="single" w:color="auto"/>
                  <w:color w:val="0000EE"/>
                  <w:w w:val="85"/>
                </w:rPr>
                <w:t>1</w:t>
              </w:r>
            </w:hyperlink>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320" w:type="dxa"/>
            <w:vAlign w:val="bottom"/>
            <w:tcBorders>
              <w:bottom w:val="single" w:sz="8" w:color="0000EE"/>
            </w:tcBorders>
            <w:gridSpan w:val="4"/>
          </w:tcPr>
          <w:p>
            <w:pPr>
              <w:spacing w:after="0"/>
              <w:rPr>
                <w:rFonts w:ascii="Arial" w:cs="Arial" w:eastAsia="Arial" w:hAnsi="Arial"/>
                <w:sz w:val="18"/>
                <w:szCs w:val="18"/>
                <w:color w:val="0000EE"/>
                <w:w w:val="90"/>
              </w:rPr>
            </w:pPr>
            <w:hyperlink w:anchor="page227">
              <w:r>
                <w:rPr>
                  <w:rFonts w:ascii="Arial" w:cs="Arial" w:eastAsia="Arial" w:hAnsi="Arial"/>
                  <w:sz w:val="18"/>
                  <w:szCs w:val="18"/>
                  <w:color w:val="0000EE"/>
                  <w:w w:val="90"/>
                </w:rPr>
                <w:t>Consent of Independent Registered Public Accounting Firm</w:t>
              </w:r>
            </w:hyperlink>
          </w:p>
        </w:tc>
        <w:tc>
          <w:tcPr>
            <w:tcW w:w="5740" w:type="dxa"/>
            <w:vAlign w:val="bottom"/>
            <w:gridSpan w:val="18"/>
          </w:tcPr>
          <w:p>
            <w:pPr>
              <w:spacing w:after="0"/>
              <w:rPr>
                <w:sz w:val="24"/>
                <w:szCs w:val="24"/>
                <w:color w:val="auto"/>
              </w:rPr>
            </w:pPr>
          </w:p>
        </w:tc>
      </w:tr>
    </w:tbl>
    <w:p>
      <w:pPr>
        <w:spacing w:after="0" w:line="229" w:lineRule="exact"/>
        <w:rPr>
          <w:sz w:val="20"/>
          <w:szCs w:val="20"/>
          <w:color w:val="auto"/>
        </w:rPr>
      </w:pPr>
    </w:p>
    <w:p>
      <w:pPr>
        <w:ind w:left="1180" w:hanging="1172"/>
        <w:spacing w:after="0"/>
        <w:tabs>
          <w:tab w:leader="none" w:pos="118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The following financial statements from the Company’s 20-F for the fiscal year ended December 31, 2019 formatted in XBRL:</w:t>
      </w:r>
    </w:p>
    <w:p>
      <w:pPr>
        <w:spacing w:after="0" w:line="23" w:lineRule="exact"/>
        <w:rPr>
          <w:rFonts w:ascii="Arial" w:cs="Arial" w:eastAsia="Arial" w:hAnsi="Arial"/>
          <w:sz w:val="18"/>
          <w:szCs w:val="18"/>
          <w:color w:val="auto"/>
        </w:rPr>
      </w:pPr>
    </w:p>
    <w:p>
      <w:pPr>
        <w:ind w:left="1180" w:firstLine="2"/>
        <w:spacing w:after="0" w:line="290" w:lineRule="auto"/>
        <w:tabs>
          <w:tab w:leader="none" w:pos="1410" w:val="left"/>
        </w:tabs>
        <w:numPr>
          <w:ilvl w:val="1"/>
          <w:numId w:val="140"/>
        </w:numPr>
        <w:rPr>
          <w:rFonts w:ascii="Arial" w:cs="Arial" w:eastAsia="Arial" w:hAnsi="Arial"/>
          <w:sz w:val="17"/>
          <w:szCs w:val="17"/>
          <w:color w:val="auto"/>
        </w:rPr>
      </w:pPr>
      <w:r>
        <w:rPr>
          <w:rFonts w:ascii="Arial" w:cs="Arial" w:eastAsia="Arial" w:hAnsi="Arial"/>
          <w:sz w:val="17"/>
          <w:szCs w:val="17"/>
          <w:color w:val="auto"/>
        </w:rPr>
        <w:t>Consolidated Statements of Comprehensive Loss, (ii) Consolidated Statements of Financial Position, (iii) Consolidated Statements of Changes in Equity, (iv) Consolidated Statements of Cash Flows, and (v) Notes to the Consolidated Financial Statements.</w:t>
      </w:r>
    </w:p>
    <w:p>
      <w:pPr>
        <w:spacing w:after="0" w:line="161" w:lineRule="exact"/>
        <w:rPr>
          <w:sz w:val="20"/>
          <w:szCs w:val="20"/>
          <w:color w:val="auto"/>
        </w:rPr>
      </w:pPr>
    </w:p>
    <w:p>
      <w:pPr>
        <w:ind w:left="1180" w:hanging="1172"/>
        <w:spacing w:after="0"/>
        <w:tabs>
          <w:tab w:leader="none" w:pos="118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Confidential treatment granted with respect to certain portions of this Exhibit.</w:t>
      </w:r>
    </w:p>
    <w:p>
      <w:pPr>
        <w:spacing w:after="0" w:line="225" w:lineRule="exact"/>
        <w:rPr>
          <w:sz w:val="20"/>
          <w:szCs w:val="20"/>
          <w:color w:val="auto"/>
        </w:rPr>
      </w:pPr>
    </w:p>
    <w:p>
      <w:pPr>
        <w:ind w:left="1180" w:hanging="1172"/>
        <w:spacing w:after="0"/>
        <w:tabs>
          <w:tab w:leader="none" w:pos="118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Informal translation of the original Hebrew document.</w:t>
      </w: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149" w:name="page150"/>
    <w:bookmarkEnd w:id="149"/>
    <w:p>
      <w:pPr>
        <w:jc w:val="center"/>
        <w:spacing w:after="0"/>
        <w:rPr>
          <w:sz w:val="20"/>
          <w:szCs w:val="20"/>
          <w:color w:val="auto"/>
        </w:rPr>
      </w:pPr>
      <w:r>
        <w:rPr>
          <w:rFonts w:ascii="Arial" w:cs="Arial" w:eastAsia="Arial" w:hAnsi="Arial"/>
          <w:sz w:val="22"/>
          <w:szCs w:val="22"/>
          <w:u w:val="single" w:color="auto"/>
          <w:color w:val="auto"/>
        </w:rPr>
        <w:t>SIGNATURE</w:t>
      </w:r>
    </w:p>
    <w:p>
      <w:pPr>
        <w:spacing w:after="0" w:line="287" w:lineRule="exact"/>
        <w:rPr>
          <w:sz w:val="20"/>
          <w:szCs w:val="20"/>
          <w:color w:val="auto"/>
        </w:rPr>
      </w:pPr>
    </w:p>
    <w:p>
      <w:pPr>
        <w:spacing w:after="0" w:line="276" w:lineRule="auto"/>
        <w:rPr>
          <w:sz w:val="20"/>
          <w:szCs w:val="20"/>
          <w:color w:val="auto"/>
        </w:rPr>
      </w:pPr>
      <w:r>
        <w:rPr>
          <w:rFonts w:ascii="Arial" w:cs="Arial" w:eastAsia="Arial" w:hAnsi="Arial"/>
          <w:sz w:val="22"/>
          <w:szCs w:val="22"/>
          <w:color w:val="auto"/>
        </w:rPr>
        <w:t>The Registrant hereby certifies that it meets all of the requirements for filing on Form 20-F and that it has duly caused and authorized the undersigned to sign this annual report on its behalf.</w:t>
      </w:r>
    </w:p>
    <w:p>
      <w:pPr>
        <w:spacing w:after="0" w:line="22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SOL-GEL TECHNOLOGIES LTD.</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 /s/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3768090</wp:posOffset>
            </wp:positionH>
            <wp:positionV relativeFrom="paragraph">
              <wp:posOffset>14605</wp:posOffset>
            </wp:positionV>
            <wp:extent cx="1945640" cy="171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3">
                      <a:extLst>
                        <a:ext uri="{28A0092B-C50C-407E-A947-70E740481C1C}"/>
                      </a:extLst>
                    </a:blip>
                    <a:srcRect/>
                    <a:stretch>
                      <a:fillRect/>
                    </a:stretch>
                  </pic:blipFill>
                  <pic:spPr bwMode="auto">
                    <a:xfrm>
                      <a:off x="0" y="0"/>
                      <a:ext cx="1945640" cy="1714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Name:Alon Seri-Levy</w:t>
      </w:r>
    </w:p>
    <w:p>
      <w:pPr>
        <w:spacing w:after="0" w:line="23" w:lineRule="exact"/>
        <w:rPr>
          <w:sz w:val="20"/>
          <w:szCs w:val="20"/>
          <w:color w:val="auto"/>
        </w:rPr>
      </w:pPr>
    </w:p>
    <w:p>
      <w:pPr>
        <w:ind w:left="5940"/>
        <w:spacing w:after="0"/>
        <w:tabs>
          <w:tab w:leader="none" w:pos="7020" w:val="left"/>
          <w:tab w:leader="none" w:pos="7960" w:val="left"/>
          <w:tab w:leader="none" w:pos="8720" w:val="left"/>
        </w:tabs>
        <w:rPr>
          <w:sz w:val="20"/>
          <w:szCs w:val="20"/>
          <w:color w:val="auto"/>
        </w:rPr>
      </w:pPr>
      <w:r>
        <w:rPr>
          <w:rFonts w:ascii="Arial" w:cs="Arial" w:eastAsia="Arial" w:hAnsi="Arial"/>
          <w:sz w:val="18"/>
          <w:szCs w:val="18"/>
          <w:color w:val="auto"/>
        </w:rPr>
        <w:t>Title: Chief</w:t>
        <w:tab/>
        <w:t>Executive</w:t>
        <w:tab/>
        <w:t>Officer</w:t>
      </w:r>
      <w:r>
        <w:rPr>
          <w:sz w:val="20"/>
          <w:szCs w:val="20"/>
          <w:color w:val="auto"/>
        </w:rPr>
        <w:tab/>
      </w:r>
      <w:r>
        <w:rPr>
          <w:rFonts w:ascii="Arial" w:cs="Arial" w:eastAsia="Arial" w:hAnsi="Arial"/>
          <w:sz w:val="15"/>
          <w:szCs w:val="15"/>
          <w:color w:val="auto"/>
        </w:rPr>
        <w:t>and</w:t>
      </w:r>
    </w:p>
    <w:p>
      <w:pPr>
        <w:spacing w:after="0" w:line="9" w:lineRule="exact"/>
        <w:rPr>
          <w:sz w:val="20"/>
          <w:szCs w:val="20"/>
          <w:color w:val="auto"/>
        </w:rPr>
      </w:pPr>
    </w:p>
    <w:p>
      <w:pPr>
        <w:ind w:left="6420"/>
        <w:spacing w:after="0"/>
        <w:rPr>
          <w:sz w:val="20"/>
          <w:szCs w:val="20"/>
          <w:color w:val="auto"/>
        </w:rPr>
      </w:pPr>
      <w:r>
        <w:rPr>
          <w:rFonts w:ascii="Arial" w:cs="Arial" w:eastAsia="Arial" w:hAnsi="Arial"/>
          <w:sz w:val="18"/>
          <w:szCs w:val="18"/>
          <w:color w:val="auto"/>
        </w:rPr>
        <w:t>Director</w:t>
      </w:r>
    </w:p>
    <w:p>
      <w:pPr>
        <w:spacing w:after="0" w:line="21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By: /s/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3768090</wp:posOffset>
            </wp:positionH>
            <wp:positionV relativeFrom="paragraph">
              <wp:posOffset>14605</wp:posOffset>
            </wp:positionV>
            <wp:extent cx="1945640" cy="17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4">
                      <a:extLst>
                        <a:ext uri="{28A0092B-C50C-407E-A947-70E740481C1C}"/>
                      </a:extLst>
                    </a:blip>
                    <a:srcRect/>
                    <a:stretch>
                      <a:fillRect/>
                    </a:stretch>
                  </pic:blipFill>
                  <pic:spPr bwMode="auto">
                    <a:xfrm>
                      <a:off x="0" y="0"/>
                      <a:ext cx="1945640" cy="17145"/>
                    </a:xfrm>
                    <a:prstGeom prst="rect">
                      <a:avLst/>
                    </a:prstGeom>
                    <a:noFill/>
                  </pic:spPr>
                </pic:pic>
              </a:graphicData>
            </a:graphic>
          </wp:anchor>
        </w:drawing>
      </w:r>
    </w:p>
    <w:p>
      <w:pPr>
        <w:spacing w:after="0" w:line="1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Name:Gilad Mamlok</w:t>
      </w:r>
    </w:p>
    <w:p>
      <w:pPr>
        <w:spacing w:after="0" w:line="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Title: Chief Financial Officer</w:t>
      </w:r>
    </w:p>
    <w:p>
      <w:pPr>
        <w:spacing w:after="0" w:line="271" w:lineRule="exact"/>
        <w:rPr>
          <w:sz w:val="20"/>
          <w:szCs w:val="20"/>
          <w:color w:val="auto"/>
        </w:rPr>
      </w:pPr>
    </w:p>
    <w:p>
      <w:pPr>
        <w:spacing w:after="0"/>
        <w:rPr>
          <w:sz w:val="20"/>
          <w:szCs w:val="20"/>
          <w:color w:val="auto"/>
        </w:rPr>
      </w:pPr>
      <w:r>
        <w:rPr>
          <w:rFonts w:ascii="Arial" w:cs="Arial" w:eastAsia="Arial" w:hAnsi="Arial"/>
          <w:sz w:val="22"/>
          <w:szCs w:val="22"/>
          <w:color w:val="auto"/>
        </w:rPr>
        <w:t>Date: March 24, 2020</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01" w:right="339" w:bottom="1440" w:gutter="0" w:footer="0" w:header="0"/>
        </w:sectPr>
      </w:pPr>
    </w:p>
    <w:bookmarkStart w:id="150" w:name="page151"/>
    <w:bookmarkEnd w:id="150"/>
    <w:p>
      <w:pPr>
        <w:jc w:val="center"/>
        <w:ind w:right="19"/>
        <w:spacing w:after="0"/>
        <w:rPr>
          <w:sz w:val="20"/>
          <w:szCs w:val="20"/>
          <w:color w:val="auto"/>
        </w:rPr>
      </w:pPr>
      <w:r>
        <w:rPr>
          <w:rFonts w:ascii="Arial" w:cs="Arial" w:eastAsia="Arial" w:hAnsi="Arial"/>
          <w:sz w:val="21"/>
          <w:szCs w:val="21"/>
          <w:b w:val="1"/>
          <w:bCs w:val="1"/>
          <w:color w:val="auto"/>
        </w:rPr>
        <w:t>SOL-GEL TECHNOLOGIES LTD.</w:t>
      </w:r>
    </w:p>
    <w:p>
      <w:pPr>
        <w:spacing w:after="0" w:line="39" w:lineRule="exact"/>
        <w:rPr>
          <w:sz w:val="20"/>
          <w:szCs w:val="20"/>
          <w:color w:val="auto"/>
        </w:rPr>
      </w:pPr>
    </w:p>
    <w:p>
      <w:pPr>
        <w:ind w:left="3140"/>
        <w:spacing w:after="0"/>
        <w:rPr>
          <w:sz w:val="20"/>
          <w:szCs w:val="20"/>
          <w:color w:val="auto"/>
        </w:rPr>
      </w:pPr>
      <w:r>
        <w:rPr>
          <w:rFonts w:ascii="Arial" w:cs="Arial" w:eastAsia="Arial" w:hAnsi="Arial"/>
          <w:sz w:val="22"/>
          <w:szCs w:val="22"/>
          <w:b w:val="1"/>
          <w:bCs w:val="1"/>
          <w:color w:val="auto"/>
        </w:rPr>
        <w:t>FINANCIAL STATEMENTS</w:t>
      </w:r>
    </w:p>
    <w:p>
      <w:pPr>
        <w:spacing w:after="0" w:line="17" w:lineRule="exact"/>
        <w:rPr>
          <w:sz w:val="20"/>
          <w:szCs w:val="20"/>
          <w:color w:val="auto"/>
        </w:rPr>
      </w:pPr>
    </w:p>
    <w:p>
      <w:pPr>
        <w:ind w:left="3140"/>
        <w:spacing w:after="0"/>
        <w:rPr>
          <w:sz w:val="20"/>
          <w:szCs w:val="20"/>
          <w:color w:val="auto"/>
        </w:rPr>
      </w:pPr>
      <w:r>
        <w:rPr>
          <w:rFonts w:ascii="Arial" w:cs="Arial" w:eastAsia="Arial" w:hAnsi="Arial"/>
          <w:sz w:val="22"/>
          <w:szCs w:val="22"/>
          <w:b w:val="1"/>
          <w:bCs w:val="1"/>
          <w:color w:val="auto"/>
        </w:rPr>
        <w:t>AS OF 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295910</wp:posOffset>
            </wp:positionV>
            <wp:extent cx="7132320" cy="171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881" w:right="1440" w:bottom="1440" w:gutter="0" w:footer="0" w:header="0"/>
        </w:sectPr>
      </w:pPr>
    </w:p>
    <w:bookmarkStart w:id="151" w:name="page152"/>
    <w:bookmarkEnd w:id="151"/>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FINANCIAL STATEMENTS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AS OF DECEMBER 31, 2019</w:t>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OF CONTENTS</w:t>
      </w:r>
    </w:p>
    <w:p>
      <w:pPr>
        <w:spacing w:after="0" w:line="31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620" w:type="dxa"/>
            <w:vAlign w:val="bottom"/>
          </w:tcPr>
          <w:p>
            <w:pPr>
              <w:spacing w:after="0"/>
              <w:rPr>
                <w:sz w:val="16"/>
                <w:szCs w:val="16"/>
                <w:color w:val="auto"/>
              </w:rPr>
            </w:pPr>
          </w:p>
        </w:tc>
        <w:tc>
          <w:tcPr>
            <w:tcW w:w="4180" w:type="dxa"/>
            <w:vAlign w:val="bottom"/>
          </w:tcPr>
          <w:p>
            <w:pPr>
              <w:spacing w:after="0"/>
              <w:rPr>
                <w:sz w:val="16"/>
                <w:szCs w:val="16"/>
                <w:color w:val="auto"/>
              </w:rPr>
            </w:pPr>
          </w:p>
        </w:tc>
        <w:tc>
          <w:tcPr>
            <w:tcW w:w="860" w:type="dxa"/>
            <w:vAlign w:val="bottom"/>
          </w:tcPr>
          <w:p>
            <w:pPr>
              <w:ind w:left="28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46"/>
        </w:trPr>
        <w:tc>
          <w:tcPr>
            <w:tcW w:w="40" w:type="dxa"/>
            <w:vAlign w:val="bottom"/>
          </w:tcPr>
          <w:p>
            <w:pPr>
              <w:spacing w:after="0"/>
              <w:rPr>
                <w:sz w:val="4"/>
                <w:szCs w:val="4"/>
                <w:color w:val="auto"/>
              </w:rPr>
            </w:pPr>
          </w:p>
        </w:tc>
        <w:tc>
          <w:tcPr>
            <w:tcW w:w="6160" w:type="dxa"/>
            <w:vAlign w:val="bottom"/>
            <w:gridSpan w:val="7"/>
            <w:vMerge w:val="restart"/>
          </w:tcPr>
          <w:p>
            <w:pPr>
              <w:spacing w:after="0"/>
              <w:rPr>
                <w:rFonts w:ascii="Arial" w:cs="Arial" w:eastAsia="Arial" w:hAnsi="Arial"/>
                <w:sz w:val="18"/>
                <w:szCs w:val="18"/>
                <w:b w:val="1"/>
                <w:bCs w:val="1"/>
                <w:color w:val="0000EE"/>
              </w:rPr>
            </w:pPr>
            <w:hyperlink w:anchor="page153">
              <w:r>
                <w:rPr>
                  <w:rFonts w:ascii="Arial" w:cs="Arial" w:eastAsia="Arial" w:hAnsi="Arial"/>
                  <w:sz w:val="18"/>
                  <w:szCs w:val="18"/>
                  <w:b w:val="1"/>
                  <w:bCs w:val="1"/>
                  <w:color w:val="0000EE"/>
                </w:rPr>
                <w:t>REPORT OF INDEPENDENT REGISTERED PUBLIC ACCOUNTING FIRM</w:t>
              </w:r>
            </w:hyperlink>
          </w:p>
        </w:tc>
        <w:tc>
          <w:tcPr>
            <w:tcW w:w="4180" w:type="dxa"/>
            <w:vAlign w:val="bottom"/>
            <w:vMerge w:val="restart"/>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8"/>
        </w:trPr>
        <w:tc>
          <w:tcPr>
            <w:tcW w:w="40" w:type="dxa"/>
            <w:vAlign w:val="bottom"/>
          </w:tcPr>
          <w:p>
            <w:pPr>
              <w:spacing w:after="0"/>
              <w:rPr>
                <w:sz w:val="17"/>
                <w:szCs w:val="17"/>
                <w:color w:val="auto"/>
              </w:rPr>
            </w:pPr>
          </w:p>
        </w:tc>
        <w:tc>
          <w:tcPr>
            <w:tcW w:w="6160" w:type="dxa"/>
            <w:vAlign w:val="bottom"/>
            <w:tcBorders>
              <w:bottom w:val="single" w:sz="8" w:color="0000EE"/>
            </w:tcBorders>
            <w:gridSpan w:val="7"/>
            <w:vMerge w:val="continue"/>
          </w:tcPr>
          <w:p>
            <w:pPr>
              <w:spacing w:after="0"/>
              <w:rPr>
                <w:sz w:val="17"/>
                <w:szCs w:val="17"/>
                <w:color w:val="auto"/>
              </w:rPr>
            </w:pPr>
          </w:p>
        </w:tc>
        <w:tc>
          <w:tcPr>
            <w:tcW w:w="4180" w:type="dxa"/>
            <w:vAlign w:val="bottom"/>
            <w:vMerge w:val="continue"/>
          </w:tcPr>
          <w:p>
            <w:pPr>
              <w:spacing w:after="0"/>
              <w:rPr>
                <w:sz w:val="17"/>
                <w:szCs w:val="17"/>
                <w:color w:val="auto"/>
              </w:rPr>
            </w:pPr>
          </w:p>
        </w:tc>
        <w:tc>
          <w:tcPr>
            <w:tcW w:w="860" w:type="dxa"/>
            <w:vAlign w:val="bottom"/>
          </w:tcPr>
          <w:p>
            <w:pPr>
              <w:ind w:left="300"/>
              <w:spacing w:after="0" w:line="202" w:lineRule="exact"/>
              <w:rPr>
                <w:sz w:val="20"/>
                <w:szCs w:val="20"/>
                <w:color w:val="auto"/>
              </w:rPr>
            </w:pPr>
            <w:r>
              <w:rPr>
                <w:rFonts w:ascii="Arial" w:cs="Arial" w:eastAsia="Arial" w:hAnsi="Arial"/>
                <w:sz w:val="18"/>
                <w:szCs w:val="18"/>
                <w:color w:val="auto"/>
              </w:rPr>
              <w:t>F-2</w:t>
            </w:r>
          </w:p>
        </w:tc>
        <w:tc>
          <w:tcPr>
            <w:tcW w:w="0" w:type="dxa"/>
            <w:vAlign w:val="bottom"/>
          </w:tcPr>
          <w:p>
            <w:pPr>
              <w:spacing w:after="0"/>
              <w:rPr>
                <w:sz w:val="1"/>
                <w:szCs w:val="1"/>
                <w:color w:val="auto"/>
              </w:rPr>
            </w:pPr>
          </w:p>
        </w:tc>
      </w:tr>
      <w:tr>
        <w:trPr>
          <w:trHeight w:val="291"/>
        </w:trPr>
        <w:tc>
          <w:tcPr>
            <w:tcW w:w="40" w:type="dxa"/>
            <w:vAlign w:val="bottom"/>
          </w:tcPr>
          <w:p>
            <w:pPr>
              <w:spacing w:after="0"/>
              <w:rPr>
                <w:sz w:val="24"/>
                <w:szCs w:val="24"/>
                <w:color w:val="auto"/>
              </w:rPr>
            </w:pPr>
          </w:p>
        </w:tc>
        <w:tc>
          <w:tcPr>
            <w:tcW w:w="10340" w:type="dxa"/>
            <w:vAlign w:val="bottom"/>
            <w:gridSpan w:val="8"/>
          </w:tcPr>
          <w:p>
            <w:pPr>
              <w:spacing w:after="0"/>
              <w:rPr>
                <w:sz w:val="20"/>
                <w:szCs w:val="20"/>
                <w:color w:val="auto"/>
              </w:rPr>
            </w:pPr>
            <w:r>
              <w:rPr>
                <w:rFonts w:ascii="Arial" w:cs="Arial" w:eastAsia="Arial" w:hAnsi="Arial"/>
                <w:sz w:val="18"/>
                <w:szCs w:val="18"/>
                <w:b w:val="1"/>
                <w:bCs w:val="1"/>
                <w:color w:val="auto"/>
              </w:rPr>
              <w:t>CONSOLIDATED FINANCIAL STATEMENTS:</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Borders>
              <w:bottom w:val="single" w:sz="8" w:color="0000EE"/>
            </w:tcBorders>
          </w:tcPr>
          <w:p>
            <w:pPr>
              <w:spacing w:after="0"/>
              <w:rPr>
                <w:rFonts w:ascii="Arial" w:cs="Arial" w:eastAsia="Arial" w:hAnsi="Arial"/>
                <w:sz w:val="18"/>
                <w:szCs w:val="18"/>
                <w:color w:val="0000EE"/>
                <w:w w:val="85"/>
              </w:rPr>
            </w:pPr>
            <w:hyperlink w:anchor="page154">
              <w:r>
                <w:rPr>
                  <w:rFonts w:ascii="Arial" w:cs="Arial" w:eastAsia="Arial" w:hAnsi="Arial"/>
                  <w:sz w:val="18"/>
                  <w:szCs w:val="18"/>
                  <w:color w:val="0000EE"/>
                  <w:w w:val="85"/>
                </w:rPr>
                <w:t>Balance Sheets</w:t>
              </w:r>
            </w:hyperlink>
          </w:p>
        </w:tc>
        <w:tc>
          <w:tcPr>
            <w:tcW w:w="9080" w:type="dxa"/>
            <w:vAlign w:val="bottom"/>
            <w:gridSpan w:val="6"/>
          </w:tcPr>
          <w:p>
            <w:pPr>
              <w:spacing w:after="0"/>
              <w:rPr>
                <w:sz w:val="19"/>
                <w:szCs w:val="19"/>
                <w:color w:val="auto"/>
              </w:rPr>
            </w:pPr>
          </w:p>
        </w:tc>
        <w:tc>
          <w:tcPr>
            <w:tcW w:w="860" w:type="dxa"/>
            <w:vAlign w:val="bottom"/>
          </w:tcPr>
          <w:p>
            <w:pPr>
              <w:ind w:left="300"/>
              <w:spacing w:after="0"/>
              <w:rPr>
                <w:sz w:val="20"/>
                <w:szCs w:val="20"/>
                <w:color w:val="auto"/>
              </w:rPr>
            </w:pPr>
            <w:r>
              <w:rPr>
                <w:rFonts w:ascii="Arial" w:cs="Arial" w:eastAsia="Arial" w:hAnsi="Arial"/>
                <w:sz w:val="18"/>
                <w:szCs w:val="18"/>
                <w:color w:val="auto"/>
              </w:rPr>
              <w:t>F-3</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20" w:type="dxa"/>
            <w:vAlign w:val="bottom"/>
            <w:tcBorders>
              <w:bottom w:val="single" w:sz="8" w:color="0000EE"/>
            </w:tcBorders>
            <w:gridSpan w:val="2"/>
          </w:tcPr>
          <w:p>
            <w:pPr>
              <w:spacing w:after="0"/>
              <w:rPr>
                <w:rFonts w:ascii="Arial" w:cs="Arial" w:eastAsia="Arial" w:hAnsi="Arial"/>
                <w:sz w:val="18"/>
                <w:szCs w:val="18"/>
                <w:color w:val="0000EE"/>
                <w:w w:val="88"/>
              </w:rPr>
            </w:pPr>
            <w:hyperlink w:anchor="page155">
              <w:r>
                <w:rPr>
                  <w:rFonts w:ascii="Arial" w:cs="Arial" w:eastAsia="Arial" w:hAnsi="Arial"/>
                  <w:sz w:val="18"/>
                  <w:szCs w:val="18"/>
                  <w:color w:val="0000EE"/>
                  <w:w w:val="88"/>
                </w:rPr>
                <w:t>Statements of Operations</w:t>
              </w:r>
            </w:hyperlink>
          </w:p>
        </w:tc>
        <w:tc>
          <w:tcPr>
            <w:tcW w:w="8360" w:type="dxa"/>
            <w:vAlign w:val="bottom"/>
            <w:gridSpan w:val="5"/>
          </w:tcPr>
          <w:p>
            <w:pPr>
              <w:spacing w:after="0"/>
              <w:rPr>
                <w:sz w:val="21"/>
                <w:szCs w:val="21"/>
                <w:color w:val="auto"/>
              </w:rPr>
            </w:pPr>
          </w:p>
        </w:tc>
        <w:tc>
          <w:tcPr>
            <w:tcW w:w="860" w:type="dxa"/>
            <w:vAlign w:val="bottom"/>
          </w:tcPr>
          <w:p>
            <w:pPr>
              <w:ind w:left="300"/>
              <w:spacing w:after="0"/>
              <w:rPr>
                <w:sz w:val="20"/>
                <w:szCs w:val="20"/>
                <w:color w:val="auto"/>
              </w:rPr>
            </w:pPr>
            <w:r>
              <w:rPr>
                <w:rFonts w:ascii="Arial" w:cs="Arial" w:eastAsia="Arial" w:hAnsi="Arial"/>
                <w:sz w:val="18"/>
                <w:szCs w:val="18"/>
                <w:color w:val="auto"/>
              </w:rPr>
              <w:t>F-4</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38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156">
              <w:r>
                <w:rPr>
                  <w:rFonts w:ascii="Arial" w:cs="Arial" w:eastAsia="Arial" w:hAnsi="Arial"/>
                  <w:sz w:val="18"/>
                  <w:szCs w:val="18"/>
                  <w:color w:val="0000EE"/>
                  <w:w w:val="88"/>
                </w:rPr>
                <w:t>Statements of Changes in Shareholders' Equity</w:t>
              </w:r>
            </w:hyperlink>
          </w:p>
        </w:tc>
        <w:tc>
          <w:tcPr>
            <w:tcW w:w="6800" w:type="dxa"/>
            <w:vAlign w:val="bottom"/>
            <w:gridSpan w:val="2"/>
          </w:tcPr>
          <w:p>
            <w:pPr>
              <w:spacing w:after="0"/>
              <w:rPr>
                <w:sz w:val="21"/>
                <w:szCs w:val="21"/>
                <w:color w:val="auto"/>
              </w:rPr>
            </w:pPr>
          </w:p>
        </w:tc>
        <w:tc>
          <w:tcPr>
            <w:tcW w:w="860" w:type="dxa"/>
            <w:vAlign w:val="bottom"/>
          </w:tcPr>
          <w:p>
            <w:pPr>
              <w:ind w:left="300"/>
              <w:spacing w:after="0"/>
              <w:rPr>
                <w:sz w:val="20"/>
                <w:szCs w:val="20"/>
                <w:color w:val="auto"/>
              </w:rPr>
            </w:pPr>
            <w:r>
              <w:rPr>
                <w:rFonts w:ascii="Arial" w:cs="Arial" w:eastAsia="Arial" w:hAnsi="Arial"/>
                <w:sz w:val="18"/>
                <w:szCs w:val="18"/>
                <w:color w:val="auto"/>
              </w:rPr>
              <w:t>F-5</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80" w:type="dxa"/>
            <w:vAlign w:val="bottom"/>
            <w:tcBorders>
              <w:bottom w:val="single" w:sz="8" w:color="0000EE"/>
            </w:tcBorders>
            <w:gridSpan w:val="3"/>
          </w:tcPr>
          <w:p>
            <w:pPr>
              <w:spacing w:after="0"/>
              <w:rPr>
                <w:rFonts w:ascii="Arial" w:cs="Arial" w:eastAsia="Arial" w:hAnsi="Arial"/>
                <w:sz w:val="18"/>
                <w:szCs w:val="18"/>
                <w:color w:val="0000EE"/>
                <w:w w:val="88"/>
              </w:rPr>
            </w:pPr>
            <w:hyperlink w:anchor="page157">
              <w:r>
                <w:rPr>
                  <w:rFonts w:ascii="Arial" w:cs="Arial" w:eastAsia="Arial" w:hAnsi="Arial"/>
                  <w:sz w:val="18"/>
                  <w:szCs w:val="18"/>
                  <w:color w:val="0000EE"/>
                  <w:w w:val="88"/>
                </w:rPr>
                <w:t>Statements of Cash Flows</w:t>
              </w:r>
            </w:hyperlink>
          </w:p>
        </w:tc>
        <w:tc>
          <w:tcPr>
            <w:tcW w:w="8300" w:type="dxa"/>
            <w:vAlign w:val="bottom"/>
            <w:gridSpan w:val="4"/>
          </w:tcPr>
          <w:p>
            <w:pPr>
              <w:spacing w:after="0"/>
              <w:rPr>
                <w:sz w:val="21"/>
                <w:szCs w:val="21"/>
                <w:color w:val="auto"/>
              </w:rPr>
            </w:pPr>
          </w:p>
        </w:tc>
        <w:tc>
          <w:tcPr>
            <w:tcW w:w="860" w:type="dxa"/>
            <w:vAlign w:val="bottom"/>
          </w:tcPr>
          <w:p>
            <w:pPr>
              <w:ind w:left="300"/>
              <w:spacing w:after="0"/>
              <w:rPr>
                <w:sz w:val="20"/>
                <w:szCs w:val="20"/>
                <w:color w:val="auto"/>
              </w:rPr>
            </w:pPr>
            <w:r>
              <w:rPr>
                <w:rFonts w:ascii="Arial" w:cs="Arial" w:eastAsia="Arial" w:hAnsi="Arial"/>
                <w:sz w:val="18"/>
                <w:szCs w:val="18"/>
                <w:color w:val="auto"/>
              </w:rPr>
              <w:t>F-6</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180" w:type="dxa"/>
            <w:vAlign w:val="bottom"/>
            <w:gridSpan w:val="7"/>
          </w:tcPr>
          <w:p>
            <w:pPr>
              <w:spacing w:after="0"/>
              <w:rPr>
                <w:rFonts w:ascii="Arial" w:cs="Arial" w:eastAsia="Arial" w:hAnsi="Arial"/>
                <w:sz w:val="18"/>
                <w:szCs w:val="18"/>
                <w:color w:val="0000EE"/>
              </w:rPr>
            </w:pPr>
            <w:hyperlink w:anchor="page158">
              <w:r>
                <w:rPr>
                  <w:rFonts w:ascii="Arial" w:cs="Arial" w:eastAsia="Arial" w:hAnsi="Arial"/>
                  <w:sz w:val="18"/>
                  <w:szCs w:val="18"/>
                  <w:color w:val="0000EE"/>
                </w:rPr>
                <w:t>Notes to the Financial Statements</w:t>
              </w:r>
            </w:hyperlink>
          </w:p>
        </w:tc>
        <w:tc>
          <w:tcPr>
            <w:tcW w:w="860" w:type="dxa"/>
            <w:vAlign w:val="bottom"/>
          </w:tcPr>
          <w:p>
            <w:pPr>
              <w:ind w:left="300"/>
              <w:spacing w:after="0"/>
              <w:rPr>
                <w:sz w:val="20"/>
                <w:szCs w:val="20"/>
                <w:color w:val="auto"/>
              </w:rPr>
            </w:pPr>
            <w:r>
              <w:rPr>
                <w:rFonts w:ascii="Arial" w:cs="Arial" w:eastAsia="Arial" w:hAnsi="Arial"/>
                <w:sz w:val="18"/>
                <w:szCs w:val="18"/>
                <w:color w:val="auto"/>
              </w:rPr>
              <w:t>F-7</w:t>
            </w:r>
          </w:p>
        </w:tc>
        <w:tc>
          <w:tcPr>
            <w:tcW w:w="0" w:type="dxa"/>
            <w:vAlign w:val="bottom"/>
          </w:tcPr>
          <w:p>
            <w:pPr>
              <w:spacing w:after="0"/>
              <w:rPr>
                <w:sz w:val="1"/>
                <w:szCs w:val="1"/>
                <w:color w:val="auto"/>
              </w:rPr>
            </w:pPr>
          </w:p>
        </w:tc>
      </w:tr>
      <w:tr>
        <w:trPr>
          <w:trHeight w:val="473"/>
        </w:trPr>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top w:val="single" w:sz="8" w:color="0000EE"/>
              <w:bottom w:val="single" w:sz="8" w:color="auto"/>
            </w:tcBorders>
          </w:tcPr>
          <w:p>
            <w:pPr>
              <w:spacing w:after="0"/>
              <w:rPr>
                <w:sz w:val="24"/>
                <w:szCs w:val="24"/>
                <w:color w:val="auto"/>
              </w:rPr>
            </w:pPr>
          </w:p>
        </w:tc>
        <w:tc>
          <w:tcPr>
            <w:tcW w:w="72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540" w:type="dxa"/>
            <w:vAlign w:val="bottom"/>
            <w:tcBorders>
              <w:top w:val="single" w:sz="8" w:color="0000EE"/>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68" w:right="339" w:bottom="1440" w:gutter="0" w:footer="0" w:header="0"/>
        </w:sectPr>
      </w:pPr>
    </w:p>
    <w:bookmarkStart w:id="152" w:name="page153"/>
    <w:bookmarkEnd w:id="15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1303020" cy="110617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7">
                      <a:clrChange>
                        <a:clrFrom>
                          <a:srgbClr val="FFFFFF"/>
                        </a:clrFrom>
                        <a:clrTo>
                          <a:srgbClr val="FFFFFF">
                            <a:alpha val="0"/>
                          </a:srgbClr>
                        </a:clrTo>
                      </a:clrChange>
                      <a:extLst>
                        <a:ext uri="{28A0092B-C50C-407E-A947-70E740481C1C}"/>
                      </a:extLst>
                    </a:blip>
                    <a:srcRect/>
                    <a:stretch>
                      <a:fillRect/>
                    </a:stretch>
                  </pic:blipFill>
                  <pic:spPr bwMode="auto">
                    <a:xfrm>
                      <a:off x="0" y="0"/>
                      <a:ext cx="1303020" cy="1106170"/>
                    </a:xfrm>
                    <a:prstGeom prst="rect">
                      <a:avLst/>
                    </a:prstGeom>
                    <a:noFill/>
                  </pic:spPr>
                </pic:pic>
              </a:graphicData>
            </a:graphic>
          </wp:anchor>
        </w:drawing>
      </w:r>
    </w:p>
    <w:p>
      <w:pPr>
        <w:spacing w:after="0" w:line="228" w:lineRule="exact"/>
        <w:rPr>
          <w:sz w:val="20"/>
          <w:szCs w:val="20"/>
          <w:color w:val="auto"/>
        </w:rPr>
      </w:pPr>
    </w:p>
    <w:p>
      <w:pPr>
        <w:ind w:left="2940"/>
        <w:spacing w:after="0"/>
        <w:rPr>
          <w:sz w:val="20"/>
          <w:szCs w:val="20"/>
          <w:color w:val="auto"/>
        </w:rPr>
      </w:pPr>
      <w:r>
        <w:rPr>
          <w:rFonts w:ascii="Arial" w:cs="Arial" w:eastAsia="Arial" w:hAnsi="Arial"/>
          <w:sz w:val="22"/>
          <w:szCs w:val="22"/>
          <w:b w:val="1"/>
          <w:bCs w:val="1"/>
          <w:color w:val="auto"/>
        </w:rPr>
        <w:t>Report of Independent Registered Public Accounting Firm</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To the board of directors and shareholders of Sol-Gel Technologies Ltd.</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Opinion on the Financial Statements</w:t>
      </w:r>
    </w:p>
    <w:p>
      <w:pPr>
        <w:spacing w:after="0" w:line="281" w:lineRule="exact"/>
        <w:rPr>
          <w:sz w:val="20"/>
          <w:szCs w:val="20"/>
          <w:color w:val="auto"/>
        </w:rPr>
      </w:pPr>
    </w:p>
    <w:p>
      <w:pPr>
        <w:jc w:val="both"/>
        <w:spacing w:after="0" w:line="274" w:lineRule="auto"/>
        <w:rPr>
          <w:sz w:val="20"/>
          <w:szCs w:val="20"/>
          <w:color w:val="auto"/>
        </w:rPr>
      </w:pPr>
      <w:r>
        <w:rPr>
          <w:rFonts w:ascii="Arial" w:cs="Arial" w:eastAsia="Arial" w:hAnsi="Arial"/>
          <w:sz w:val="21"/>
          <w:szCs w:val="21"/>
          <w:color w:val="auto"/>
        </w:rPr>
        <w:t>We have audited the accompanying consolidated balance sheets of Sol-Gel Technologies Ltd</w:t>
      </w:r>
      <w:r>
        <w:rPr>
          <w:rFonts w:ascii="Arial" w:cs="Arial" w:eastAsia="Arial" w:hAnsi="Arial"/>
          <w:sz w:val="21"/>
          <w:szCs w:val="21"/>
          <w:b w:val="1"/>
          <w:bCs w:val="1"/>
          <w:color w:val="auto"/>
        </w:rPr>
        <w:t>.</w:t>
      </w:r>
      <w:r>
        <w:rPr>
          <w:rFonts w:ascii="Arial" w:cs="Arial" w:eastAsia="Arial" w:hAnsi="Arial"/>
          <w:sz w:val="21"/>
          <w:szCs w:val="21"/>
          <w:color w:val="auto"/>
        </w:rPr>
        <w:t xml:space="preserve"> and its subsidiary (the “Company”) as of December 31, 2019 and 2018, and the related consolidated statements of operations, of changes in shareholders' equity and of cash flows for each of the three years in the period ended December 31, 2019, including the related notes (collectively referred to as the “consolidated financial statements”). In our opinion, the consolidated financial statements present fairly, in all material respects, the financial position of the Company as of December 31, 2019 and 2018, and the results of its operations and its cash flows for each of the three years in the period ended December 31, 2019 in conformity with accounting principles generally accepted in the United States of America.</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Change in Accounting Principle</w:t>
      </w:r>
    </w:p>
    <w:p>
      <w:pPr>
        <w:spacing w:after="0" w:line="287" w:lineRule="exact"/>
        <w:rPr>
          <w:sz w:val="20"/>
          <w:szCs w:val="20"/>
          <w:color w:val="auto"/>
        </w:rPr>
      </w:pPr>
    </w:p>
    <w:p>
      <w:pPr>
        <w:ind w:right="380"/>
        <w:spacing w:after="0" w:line="276" w:lineRule="auto"/>
        <w:rPr>
          <w:sz w:val="20"/>
          <w:szCs w:val="20"/>
          <w:color w:val="auto"/>
        </w:rPr>
      </w:pPr>
      <w:r>
        <w:rPr>
          <w:rFonts w:ascii="Arial" w:cs="Arial" w:eastAsia="Arial" w:hAnsi="Arial"/>
          <w:sz w:val="22"/>
          <w:szCs w:val="22"/>
          <w:color w:val="auto"/>
        </w:rPr>
        <w:t>As discussed in Note 2(n) to the consolidated financial statements, the Company changed the manner in which it accounts for leases in 2019.</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Basis for Opinion</w:t>
      </w:r>
    </w:p>
    <w:p>
      <w:pPr>
        <w:spacing w:after="0" w:line="287" w:lineRule="exact"/>
        <w:rPr>
          <w:sz w:val="20"/>
          <w:szCs w:val="20"/>
          <w:color w:val="auto"/>
        </w:rPr>
      </w:pPr>
    </w:p>
    <w:p>
      <w:pPr>
        <w:jc w:val="both"/>
        <w:spacing w:after="0" w:line="261" w:lineRule="auto"/>
        <w:rPr>
          <w:sz w:val="20"/>
          <w:szCs w:val="20"/>
          <w:color w:val="auto"/>
        </w:rPr>
      </w:pPr>
      <w:r>
        <w:rPr>
          <w:rFonts w:ascii="Arial" w:cs="Arial" w:eastAsia="Arial" w:hAnsi="Arial"/>
          <w:sz w:val="22"/>
          <w:szCs w:val="22"/>
          <w:color w:val="auto"/>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244" w:lineRule="exact"/>
        <w:rPr>
          <w:sz w:val="20"/>
          <w:szCs w:val="20"/>
          <w:color w:val="auto"/>
        </w:rPr>
      </w:pPr>
    </w:p>
    <w:p>
      <w:pPr>
        <w:jc w:val="both"/>
        <w:spacing w:after="0" w:line="308" w:lineRule="auto"/>
        <w:rPr>
          <w:sz w:val="20"/>
          <w:szCs w:val="20"/>
          <w:color w:val="auto"/>
        </w:rPr>
      </w:pPr>
      <w:r>
        <w:rPr>
          <w:rFonts w:ascii="Arial" w:cs="Arial" w:eastAsia="Arial" w:hAnsi="Arial"/>
          <w:sz w:val="19"/>
          <w:szCs w:val="19"/>
          <w:color w:val="auto"/>
        </w:rPr>
        <w:t>We conducted our audits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208" w:lineRule="exact"/>
        <w:rPr>
          <w:sz w:val="20"/>
          <w:szCs w:val="20"/>
          <w:color w:val="auto"/>
        </w:rPr>
      </w:pPr>
    </w:p>
    <w:p>
      <w:pPr>
        <w:jc w:val="both"/>
        <w:spacing w:after="0" w:line="311" w:lineRule="auto"/>
        <w:rPr>
          <w:sz w:val="20"/>
          <w:szCs w:val="20"/>
          <w:color w:val="auto"/>
        </w:rPr>
      </w:pPr>
      <w:r>
        <w:rPr>
          <w:rFonts w:ascii="Arial" w:cs="Arial" w:eastAsia="Arial" w:hAnsi="Arial"/>
          <w:sz w:val="19"/>
          <w:szCs w:val="19"/>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198" w:lineRule="exact"/>
        <w:rPr>
          <w:sz w:val="20"/>
          <w:szCs w:val="20"/>
          <w:color w:val="auto"/>
        </w:rPr>
      </w:pPr>
    </w:p>
    <w:p>
      <w:pPr>
        <w:spacing w:after="0"/>
        <w:tabs>
          <w:tab w:leader="none" w:pos="5600" w:val="left"/>
        </w:tabs>
        <w:rPr>
          <w:sz w:val="20"/>
          <w:szCs w:val="20"/>
          <w:color w:val="auto"/>
        </w:rPr>
      </w:pPr>
      <w:r>
        <w:rPr>
          <w:rFonts w:ascii="Arial" w:cs="Arial" w:eastAsia="Arial" w:hAnsi="Arial"/>
          <w:sz w:val="18"/>
          <w:szCs w:val="18"/>
          <w:color w:val="auto"/>
        </w:rPr>
        <w:t>Tel-Aviv, Israel</w:t>
      </w:r>
      <w:r>
        <w:rPr>
          <w:sz w:val="20"/>
          <w:szCs w:val="20"/>
          <w:color w:val="auto"/>
        </w:rPr>
        <w:tab/>
      </w:r>
      <w:r>
        <w:rPr>
          <w:rFonts w:ascii="Arial" w:cs="Arial" w:eastAsia="Arial" w:hAnsi="Arial"/>
          <w:sz w:val="16"/>
          <w:szCs w:val="16"/>
          <w:color w:val="auto"/>
        </w:rPr>
        <w:t>/s/ Kesselman &amp; Kesselman</w:t>
      </w:r>
    </w:p>
    <w:p>
      <w:pPr>
        <w:spacing w:after="0" w:line="23" w:lineRule="exact"/>
        <w:rPr>
          <w:sz w:val="20"/>
          <w:szCs w:val="20"/>
          <w:color w:val="auto"/>
        </w:rPr>
      </w:pPr>
    </w:p>
    <w:p>
      <w:pPr>
        <w:spacing w:after="0"/>
        <w:tabs>
          <w:tab w:leader="none" w:pos="5600" w:val="left"/>
        </w:tabs>
        <w:rPr>
          <w:sz w:val="20"/>
          <w:szCs w:val="20"/>
          <w:color w:val="auto"/>
        </w:rPr>
      </w:pPr>
      <w:r>
        <w:rPr>
          <w:rFonts w:ascii="Arial" w:cs="Arial" w:eastAsia="Arial" w:hAnsi="Arial"/>
          <w:sz w:val="18"/>
          <w:szCs w:val="18"/>
          <w:color w:val="auto"/>
        </w:rPr>
        <w:t>March 24, 2020</w:t>
      </w:r>
      <w:r>
        <w:rPr>
          <w:sz w:val="20"/>
          <w:szCs w:val="20"/>
          <w:color w:val="auto"/>
        </w:rPr>
        <w:tab/>
      </w:r>
      <w:r>
        <w:rPr>
          <w:rFonts w:ascii="Arial" w:cs="Arial" w:eastAsia="Arial" w:hAnsi="Arial"/>
          <w:sz w:val="16"/>
          <w:szCs w:val="16"/>
          <w:color w:val="auto"/>
        </w:rPr>
        <w:t>Certified Public Accountants (Isr.)</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 member firm of PricewaterhouseCoopers International Limited</w:t>
      </w:r>
    </w:p>
    <w:p>
      <w:pPr>
        <w:spacing w:after="0" w:line="271" w:lineRule="exact"/>
        <w:rPr>
          <w:sz w:val="20"/>
          <w:szCs w:val="20"/>
          <w:color w:val="auto"/>
        </w:rPr>
      </w:pPr>
    </w:p>
    <w:p>
      <w:pPr>
        <w:spacing w:after="0"/>
        <w:rPr>
          <w:sz w:val="20"/>
          <w:szCs w:val="20"/>
          <w:color w:val="auto"/>
        </w:rPr>
      </w:pPr>
      <w:r>
        <w:rPr>
          <w:rFonts w:ascii="Arial" w:cs="Arial" w:eastAsia="Arial" w:hAnsi="Arial"/>
          <w:sz w:val="22"/>
          <w:szCs w:val="22"/>
          <w:color w:val="auto"/>
        </w:rPr>
        <w:t>We have served as the Company's auditor since 2000.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238760</wp:posOffset>
            </wp:positionV>
            <wp:extent cx="713232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Kesselman &amp; Kesselman, Trade Tower, 25 Hamered Street, Tel-Aviv 6812508, Israel,</w:t>
      </w:r>
    </w:p>
    <w:p>
      <w:pPr>
        <w:spacing w:after="0" w:line="2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P.O Box 50005 Tel-Aviv 6150001 Telephone: +972 -3- 7954555, Fax:+972 -3- 7954556, www.pwc.com/il</w:t>
      </w:r>
    </w:p>
    <w:p>
      <w:pPr>
        <w:sectPr>
          <w:pgSz w:w="11900" w:h="16838" w:orient="portrait"/>
          <w:cols w:equalWidth="0" w:num="1">
            <w:col w:w="11240"/>
          </w:cols>
          <w:pgMar w:left="320" w:top="1440" w:right="339" w:bottom="1440" w:gutter="0" w:footer="0" w:header="0"/>
        </w:sectPr>
      </w:pP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153" w:name="page154"/>
    <w:bookmarkEnd w:id="153"/>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BALANCE SHEETS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data)</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6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320" w:type="dxa"/>
            <w:vAlign w:val="bottom"/>
            <w:gridSpan w:val="5"/>
          </w:tcPr>
          <w:p>
            <w:pPr>
              <w:jc w:val="right"/>
              <w:ind w:right="84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86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22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8680" w:type="dxa"/>
            <w:vAlign w:val="bottom"/>
            <w:shd w:val="clear" w:color="auto" w:fill="CCEEFF"/>
          </w:tcPr>
          <w:p>
            <w:pPr>
              <w:ind w:left="4040"/>
              <w:spacing w:after="0"/>
              <w:rPr>
                <w:sz w:val="20"/>
                <w:szCs w:val="20"/>
                <w:color w:val="auto"/>
              </w:rPr>
            </w:pPr>
            <w:r>
              <w:rPr>
                <w:rFonts w:ascii="Arial" w:cs="Arial" w:eastAsia="Arial" w:hAnsi="Arial"/>
                <w:sz w:val="18"/>
                <w:szCs w:val="18"/>
                <w:b w:val="1"/>
                <w:bCs w:val="1"/>
                <w:color w:val="auto"/>
              </w:rPr>
              <w:t>Assets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9,412</w:t>
            </w: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Bank deposits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1,000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Marketable securities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56,662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40,966</w:t>
            </w: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Receivables from collaborative arrangements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4,120</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2,987</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1,293</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tcPr>
          <w:p>
            <w:pPr>
              <w:spacing w:after="0"/>
              <w:rPr>
                <w:sz w:val="20"/>
                <w:szCs w:val="20"/>
                <w:color w:val="auto"/>
              </w:rPr>
            </w:pPr>
            <w:r>
              <w:rPr>
                <w:rFonts w:ascii="Arial" w:cs="Arial" w:eastAsia="Arial" w:hAnsi="Arial"/>
                <w:sz w:val="18"/>
                <w:szCs w:val="18"/>
                <w:b w:val="1"/>
                <w:bCs w:val="1"/>
                <w:color w:val="auto"/>
              </w:rPr>
              <w:t>TOTAL CURRENT ASSETS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65,974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55,791</w:t>
            </w: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NON-CURRENT ASSETS:</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Restricted long-term deposits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462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472</w:t>
            </w: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Property and equipment, net</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2,604</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2,314</w:t>
            </w: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Operating lease right-of-use assets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2,040</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Funds in respect of employee rights upon retirement</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642</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tcPr>
          <w:p>
            <w:pPr>
              <w:spacing w:after="0"/>
              <w:rPr>
                <w:sz w:val="20"/>
                <w:szCs w:val="20"/>
                <w:color w:val="auto"/>
              </w:rPr>
            </w:pPr>
            <w:r>
              <w:rPr>
                <w:rFonts w:ascii="Arial" w:cs="Arial" w:eastAsia="Arial" w:hAnsi="Arial"/>
                <w:sz w:val="18"/>
                <w:szCs w:val="18"/>
                <w:b w:val="1"/>
                <w:bCs w:val="1"/>
                <w:color w:val="auto"/>
              </w:rPr>
              <w:t>TOTAL NON-CURRENT ASSETS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3,708</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5,510</w:t>
            </w:r>
          </w:p>
        </w:tc>
      </w:tr>
      <w:tr>
        <w:trPr>
          <w:trHeight w:val="257"/>
        </w:trPr>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240" w:type="dxa"/>
            <w:vAlign w:val="bottom"/>
            <w:tcBorders>
              <w:top w:val="single" w:sz="8" w:color="auto"/>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69,682</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61,301</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9"/>
        </w:trPr>
        <w:tc>
          <w:tcPr>
            <w:tcW w:w="8680" w:type="dxa"/>
            <w:vAlign w:val="bottom"/>
          </w:tcPr>
          <w:p>
            <w:pPr>
              <w:ind w:left="2920"/>
              <w:spacing w:after="0"/>
              <w:rPr>
                <w:sz w:val="20"/>
                <w:szCs w:val="20"/>
                <w:color w:val="auto"/>
              </w:rPr>
            </w:pPr>
            <w:r>
              <w:rPr>
                <w:rFonts w:ascii="Arial" w:cs="Arial" w:eastAsia="Arial" w:hAnsi="Arial"/>
                <w:sz w:val="18"/>
                <w:szCs w:val="18"/>
                <w:b w:val="1"/>
                <w:bCs w:val="1"/>
                <w:color w:val="auto"/>
              </w:rPr>
              <w:t>Liabilities and shareholders' equity</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Accounts payable</w:t>
            </w: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2,924</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1,710</w:t>
            </w:r>
          </w:p>
        </w:tc>
      </w:tr>
      <w:tr>
        <w:trPr>
          <w:trHeight w:val="216"/>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accounts payable</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1,971</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4,123</w:t>
            </w:r>
          </w:p>
        </w:tc>
      </w:tr>
      <w:tr>
        <w:trPr>
          <w:trHeight w:val="223"/>
        </w:trPr>
        <w:tc>
          <w:tcPr>
            <w:tcW w:w="8680" w:type="dxa"/>
            <w:vAlign w:val="bottom"/>
          </w:tcPr>
          <w:p>
            <w:pPr>
              <w:ind w:left="180"/>
              <w:spacing w:after="0"/>
              <w:rPr>
                <w:sz w:val="20"/>
                <w:szCs w:val="20"/>
                <w:color w:val="auto"/>
              </w:rPr>
            </w:pPr>
            <w:r>
              <w:rPr>
                <w:rFonts w:ascii="Arial" w:cs="Arial" w:eastAsia="Arial" w:hAnsi="Arial"/>
                <w:sz w:val="18"/>
                <w:szCs w:val="18"/>
                <w:color w:val="auto"/>
              </w:rPr>
              <w:t>Current maturities of operating leases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672</w:t>
            </w:r>
          </w:p>
        </w:tc>
      </w:tr>
      <w:tr>
        <w:trPr>
          <w:trHeight w:val="223"/>
        </w:trPr>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CURRENT LIABILITIES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4,895</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6,505</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Arial" w:cs="Arial" w:eastAsia="Arial" w:hAnsi="Arial"/>
                <w:sz w:val="18"/>
                <w:szCs w:val="18"/>
                <w:b w:val="1"/>
                <w:bCs w:val="1"/>
                <w:color w:val="auto"/>
              </w:rPr>
              <w:t>LONG-TERM LIABILITIES: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Operating leases liabilities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1,373</w:t>
            </w:r>
          </w:p>
        </w:tc>
      </w:tr>
      <w:tr>
        <w:trPr>
          <w:trHeight w:val="223"/>
        </w:trPr>
        <w:tc>
          <w:tcPr>
            <w:tcW w:w="8680" w:type="dxa"/>
            <w:vAlign w:val="bottom"/>
          </w:tcPr>
          <w:p>
            <w:pPr>
              <w:ind w:left="180"/>
              <w:spacing w:after="0"/>
              <w:rPr>
                <w:sz w:val="20"/>
                <w:szCs w:val="20"/>
                <w:color w:val="auto"/>
              </w:rPr>
            </w:pPr>
            <w:r>
              <w:rPr>
                <w:rFonts w:ascii="Arial" w:cs="Arial" w:eastAsia="Arial" w:hAnsi="Arial"/>
                <w:sz w:val="18"/>
                <w:szCs w:val="18"/>
                <w:color w:val="auto"/>
              </w:rPr>
              <w:t>Liability for employee rights upon retirement</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878</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958</w:t>
            </w:r>
          </w:p>
        </w:tc>
      </w:tr>
      <w:tr>
        <w:trPr>
          <w:trHeight w:val="256"/>
        </w:trPr>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LONG-TERM LIABILITIES</w:t>
            </w: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878</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spacing w:after="0"/>
              <w:rPr>
                <w:sz w:val="22"/>
                <w:szCs w:val="22"/>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2,331</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8680" w:type="dxa"/>
            <w:vAlign w:val="bottom"/>
          </w:tcPr>
          <w:p>
            <w:pPr>
              <w:spacing w:after="0"/>
              <w:rPr>
                <w:sz w:val="20"/>
                <w:szCs w:val="20"/>
                <w:color w:val="auto"/>
              </w:rPr>
            </w:pPr>
            <w:r>
              <w:rPr>
                <w:rFonts w:ascii="Arial" w:cs="Arial" w:eastAsia="Arial" w:hAnsi="Arial"/>
                <w:sz w:val="18"/>
                <w:szCs w:val="18"/>
                <w:b w:val="1"/>
                <w:bCs w:val="1"/>
                <w:color w:val="auto"/>
              </w:rPr>
              <w:t>COMMITMENTS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3"/>
        </w:trPr>
        <w:tc>
          <w:tcPr>
            <w:tcW w:w="86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5,773</w:t>
            </w:r>
          </w:p>
        </w:tc>
        <w:tc>
          <w:tcPr>
            <w:tcW w:w="2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8,836</w:t>
            </w:r>
          </w:p>
        </w:tc>
      </w:tr>
      <w:tr>
        <w:trPr>
          <w:trHeight w:val="216"/>
        </w:trPr>
        <w:tc>
          <w:tcPr>
            <w:tcW w:w="868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SHAREHOLDERS' EQUITY:</w:t>
            </w: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02"/>
        </w:trPr>
        <w:tc>
          <w:tcPr>
            <w:tcW w:w="8680" w:type="dxa"/>
            <w:vAlign w:val="bottom"/>
            <w:shd w:val="clear" w:color="auto" w:fill="CCEEFF"/>
          </w:tcPr>
          <w:p>
            <w:pPr>
              <w:ind w:left="180"/>
              <w:spacing w:after="0" w:line="201" w:lineRule="exact"/>
              <w:rPr>
                <w:sz w:val="20"/>
                <w:szCs w:val="20"/>
                <w:color w:val="auto"/>
              </w:rPr>
            </w:pPr>
            <w:r>
              <w:rPr>
                <w:rFonts w:ascii="Arial" w:cs="Arial" w:eastAsia="Arial" w:hAnsi="Arial"/>
                <w:sz w:val="18"/>
                <w:szCs w:val="18"/>
                <w:color w:val="auto"/>
                <w:w w:val="96"/>
              </w:rPr>
              <w:t>Ordinary shares, NIS 0.1 par value – authorized: 50,000,000 as of December 31, 2018 and 2019, respectively;</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1"/>
              </w:rPr>
              <w:t>issued and outstanding: 18,949,968 and 20,402,800 as of December 31, 2018 and December 31, 2019, respectively</w:t>
            </w: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w:t>
            </w: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561</w:t>
            </w:r>
          </w:p>
        </w:tc>
      </w:tr>
      <w:tr>
        <w:trPr>
          <w:trHeight w:val="216"/>
        </w:trPr>
        <w:tc>
          <w:tcPr>
            <w:tcW w:w="8680" w:type="dxa"/>
            <w:vAlign w:val="bottom"/>
          </w:tcPr>
          <w:p>
            <w:pPr>
              <w:ind w:left="180"/>
              <w:spacing w:after="0"/>
              <w:rPr>
                <w:sz w:val="20"/>
                <w:szCs w:val="20"/>
                <w:color w:val="auto"/>
              </w:rPr>
            </w:pPr>
            <w:r>
              <w:rPr>
                <w:rFonts w:ascii="Arial" w:cs="Arial" w:eastAsia="Arial" w:hAnsi="Arial"/>
                <w:sz w:val="18"/>
                <w:szCs w:val="18"/>
                <w:color w:val="auto"/>
              </w:rPr>
              <w:t>Additional paid-in capital</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190,853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203,977</w:t>
            </w:r>
          </w:p>
        </w:tc>
      </w:tr>
      <w:tr>
        <w:trPr>
          <w:trHeight w:val="223"/>
        </w:trPr>
        <w:tc>
          <w:tcPr>
            <w:tcW w:w="8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Accumulated deficit</w:t>
            </w:r>
          </w:p>
        </w:tc>
        <w:tc>
          <w:tcPr>
            <w:tcW w:w="2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(127,464)</w:t>
            </w:r>
          </w:p>
        </w:tc>
        <w:tc>
          <w:tcPr>
            <w:tcW w:w="2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(152,073)</w:t>
            </w:r>
          </w:p>
        </w:tc>
      </w:tr>
      <w:tr>
        <w:trPr>
          <w:trHeight w:val="223"/>
        </w:trPr>
        <w:tc>
          <w:tcPr>
            <w:tcW w:w="868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TOTAL SHAREHOLDERS' EQUITY</w:t>
            </w: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63,909</w:t>
            </w:r>
          </w:p>
        </w:tc>
        <w:tc>
          <w:tcPr>
            <w:tcW w:w="220" w:type="dxa"/>
            <w:vAlign w:val="bottom"/>
            <w:tcBorders>
              <w:top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52,465</w:t>
            </w:r>
          </w:p>
        </w:tc>
        <w:tc>
          <w:tcPr>
            <w:tcW w:w="100" w:type="dxa"/>
            <w:vAlign w:val="bottom"/>
            <w:tcBorders>
              <w:top w:val="single" w:sz="8" w:color="CCEEFF"/>
            </w:tcBorders>
          </w:tcPr>
          <w:p>
            <w:pPr>
              <w:spacing w:after="0"/>
              <w:rPr>
                <w:sz w:val="19"/>
                <w:szCs w:val="19"/>
                <w:color w:val="auto"/>
              </w:rPr>
            </w:pPr>
          </w:p>
        </w:tc>
      </w:tr>
      <w:tr>
        <w:trPr>
          <w:trHeight w:val="257"/>
        </w:trPr>
        <w:tc>
          <w:tcPr>
            <w:tcW w:w="86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AND SHAREHOLDERS' EQUITY</w:t>
            </w: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69,682</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61,301</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62" w:lineRule="exact"/>
        <w:rPr>
          <w:sz w:val="20"/>
          <w:szCs w:val="20"/>
          <w:color w:val="auto"/>
        </w:rPr>
      </w:pPr>
    </w:p>
    <w:p>
      <w:pPr>
        <w:spacing w:after="0"/>
        <w:rPr>
          <w:sz w:val="20"/>
          <w:szCs w:val="20"/>
          <w:color w:val="auto"/>
        </w:rPr>
      </w:pPr>
      <w:r>
        <w:rPr>
          <w:rFonts w:ascii="Arial" w:cs="Arial" w:eastAsia="Arial" w:hAnsi="Arial"/>
          <w:sz w:val="22"/>
          <w:szCs w:val="22"/>
          <w:color w:val="auto"/>
        </w:rPr>
        <w:t>The accompanying notes are an integral part of these consolidated financial statements.</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54" w:name="page155"/>
    <w:bookmarkEnd w:id="154"/>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ind w:left="3100"/>
        <w:spacing w:after="0"/>
        <w:rPr>
          <w:sz w:val="20"/>
          <w:szCs w:val="20"/>
          <w:color w:val="auto"/>
        </w:rPr>
      </w:pPr>
      <w:r>
        <w:rPr>
          <w:rFonts w:ascii="Arial" w:cs="Arial" w:eastAsia="Arial" w:hAnsi="Arial"/>
          <w:sz w:val="22"/>
          <w:szCs w:val="22"/>
          <w:b w:val="1"/>
          <w:bCs w:val="1"/>
          <w:color w:val="auto"/>
        </w:rPr>
        <w:t>CONSOLIDATED STATEMENTS OF OPERATIONS</w:t>
      </w:r>
    </w:p>
    <w:p>
      <w:pPr>
        <w:spacing w:after="0" w:line="17" w:lineRule="exact"/>
        <w:rPr>
          <w:sz w:val="20"/>
          <w:szCs w:val="20"/>
          <w:color w:val="auto"/>
        </w:rPr>
      </w:pPr>
    </w:p>
    <w:p>
      <w:pPr>
        <w:ind w:left="3060"/>
        <w:spacing w:after="0"/>
        <w:rPr>
          <w:sz w:val="20"/>
          <w:szCs w:val="20"/>
          <w:color w:val="auto"/>
        </w:rPr>
      </w:pPr>
      <w:r>
        <w:rPr>
          <w:rFonts w:ascii="Arial" w:cs="Arial" w:eastAsia="Arial" w:hAnsi="Arial"/>
          <w:sz w:val="22"/>
          <w:szCs w:val="22"/>
          <w:color w:val="auto"/>
        </w:rPr>
        <w:t>(U.S. dollars in thousands, except share and per share data)</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73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0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rPr>
              <w:t>Year ended December 31,</w:t>
            </w: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3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2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COLLABORATION REVENUES</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129</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22,904</w:t>
            </w: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rPr>
              <w:t>OPERATING EXPENSES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25,805</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28,146</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40,578</w:t>
            </w:r>
          </w:p>
        </w:tc>
      </w:tr>
      <w:tr>
        <w:trPr>
          <w:trHeight w:val="223"/>
        </w:trPr>
        <w:tc>
          <w:tcPr>
            <w:tcW w:w="732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6,002</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5,504</w:t>
            </w: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8,276</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OPERATING LOSS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31,633</w:t>
            </w:r>
          </w:p>
        </w:tc>
        <w:tc>
          <w:tcPr>
            <w:tcW w:w="2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33,521</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25,950</w:t>
            </w:r>
          </w:p>
        </w:tc>
        <w:tc>
          <w:tcPr>
            <w:tcW w:w="100" w:type="dxa"/>
            <w:vAlign w:val="bottom"/>
            <w:shd w:val="clear" w:color="auto" w:fill="CCEEFF"/>
          </w:tcPr>
          <w:p>
            <w:pPr>
              <w:spacing w:after="0"/>
              <w:rPr>
                <w:sz w:val="18"/>
                <w:szCs w:val="18"/>
                <w:color w:val="auto"/>
              </w:rPr>
            </w:pPr>
          </w:p>
        </w:tc>
      </w:tr>
      <w:tr>
        <w:trPr>
          <w:trHeight w:val="223"/>
        </w:trPr>
        <w:tc>
          <w:tcPr>
            <w:tcW w:w="7320" w:type="dxa"/>
            <w:vAlign w:val="bottom"/>
          </w:tcPr>
          <w:p>
            <w:pPr>
              <w:spacing w:after="0"/>
              <w:rPr>
                <w:sz w:val="20"/>
                <w:szCs w:val="20"/>
                <w:color w:val="auto"/>
              </w:rPr>
            </w:pPr>
            <w:r>
              <w:rPr>
                <w:rFonts w:ascii="Arial" w:cs="Arial" w:eastAsia="Arial" w:hAnsi="Arial"/>
                <w:sz w:val="18"/>
                <w:szCs w:val="18"/>
                <w:b w:val="1"/>
                <w:bCs w:val="1"/>
                <w:color w:val="auto"/>
              </w:rPr>
              <w:t>FINANCIAL INCOME, net</w:t>
            </w:r>
          </w:p>
        </w:tc>
        <w:tc>
          <w:tcPr>
            <w:tcW w:w="24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(65)</w:t>
            </w:r>
          </w:p>
        </w:tc>
        <w:tc>
          <w:tcPr>
            <w:tcW w:w="200" w:type="dxa"/>
            <w:vAlign w:val="bottom"/>
          </w:tcPr>
          <w:p>
            <w:pPr>
              <w:spacing w:after="0"/>
              <w:rPr>
                <w:sz w:val="19"/>
                <w:szCs w:val="19"/>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(1,318)</w:t>
            </w:r>
          </w:p>
        </w:tc>
        <w:tc>
          <w:tcPr>
            <w:tcW w:w="24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(1,374)</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LOSS BEFORE INCOME TAXES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31,568</w:t>
            </w:r>
          </w:p>
        </w:tc>
        <w:tc>
          <w:tcPr>
            <w:tcW w:w="24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33,203</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24,576</w:t>
            </w:r>
          </w:p>
        </w:tc>
        <w:tc>
          <w:tcPr>
            <w:tcW w:w="100" w:type="dxa"/>
            <w:vAlign w:val="bottom"/>
            <w:shd w:val="clear" w:color="auto" w:fill="CCEEFF"/>
          </w:tcPr>
          <w:p>
            <w:pPr>
              <w:spacing w:after="0"/>
              <w:rPr>
                <w:sz w:val="18"/>
                <w:szCs w:val="18"/>
                <w:color w:val="auto"/>
              </w:rPr>
            </w:pPr>
          </w:p>
        </w:tc>
      </w:tr>
      <w:tr>
        <w:trPr>
          <w:trHeight w:val="223"/>
        </w:trPr>
        <w:tc>
          <w:tcPr>
            <w:tcW w:w="7320" w:type="dxa"/>
            <w:vAlign w:val="bottom"/>
          </w:tcPr>
          <w:p>
            <w:pPr>
              <w:spacing w:after="0"/>
              <w:rPr>
                <w:sz w:val="20"/>
                <w:szCs w:val="20"/>
                <w:color w:val="auto"/>
              </w:rPr>
            </w:pPr>
            <w:r>
              <w:rPr>
                <w:rFonts w:ascii="Arial" w:cs="Arial" w:eastAsia="Arial" w:hAnsi="Arial"/>
                <w:sz w:val="18"/>
                <w:szCs w:val="18"/>
                <w:b w:val="1"/>
                <w:bCs w:val="1"/>
                <w:color w:val="auto"/>
              </w:rPr>
              <w:t>INCOME TAXES</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33</w:t>
            </w:r>
          </w:p>
        </w:tc>
      </w:tr>
      <w:tr>
        <w:trPr>
          <w:trHeight w:val="257"/>
        </w:trPr>
        <w:tc>
          <w:tcPr>
            <w:tcW w:w="73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LOSS FOR THE YEAR</w:t>
            </w: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31,568</w:t>
            </w:r>
          </w:p>
        </w:tc>
        <w:tc>
          <w:tcPr>
            <w:tcW w:w="2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32,203</w:t>
            </w:r>
          </w:p>
        </w:tc>
        <w:tc>
          <w:tcPr>
            <w:tcW w:w="2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24,609</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9"/>
        </w:trPr>
        <w:tc>
          <w:tcPr>
            <w:tcW w:w="7320" w:type="dxa"/>
            <w:vAlign w:val="bottom"/>
          </w:tcPr>
          <w:p>
            <w:pPr>
              <w:spacing w:after="0"/>
              <w:rPr>
                <w:sz w:val="20"/>
                <w:szCs w:val="20"/>
                <w:color w:val="auto"/>
              </w:rPr>
            </w:pPr>
            <w:r>
              <w:rPr>
                <w:rFonts w:ascii="Arial" w:cs="Arial" w:eastAsia="Arial" w:hAnsi="Arial"/>
                <w:sz w:val="18"/>
                <w:szCs w:val="18"/>
                <w:b w:val="1"/>
                <w:bCs w:val="1"/>
                <w:color w:val="auto"/>
              </w:rPr>
              <w:t>BASIC AND DILUTED LOSS PER ORDINARY SHARE</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5.02</w:t>
            </w:r>
          </w:p>
        </w:tc>
        <w:tc>
          <w:tcPr>
            <w:tcW w:w="24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1.80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1.26</w:t>
            </w:r>
          </w:p>
        </w:tc>
      </w:tr>
      <w:tr>
        <w:trPr>
          <w:trHeight w:val="21"/>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1"/>
        </w:trPr>
        <w:tc>
          <w:tcPr>
            <w:tcW w:w="7320" w:type="dxa"/>
            <w:vAlign w:val="bottom"/>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WEIGHTED AVERAGE NUMBER OF SHARES OUTSTANDING USED IN</w:t>
            </w: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55"/>
        </w:trPr>
        <w:tc>
          <w:tcPr>
            <w:tcW w:w="7320" w:type="dxa"/>
            <w:vAlign w:val="bottom"/>
            <w:shd w:val="clear" w:color="auto" w:fill="CCEEFF"/>
          </w:tcPr>
          <w:p>
            <w:pPr>
              <w:ind w:left="260"/>
              <w:spacing w:after="0"/>
              <w:rPr>
                <w:sz w:val="20"/>
                <w:szCs w:val="20"/>
                <w:color w:val="auto"/>
              </w:rPr>
            </w:pPr>
            <w:r>
              <w:rPr>
                <w:rFonts w:ascii="Arial" w:cs="Arial" w:eastAsia="Arial" w:hAnsi="Arial"/>
                <w:sz w:val="18"/>
                <w:szCs w:val="18"/>
                <w:b w:val="1"/>
                <w:bCs w:val="1"/>
                <w:color w:val="auto"/>
              </w:rPr>
              <w:t>COMPUTATION OF BASIC AND DILUTED LOSS PER SHARE</w:t>
            </w:r>
          </w:p>
        </w:tc>
        <w:tc>
          <w:tcPr>
            <w:tcW w:w="24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6,290,244</w:t>
            </w:r>
          </w:p>
        </w:tc>
        <w:tc>
          <w:tcPr>
            <w:tcW w:w="24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7"/>
              </w:rPr>
              <w:t>17,867,589</w:t>
            </w:r>
          </w:p>
        </w:tc>
        <w:tc>
          <w:tcPr>
            <w:tcW w:w="240" w:type="dxa"/>
            <w:vAlign w:val="bottom"/>
            <w:shd w:val="clear" w:color="auto" w:fill="CCEEFF"/>
          </w:tcPr>
          <w:p>
            <w:pPr>
              <w:spacing w:after="0"/>
              <w:rPr>
                <w:sz w:val="22"/>
                <w:szCs w:val="22"/>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5"/>
              </w:rPr>
              <w:t>19,534,562</w:t>
            </w:r>
          </w:p>
        </w:tc>
      </w:tr>
      <w:tr>
        <w:trPr>
          <w:trHeight w:val="20"/>
        </w:trPr>
        <w:tc>
          <w:tcPr>
            <w:tcW w:w="73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62" w:lineRule="exact"/>
        <w:rPr>
          <w:sz w:val="20"/>
          <w:szCs w:val="20"/>
          <w:color w:val="auto"/>
        </w:rPr>
      </w:pPr>
    </w:p>
    <w:p>
      <w:pPr>
        <w:spacing w:after="0"/>
        <w:rPr>
          <w:sz w:val="20"/>
          <w:szCs w:val="20"/>
          <w:color w:val="auto"/>
        </w:rPr>
      </w:pPr>
      <w:r>
        <w:rPr>
          <w:rFonts w:ascii="Arial" w:cs="Arial" w:eastAsia="Arial" w:hAnsi="Arial"/>
          <w:sz w:val="22"/>
          <w:szCs w:val="22"/>
          <w:color w:val="auto"/>
        </w:rPr>
        <w:t>The accompanying notes are an integral part of these consolidated financial statement.</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55" w:name="page156"/>
    <w:bookmarkEnd w:id="155"/>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CHANGES IN SHAREHOLDERS' EQUITY</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data)</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Additional</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paid-in</w:t>
            </w: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Accumulated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4620" w:type="dxa"/>
            <w:vAlign w:val="bottom"/>
          </w:tcPr>
          <w:p>
            <w:pPr>
              <w:spacing w:after="0"/>
              <w:rPr>
                <w:sz w:val="20"/>
                <w:szCs w:val="20"/>
                <w:color w:val="auto"/>
              </w:rPr>
            </w:pPr>
          </w:p>
        </w:tc>
        <w:tc>
          <w:tcPr>
            <w:tcW w:w="2760" w:type="dxa"/>
            <w:vAlign w:val="bottom"/>
            <w:gridSpan w:val="4"/>
          </w:tcPr>
          <w:p>
            <w:pPr>
              <w:ind w:left="620"/>
              <w:spacing w:after="0"/>
              <w:rPr>
                <w:sz w:val="20"/>
                <w:szCs w:val="20"/>
                <w:color w:val="auto"/>
              </w:rPr>
            </w:pPr>
            <w:r>
              <w:rPr>
                <w:rFonts w:ascii="Arial" w:cs="Arial" w:eastAsia="Arial" w:hAnsi="Arial"/>
                <w:sz w:val="18"/>
                <w:szCs w:val="18"/>
                <w:b w:val="1"/>
                <w:bCs w:val="1"/>
                <w:color w:val="auto"/>
              </w:rPr>
              <w:t>Ordinary shares</w:t>
            </w:r>
          </w:p>
        </w:tc>
        <w:tc>
          <w:tcPr>
            <w:tcW w:w="13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capital</w:t>
            </w:r>
          </w:p>
        </w:tc>
        <w:tc>
          <w:tcPr>
            <w:tcW w:w="13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deficit</w:t>
            </w:r>
          </w:p>
        </w:tc>
        <w:tc>
          <w:tcPr>
            <w:tcW w:w="122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rPr>
              <w:t>Total</w:t>
            </w:r>
          </w:p>
        </w:tc>
      </w:tr>
      <w:tr>
        <w:trPr>
          <w:trHeight w:val="198"/>
        </w:trPr>
        <w:tc>
          <w:tcPr>
            <w:tcW w:w="4620" w:type="dxa"/>
            <w:vAlign w:val="bottom"/>
          </w:tcPr>
          <w:p>
            <w:pPr>
              <w:spacing w:after="0"/>
              <w:rPr>
                <w:sz w:val="17"/>
                <w:szCs w:val="17"/>
                <w:color w:val="auto"/>
              </w:rPr>
            </w:pPr>
          </w:p>
        </w:tc>
        <w:tc>
          <w:tcPr>
            <w:tcW w:w="1380" w:type="dxa"/>
            <w:vAlign w:val="bottom"/>
            <w:tcBorders>
              <w:top w:val="single" w:sz="8" w:color="auto"/>
            </w:tcBorders>
            <w:gridSpan w:val="2"/>
          </w:tcPr>
          <w:p>
            <w:pPr>
              <w:ind w:left="260"/>
              <w:spacing w:after="0" w:line="198" w:lineRule="exact"/>
              <w:rPr>
                <w:sz w:val="20"/>
                <w:szCs w:val="20"/>
                <w:color w:val="auto"/>
              </w:rPr>
            </w:pPr>
            <w:r>
              <w:rPr>
                <w:rFonts w:ascii="Arial" w:cs="Arial" w:eastAsia="Arial" w:hAnsi="Arial"/>
                <w:sz w:val="18"/>
                <w:szCs w:val="18"/>
                <w:b w:val="1"/>
                <w:bCs w:val="1"/>
                <w:color w:val="auto"/>
              </w:rPr>
              <w:t>Number</w:t>
            </w:r>
          </w:p>
        </w:tc>
        <w:tc>
          <w:tcPr>
            <w:tcW w:w="11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4620" w:type="dxa"/>
            <w:vAlign w:val="bottom"/>
          </w:tcPr>
          <w:p>
            <w:pPr>
              <w:spacing w:after="0"/>
              <w:rPr>
                <w:sz w:val="20"/>
                <w:szCs w:val="20"/>
                <w:color w:val="auto"/>
              </w:rPr>
            </w:pPr>
          </w:p>
        </w:tc>
        <w:tc>
          <w:tcPr>
            <w:tcW w:w="1380" w:type="dxa"/>
            <w:vAlign w:val="bottom"/>
            <w:gridSpan w:val="2"/>
          </w:tcPr>
          <w:p>
            <w:pPr>
              <w:ind w:left="240"/>
              <w:spacing w:after="0"/>
              <w:rPr>
                <w:sz w:val="20"/>
                <w:szCs w:val="20"/>
                <w:color w:val="auto"/>
              </w:rPr>
            </w:pPr>
            <w:r>
              <w:rPr>
                <w:rFonts w:ascii="Arial" w:cs="Arial" w:eastAsia="Arial" w:hAnsi="Arial"/>
                <w:sz w:val="18"/>
                <w:szCs w:val="18"/>
                <w:b w:val="1"/>
                <w:bCs w:val="1"/>
                <w:color w:val="auto"/>
              </w:rPr>
              <w:t>of shares</w:t>
            </w:r>
          </w:p>
        </w:tc>
        <w:tc>
          <w:tcPr>
            <w:tcW w:w="1380" w:type="dxa"/>
            <w:vAlign w:val="bottom"/>
            <w:gridSpan w:val="2"/>
          </w:tcPr>
          <w:p>
            <w:pPr>
              <w:ind w:left="220"/>
              <w:spacing w:after="0"/>
              <w:rPr>
                <w:sz w:val="20"/>
                <w:szCs w:val="20"/>
                <w:color w:val="auto"/>
              </w:rPr>
            </w:pPr>
            <w:r>
              <w:rPr>
                <w:rFonts w:ascii="Arial" w:cs="Arial" w:eastAsia="Arial" w:hAnsi="Arial"/>
                <w:sz w:val="18"/>
                <w:szCs w:val="18"/>
                <w:b w:val="1"/>
                <w:bCs w:val="1"/>
                <w:color w:val="auto"/>
              </w:rPr>
              <w:t>Amounts</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Amounts</w:t>
            </w: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AS OF JANUARY 1, 2017</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6,290,242</w:t>
            </w:r>
          </w:p>
        </w:tc>
        <w:tc>
          <w:tcPr>
            <w:tcW w:w="24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40" w:type="dxa"/>
            <w:vAlign w:val="bottom"/>
            <w:shd w:val="clear" w:color="auto" w:fill="CCEEFF"/>
          </w:tcPr>
          <w:p>
            <w:pPr>
              <w:spacing w:after="0"/>
              <w:rPr>
                <w:sz w:val="18"/>
                <w:szCs w:val="18"/>
                <w:color w:val="auto"/>
              </w:rPr>
            </w:pPr>
          </w:p>
        </w:tc>
        <w:tc>
          <w:tcPr>
            <w:tcW w:w="1320" w:type="dxa"/>
            <w:vAlign w:val="bottom"/>
            <w:tcBorders>
              <w:top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32,274</w:t>
            </w:r>
          </w:p>
        </w:tc>
        <w:tc>
          <w:tcPr>
            <w:tcW w:w="1320" w:type="dxa"/>
            <w:vAlign w:val="bottom"/>
            <w:tcBorders>
              <w:top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(63,693)</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(31,337)</w:t>
            </w: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b w:val="1"/>
                <w:bCs w:val="1"/>
                <w:color w:val="auto"/>
              </w:rPr>
              <w:t>CHANGES DURING 2017:</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Loss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(31,568)</w:t>
            </w: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(31,568)</w:t>
            </w:r>
          </w:p>
        </w:tc>
      </w:tr>
      <w:tr>
        <w:trPr>
          <w:trHeight w:val="202"/>
        </w:trPr>
        <w:tc>
          <w:tcPr>
            <w:tcW w:w="4620" w:type="dxa"/>
            <w:vAlign w:val="bottom"/>
          </w:tcPr>
          <w:p>
            <w:pPr>
              <w:ind w:left="240"/>
              <w:spacing w:after="0" w:line="201" w:lineRule="exact"/>
              <w:rPr>
                <w:sz w:val="20"/>
                <w:szCs w:val="20"/>
                <w:color w:val="auto"/>
              </w:rPr>
            </w:pPr>
            <w:r>
              <w:rPr>
                <w:rFonts w:ascii="Arial" w:cs="Arial" w:eastAsia="Arial" w:hAnsi="Arial"/>
                <w:sz w:val="18"/>
                <w:szCs w:val="18"/>
                <w:color w:val="auto"/>
              </w:rPr>
              <w:t>Issuance of shares due to in- process research and</w:t>
            </w: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620" w:type="dxa"/>
            <w:vAlign w:val="bottom"/>
          </w:tcPr>
          <w:p>
            <w:pPr>
              <w:ind w:left="240"/>
              <w:spacing w:after="0"/>
              <w:rPr>
                <w:sz w:val="20"/>
                <w:szCs w:val="20"/>
                <w:color w:val="auto"/>
              </w:rPr>
            </w:pPr>
            <w:r>
              <w:rPr>
                <w:rFonts w:ascii="Arial" w:cs="Arial" w:eastAsia="Arial" w:hAnsi="Arial"/>
                <w:sz w:val="18"/>
                <w:szCs w:val="18"/>
                <w:color w:val="auto"/>
              </w:rPr>
              <w:t>development acquired</w:t>
            </w:r>
          </w:p>
        </w:tc>
        <w:tc>
          <w:tcPr>
            <w:tcW w:w="1140" w:type="dxa"/>
            <w:vAlign w:val="bottom"/>
          </w:tcPr>
          <w:p>
            <w:pPr>
              <w:jc w:val="right"/>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20"/>
                <w:szCs w:val="20"/>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6,232</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6,232</w:t>
            </w:r>
          </w:p>
        </w:tc>
      </w:tr>
      <w:tr>
        <w:trPr>
          <w:trHeight w:val="216"/>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Share-based compensation</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3,974</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3,974</w:t>
            </w:r>
          </w:p>
        </w:tc>
      </w:tr>
      <w:tr>
        <w:trPr>
          <w:trHeight w:val="27"/>
        </w:trPr>
        <w:tc>
          <w:tcPr>
            <w:tcW w:w="46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b w:val="1"/>
                <w:bCs w:val="1"/>
                <w:color w:val="auto"/>
              </w:rPr>
              <w:t>BALANCE AS OF DECEMBER 31, 2017</w:t>
            </w:r>
          </w:p>
        </w:tc>
        <w:tc>
          <w:tcPr>
            <w:tcW w:w="1140" w:type="dxa"/>
            <w:vAlign w:val="bottom"/>
          </w:tcPr>
          <w:p>
            <w:pPr>
              <w:jc w:val="right"/>
              <w:spacing w:after="0"/>
              <w:rPr>
                <w:sz w:val="20"/>
                <w:szCs w:val="20"/>
                <w:color w:val="auto"/>
              </w:rPr>
            </w:pPr>
            <w:r>
              <w:rPr>
                <w:rFonts w:ascii="Arial" w:cs="Arial" w:eastAsia="Arial" w:hAnsi="Arial"/>
                <w:sz w:val="18"/>
                <w:szCs w:val="18"/>
                <w:color w:val="auto"/>
              </w:rPr>
              <w:t>6,290,244</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82</w:t>
            </w:r>
          </w:p>
        </w:tc>
        <w:tc>
          <w:tcPr>
            <w:tcW w:w="2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42,480</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(95,261)</w:t>
            </w: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(52,699)</w:t>
            </w: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CHANGES DURING 2018:</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240"/>
              <w:spacing w:after="0"/>
              <w:rPr>
                <w:sz w:val="20"/>
                <w:szCs w:val="20"/>
                <w:color w:val="auto"/>
              </w:rPr>
            </w:pPr>
            <w:r>
              <w:rPr>
                <w:rFonts w:ascii="Arial" w:cs="Arial" w:eastAsia="Arial" w:hAnsi="Arial"/>
                <w:sz w:val="18"/>
                <w:szCs w:val="18"/>
                <w:color w:val="auto"/>
              </w:rPr>
              <w:t>Loss for the year</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(32,203)</w:t>
            </w: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(32,203)</w:t>
            </w:r>
          </w:p>
        </w:tc>
      </w:tr>
      <w:tr>
        <w:trPr>
          <w:trHeight w:val="216"/>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Stock split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66</w:t>
            </w: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(66)</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620" w:type="dxa"/>
            <w:vAlign w:val="bottom"/>
          </w:tcPr>
          <w:p>
            <w:pPr>
              <w:ind w:left="240"/>
              <w:spacing w:after="0"/>
              <w:rPr>
                <w:sz w:val="20"/>
                <w:szCs w:val="20"/>
                <w:color w:val="auto"/>
              </w:rPr>
            </w:pPr>
            <w:r>
              <w:rPr>
                <w:rFonts w:ascii="Arial" w:cs="Arial" w:eastAsia="Arial" w:hAnsi="Arial"/>
                <w:sz w:val="18"/>
                <w:szCs w:val="18"/>
                <w:color w:val="auto"/>
              </w:rPr>
              <w:t>Conversion of loans from the Controlling shareholder</w:t>
            </w:r>
          </w:p>
        </w:tc>
        <w:tc>
          <w:tcPr>
            <w:tcW w:w="1140" w:type="dxa"/>
            <w:vAlign w:val="bottom"/>
          </w:tcPr>
          <w:p>
            <w:pPr>
              <w:jc w:val="right"/>
              <w:spacing w:after="0"/>
              <w:rPr>
                <w:sz w:val="20"/>
                <w:szCs w:val="20"/>
                <w:color w:val="auto"/>
              </w:rPr>
            </w:pPr>
            <w:r>
              <w:rPr>
                <w:rFonts w:ascii="Arial" w:cs="Arial" w:eastAsia="Arial" w:hAnsi="Arial"/>
                <w:sz w:val="18"/>
                <w:szCs w:val="18"/>
                <w:color w:val="auto"/>
              </w:rPr>
              <w:t>5,444,825</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160</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65,178</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65,338</w:t>
            </w:r>
          </w:p>
        </w:tc>
      </w:tr>
      <w:tr>
        <w:trPr>
          <w:trHeight w:val="202"/>
        </w:trPr>
        <w:tc>
          <w:tcPr>
            <w:tcW w:w="4620" w:type="dxa"/>
            <w:vAlign w:val="bottom"/>
            <w:shd w:val="clear" w:color="auto" w:fill="CCEEFF"/>
          </w:tcPr>
          <w:p>
            <w:pPr>
              <w:ind w:left="240"/>
              <w:spacing w:after="0" w:line="201" w:lineRule="exact"/>
              <w:rPr>
                <w:sz w:val="20"/>
                <w:szCs w:val="20"/>
                <w:color w:val="auto"/>
              </w:rPr>
            </w:pPr>
            <w:r>
              <w:rPr>
                <w:rFonts w:ascii="Arial" w:cs="Arial" w:eastAsia="Arial" w:hAnsi="Arial"/>
                <w:sz w:val="18"/>
                <w:szCs w:val="18"/>
                <w:color w:val="auto"/>
                <w:w w:val="94"/>
              </w:rPr>
              <w:t>Issuance of shares through an initial public offering, net of</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issuance costs</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7,187,500</w:t>
            </w:r>
          </w:p>
        </w:tc>
        <w:tc>
          <w:tcPr>
            <w:tcW w:w="24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211</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78,564</w:t>
            </w:r>
          </w:p>
        </w:tc>
        <w:tc>
          <w:tcPr>
            <w:tcW w:w="1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78,775</w:t>
            </w:r>
          </w:p>
        </w:tc>
      </w:tr>
      <w:tr>
        <w:trPr>
          <w:trHeight w:val="216"/>
        </w:trPr>
        <w:tc>
          <w:tcPr>
            <w:tcW w:w="4620" w:type="dxa"/>
            <w:vAlign w:val="bottom"/>
          </w:tcPr>
          <w:p>
            <w:pPr>
              <w:ind w:left="240"/>
              <w:spacing w:after="0"/>
              <w:rPr>
                <w:sz w:val="20"/>
                <w:szCs w:val="20"/>
                <w:color w:val="auto"/>
              </w:rPr>
            </w:pPr>
            <w:r>
              <w:rPr>
                <w:rFonts w:ascii="Arial" w:cs="Arial" w:eastAsia="Arial" w:hAnsi="Arial"/>
                <w:sz w:val="18"/>
                <w:szCs w:val="18"/>
                <w:color w:val="auto"/>
              </w:rPr>
              <w:t>Exercise of options granted to employee</w:t>
            </w:r>
          </w:p>
        </w:tc>
        <w:tc>
          <w:tcPr>
            <w:tcW w:w="1140" w:type="dxa"/>
            <w:vAlign w:val="bottom"/>
          </w:tcPr>
          <w:p>
            <w:pPr>
              <w:jc w:val="right"/>
              <w:spacing w:after="0"/>
              <w:rPr>
                <w:sz w:val="20"/>
                <w:szCs w:val="20"/>
                <w:color w:val="auto"/>
              </w:rPr>
            </w:pPr>
            <w:r>
              <w:rPr>
                <w:rFonts w:ascii="Arial" w:cs="Arial" w:eastAsia="Arial" w:hAnsi="Arial"/>
                <w:sz w:val="18"/>
                <w:szCs w:val="18"/>
                <w:color w:val="auto"/>
              </w:rPr>
              <w:t>27,399</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43</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44</w:t>
            </w:r>
          </w:p>
        </w:tc>
      </w:tr>
      <w:tr>
        <w:trPr>
          <w:trHeight w:val="216"/>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Share-based compensation</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4,654</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4,654</w:t>
            </w:r>
          </w:p>
        </w:tc>
      </w:tr>
      <w:tr>
        <w:trPr>
          <w:trHeight w:val="27"/>
        </w:trPr>
        <w:tc>
          <w:tcPr>
            <w:tcW w:w="46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b w:val="1"/>
                <w:bCs w:val="1"/>
                <w:color w:val="auto"/>
              </w:rPr>
              <w:t>BALANCE AS OF DECEMBER 31, 2018</w:t>
            </w:r>
          </w:p>
        </w:tc>
        <w:tc>
          <w:tcPr>
            <w:tcW w:w="1140" w:type="dxa"/>
            <w:vAlign w:val="bottom"/>
          </w:tcPr>
          <w:p>
            <w:pPr>
              <w:jc w:val="right"/>
              <w:spacing w:after="0"/>
              <w:rPr>
                <w:sz w:val="20"/>
                <w:szCs w:val="20"/>
                <w:color w:val="auto"/>
              </w:rPr>
            </w:pPr>
            <w:r>
              <w:rPr>
                <w:rFonts w:ascii="Arial" w:cs="Arial" w:eastAsia="Arial" w:hAnsi="Arial"/>
                <w:sz w:val="18"/>
                <w:szCs w:val="18"/>
                <w:color w:val="auto"/>
              </w:rPr>
              <w:t>18,949,968</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520</w:t>
            </w:r>
          </w:p>
        </w:tc>
        <w:tc>
          <w:tcPr>
            <w:tcW w:w="2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190,853</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(127,464)</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63,909</w:t>
            </w:r>
          </w:p>
        </w:tc>
      </w:tr>
      <w:tr>
        <w:trPr>
          <w:trHeight w:val="21"/>
        </w:trPr>
        <w:tc>
          <w:tcPr>
            <w:tcW w:w="46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4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CHANGES DURING 2019:</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240"/>
              <w:spacing w:after="0"/>
              <w:rPr>
                <w:sz w:val="20"/>
                <w:szCs w:val="20"/>
                <w:color w:val="auto"/>
              </w:rPr>
            </w:pPr>
            <w:r>
              <w:rPr>
                <w:rFonts w:ascii="Arial" w:cs="Arial" w:eastAsia="Arial" w:hAnsi="Arial"/>
                <w:sz w:val="18"/>
                <w:szCs w:val="18"/>
                <w:color w:val="auto"/>
              </w:rPr>
              <w:t>Loss for the year</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(24,609)</w:t>
            </w: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(24,609)</w:t>
            </w:r>
          </w:p>
        </w:tc>
      </w:tr>
      <w:tr>
        <w:trPr>
          <w:trHeight w:val="216"/>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Vesting of restricted shares</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15,332</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4620" w:type="dxa"/>
            <w:vAlign w:val="bottom"/>
          </w:tcPr>
          <w:p>
            <w:pPr>
              <w:ind w:left="240"/>
              <w:spacing w:after="0" w:line="201" w:lineRule="exact"/>
              <w:rPr>
                <w:sz w:val="20"/>
                <w:szCs w:val="20"/>
                <w:color w:val="auto"/>
              </w:rPr>
            </w:pPr>
            <w:r>
              <w:rPr>
                <w:rFonts w:ascii="Arial" w:cs="Arial" w:eastAsia="Arial" w:hAnsi="Arial"/>
                <w:sz w:val="18"/>
                <w:szCs w:val="18"/>
                <w:color w:val="auto"/>
                <w:w w:val="93"/>
              </w:rPr>
              <w:t>Issuance of shares through public offering, net of issuance</w:t>
            </w: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620" w:type="dxa"/>
            <w:vAlign w:val="bottom"/>
          </w:tcPr>
          <w:p>
            <w:pPr>
              <w:ind w:left="240"/>
              <w:spacing w:after="0"/>
              <w:rPr>
                <w:sz w:val="20"/>
                <w:szCs w:val="20"/>
                <w:color w:val="auto"/>
              </w:rPr>
            </w:pPr>
            <w:r>
              <w:rPr>
                <w:rFonts w:ascii="Arial" w:cs="Arial" w:eastAsia="Arial" w:hAnsi="Arial"/>
                <w:sz w:val="18"/>
                <w:szCs w:val="18"/>
                <w:color w:val="auto"/>
              </w:rPr>
              <w:t>costs</w:t>
            </w:r>
          </w:p>
        </w:tc>
        <w:tc>
          <w:tcPr>
            <w:tcW w:w="1140" w:type="dxa"/>
            <w:vAlign w:val="bottom"/>
          </w:tcPr>
          <w:p>
            <w:pPr>
              <w:jc w:val="right"/>
              <w:spacing w:after="0"/>
              <w:rPr>
                <w:sz w:val="20"/>
                <w:szCs w:val="20"/>
                <w:color w:val="auto"/>
              </w:rPr>
            </w:pPr>
            <w:r>
              <w:rPr>
                <w:rFonts w:ascii="Arial" w:cs="Arial" w:eastAsia="Arial" w:hAnsi="Arial"/>
                <w:sz w:val="18"/>
                <w:szCs w:val="18"/>
                <w:color w:val="auto"/>
              </w:rPr>
              <w:t>1,437,500</w:t>
            </w:r>
          </w:p>
        </w:tc>
        <w:tc>
          <w:tcPr>
            <w:tcW w:w="240" w:type="dxa"/>
            <w:vAlign w:val="bottom"/>
          </w:tcPr>
          <w:p>
            <w:pPr>
              <w:spacing w:after="0"/>
              <w:rPr>
                <w:sz w:val="20"/>
                <w:szCs w:val="20"/>
                <w:color w:val="auto"/>
              </w:rPr>
            </w:pPr>
          </w:p>
        </w:tc>
        <w:tc>
          <w:tcPr>
            <w:tcW w:w="1380" w:type="dxa"/>
            <w:vAlign w:val="bottom"/>
            <w:gridSpan w:val="2"/>
          </w:tcPr>
          <w:p>
            <w:pPr>
              <w:jc w:val="right"/>
              <w:ind w:right="240"/>
              <w:spacing w:after="0"/>
              <w:rPr>
                <w:sz w:val="20"/>
                <w:szCs w:val="20"/>
                <w:color w:val="auto"/>
              </w:rPr>
            </w:pPr>
            <w:r>
              <w:rPr>
                <w:rFonts w:ascii="Arial" w:cs="Arial" w:eastAsia="Arial" w:hAnsi="Arial"/>
                <w:sz w:val="18"/>
                <w:szCs w:val="18"/>
                <w:color w:val="auto"/>
              </w:rPr>
              <w:t>41</w:t>
            </w: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10,572</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10,613</w:t>
            </w:r>
          </w:p>
        </w:tc>
      </w:tr>
      <w:tr>
        <w:trPr>
          <w:trHeight w:val="216"/>
        </w:trPr>
        <w:tc>
          <w:tcPr>
            <w:tcW w:w="46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Share-based compensation</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2,552</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2,552</w:t>
            </w:r>
          </w:p>
        </w:tc>
      </w:tr>
      <w:tr>
        <w:trPr>
          <w:trHeight w:val="27"/>
        </w:trPr>
        <w:tc>
          <w:tcPr>
            <w:tcW w:w="46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b w:val="1"/>
                <w:bCs w:val="1"/>
                <w:color w:val="auto"/>
              </w:rPr>
              <w:t>BALANCE AS OF DECEMBER 31, 2019</w:t>
            </w:r>
          </w:p>
        </w:tc>
        <w:tc>
          <w:tcPr>
            <w:tcW w:w="1140" w:type="dxa"/>
            <w:vAlign w:val="bottom"/>
          </w:tcPr>
          <w:p>
            <w:pPr>
              <w:jc w:val="right"/>
              <w:spacing w:after="0"/>
              <w:rPr>
                <w:sz w:val="20"/>
                <w:szCs w:val="20"/>
                <w:color w:val="auto"/>
              </w:rPr>
            </w:pPr>
            <w:r>
              <w:rPr>
                <w:rFonts w:ascii="Arial" w:cs="Arial" w:eastAsia="Arial" w:hAnsi="Arial"/>
                <w:sz w:val="18"/>
                <w:szCs w:val="18"/>
                <w:color w:val="auto"/>
              </w:rPr>
              <w:t>20,402,800</w:t>
            </w:r>
          </w:p>
        </w:tc>
        <w:tc>
          <w:tcPr>
            <w:tcW w:w="2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561</w:t>
            </w:r>
          </w:p>
        </w:tc>
        <w:tc>
          <w:tcPr>
            <w:tcW w:w="240" w:type="dxa"/>
            <w:vAlign w:val="bottom"/>
          </w:tcPr>
          <w:p>
            <w:pPr>
              <w:spacing w:after="0"/>
              <w:rPr>
                <w:sz w:val="18"/>
                <w:szCs w:val="18"/>
                <w:color w:val="auto"/>
              </w:rPr>
            </w:pPr>
          </w:p>
        </w:tc>
        <w:tc>
          <w:tcPr>
            <w:tcW w:w="1320" w:type="dxa"/>
            <w:vAlign w:val="bottom"/>
            <w:gridSpan w:val="2"/>
          </w:tcPr>
          <w:p>
            <w:pPr>
              <w:jc w:val="right"/>
              <w:ind w:right="220"/>
              <w:spacing w:after="0"/>
              <w:rPr>
                <w:sz w:val="20"/>
                <w:szCs w:val="20"/>
                <w:color w:val="auto"/>
              </w:rPr>
            </w:pPr>
            <w:r>
              <w:rPr>
                <w:rFonts w:ascii="Arial" w:cs="Arial" w:eastAsia="Arial" w:hAnsi="Arial"/>
                <w:sz w:val="18"/>
                <w:szCs w:val="18"/>
                <w:color w:val="auto"/>
              </w:rPr>
              <w:t>203,977</w:t>
            </w:r>
          </w:p>
        </w:tc>
        <w:tc>
          <w:tcPr>
            <w:tcW w:w="1320" w:type="dxa"/>
            <w:vAlign w:val="bottom"/>
            <w:gridSpan w:val="2"/>
          </w:tcPr>
          <w:p>
            <w:pPr>
              <w:jc w:val="right"/>
              <w:ind w:right="160"/>
              <w:spacing w:after="0"/>
              <w:rPr>
                <w:sz w:val="20"/>
                <w:szCs w:val="20"/>
                <w:color w:val="auto"/>
              </w:rPr>
            </w:pPr>
            <w:r>
              <w:rPr>
                <w:rFonts w:ascii="Arial" w:cs="Arial" w:eastAsia="Arial" w:hAnsi="Arial"/>
                <w:sz w:val="18"/>
                <w:szCs w:val="18"/>
                <w:color w:val="auto"/>
              </w:rPr>
              <w:t>(152,073)</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52,465</w:t>
            </w:r>
          </w:p>
        </w:tc>
      </w:tr>
      <w:tr>
        <w:trPr>
          <w:trHeight w:val="21"/>
        </w:trPr>
        <w:tc>
          <w:tcPr>
            <w:tcW w:w="46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62" w:lineRule="exact"/>
        <w:rPr>
          <w:sz w:val="20"/>
          <w:szCs w:val="20"/>
          <w:color w:val="auto"/>
        </w:rPr>
      </w:pPr>
    </w:p>
    <w:p>
      <w:pPr>
        <w:spacing w:after="0"/>
        <w:rPr>
          <w:sz w:val="20"/>
          <w:szCs w:val="20"/>
          <w:color w:val="auto"/>
        </w:rPr>
      </w:pPr>
      <w:r>
        <w:rPr>
          <w:rFonts w:ascii="Arial" w:cs="Arial" w:eastAsia="Arial" w:hAnsi="Arial"/>
          <w:sz w:val="22"/>
          <w:szCs w:val="22"/>
          <w:color w:val="auto"/>
        </w:rPr>
        <w:t>* Less than 1,000.</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The accompanying notes are an integral part of these consolidated financial statements.</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56" w:name="page157"/>
    <w:bookmarkEnd w:id="156"/>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CASH FLOWS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73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40" w:type="dxa"/>
            <w:vAlign w:val="bottom"/>
            <w:tcBorders>
              <w:bottom w:val="single" w:sz="8" w:color="auto"/>
            </w:tcBorders>
            <w:gridSpan w:val="6"/>
          </w:tcPr>
          <w:p>
            <w:pPr>
              <w:jc w:val="right"/>
              <w:ind w:right="10"/>
              <w:spacing w:after="0"/>
              <w:rPr>
                <w:sz w:val="20"/>
                <w:szCs w:val="20"/>
                <w:color w:val="auto"/>
              </w:rPr>
            </w:pPr>
            <w:r>
              <w:rPr>
                <w:rFonts w:ascii="Arial" w:cs="Arial" w:eastAsia="Arial" w:hAnsi="Arial"/>
                <w:sz w:val="18"/>
                <w:szCs w:val="18"/>
                <w:b w:val="1"/>
                <w:bCs w:val="1"/>
                <w:color w:val="auto"/>
              </w:rPr>
              <w:t>Year ended December 31,</w:t>
            </w:r>
          </w:p>
        </w:tc>
        <w:tc>
          <w:tcPr>
            <w:tcW w:w="8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3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60"/>
              <w:spacing w:after="0"/>
              <w:rPr>
                <w:sz w:val="20"/>
                <w:szCs w:val="20"/>
                <w:color w:val="auto"/>
              </w:rPr>
            </w:pPr>
            <w:r>
              <w:rPr>
                <w:rFonts w:ascii="Arial" w:cs="Arial" w:eastAsia="Arial" w:hAnsi="Arial"/>
                <w:sz w:val="18"/>
                <w:szCs w:val="18"/>
                <w:color w:val="auto"/>
              </w:rPr>
              <w:t>Loss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(31,568)</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(32,203)</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(24,609)</w:t>
            </w:r>
          </w:p>
        </w:tc>
      </w:tr>
      <w:tr>
        <w:trPr>
          <w:trHeight w:val="216"/>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Adjustments required to reconcile loss to net cash used in operating activities:</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340"/>
              <w:spacing w:after="0"/>
              <w:rPr>
                <w:sz w:val="20"/>
                <w:szCs w:val="20"/>
                <w:color w:val="auto"/>
              </w:rPr>
            </w:pPr>
            <w:r>
              <w:rPr>
                <w:rFonts w:ascii="Arial" w:cs="Arial" w:eastAsia="Arial" w:hAnsi="Arial"/>
                <w:sz w:val="18"/>
                <w:szCs w:val="18"/>
                <w:color w:val="auto"/>
              </w:rPr>
              <w:t>Depreciation</w:t>
            </w:r>
          </w:p>
        </w:tc>
        <w:tc>
          <w:tcPr>
            <w:tcW w:w="240" w:type="dxa"/>
            <w:vAlign w:val="bottom"/>
          </w:tcPr>
          <w:p>
            <w:pPr>
              <w:spacing w:after="0"/>
              <w:rPr>
                <w:sz w:val="18"/>
                <w:szCs w:val="18"/>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8"/>
                <w:szCs w:val="18"/>
                <w:color w:val="auto"/>
              </w:rPr>
              <w:t>471</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762</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887</w:t>
            </w:r>
          </w:p>
        </w:tc>
      </w:tr>
      <w:tr>
        <w:trPr>
          <w:trHeight w:val="216"/>
        </w:trPr>
        <w:tc>
          <w:tcPr>
            <w:tcW w:w="7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Changes in accrued liability for employee rights upon retirement</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106</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w:t>
            </w:r>
          </w:p>
        </w:tc>
      </w:tr>
      <w:tr>
        <w:trPr>
          <w:trHeight w:val="216"/>
        </w:trPr>
        <w:tc>
          <w:tcPr>
            <w:tcW w:w="7320" w:type="dxa"/>
            <w:vAlign w:val="bottom"/>
          </w:tcPr>
          <w:p>
            <w:pPr>
              <w:ind w:left="340"/>
              <w:spacing w:after="0"/>
              <w:rPr>
                <w:sz w:val="20"/>
                <w:szCs w:val="20"/>
                <w:color w:val="auto"/>
              </w:rPr>
            </w:pPr>
            <w:r>
              <w:rPr>
                <w:rFonts w:ascii="Arial" w:cs="Arial" w:eastAsia="Arial" w:hAnsi="Arial"/>
                <w:sz w:val="18"/>
                <w:szCs w:val="18"/>
                <w:color w:val="auto"/>
              </w:rPr>
              <w:t>Share-based compensation</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3,974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4,654</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2,552</w:t>
            </w:r>
          </w:p>
        </w:tc>
      </w:tr>
      <w:tr>
        <w:trPr>
          <w:trHeight w:val="216"/>
        </w:trPr>
        <w:tc>
          <w:tcPr>
            <w:tcW w:w="7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changes in operating leases</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r>
      <w:tr>
        <w:trPr>
          <w:trHeight w:val="216"/>
        </w:trPr>
        <w:tc>
          <w:tcPr>
            <w:tcW w:w="7320" w:type="dxa"/>
            <w:vAlign w:val="bottom"/>
          </w:tcPr>
          <w:p>
            <w:pPr>
              <w:ind w:left="340"/>
              <w:spacing w:after="0"/>
              <w:rPr>
                <w:sz w:val="20"/>
                <w:szCs w:val="20"/>
                <w:color w:val="auto"/>
              </w:rPr>
            </w:pPr>
            <w:r>
              <w:rPr>
                <w:rFonts w:ascii="Arial" w:cs="Arial" w:eastAsia="Arial" w:hAnsi="Arial"/>
                <w:sz w:val="18"/>
                <w:szCs w:val="18"/>
                <w:color w:val="auto"/>
              </w:rPr>
              <w:t>Changes in fair value of marketable securities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29</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65</w:t>
            </w:r>
          </w:p>
        </w:tc>
      </w:tr>
      <w:tr>
        <w:trPr>
          <w:trHeight w:val="216"/>
        </w:trPr>
        <w:tc>
          <w:tcPr>
            <w:tcW w:w="7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In-process research and development acquired</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6,232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tcPr>
          <w:p>
            <w:pPr>
              <w:ind w:left="340"/>
              <w:spacing w:after="0"/>
              <w:rPr>
                <w:sz w:val="20"/>
                <w:szCs w:val="20"/>
                <w:color w:val="auto"/>
              </w:rPr>
            </w:pPr>
            <w:r>
              <w:rPr>
                <w:rFonts w:ascii="Arial" w:cs="Arial" w:eastAsia="Arial" w:hAnsi="Arial"/>
                <w:sz w:val="18"/>
                <w:szCs w:val="18"/>
                <w:color w:val="auto"/>
              </w:rPr>
              <w:t>Finance expenses, net</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(50)</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(34)</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r>
      <w:tr>
        <w:trPr>
          <w:trHeight w:val="216"/>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Changes in operating asset and liabilities:</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340"/>
              <w:spacing w:after="0"/>
              <w:rPr>
                <w:sz w:val="20"/>
                <w:szCs w:val="20"/>
                <w:color w:val="auto"/>
              </w:rPr>
            </w:pPr>
            <w:r>
              <w:rPr>
                <w:rFonts w:ascii="Arial" w:cs="Arial" w:eastAsia="Arial" w:hAnsi="Arial"/>
                <w:sz w:val="18"/>
                <w:szCs w:val="18"/>
                <w:color w:val="auto"/>
              </w:rPr>
              <w:t>Accounts receivable</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(4,120)</w:t>
            </w:r>
          </w:p>
        </w:tc>
      </w:tr>
      <w:tr>
        <w:trPr>
          <w:trHeight w:val="216"/>
        </w:trPr>
        <w:tc>
          <w:tcPr>
            <w:tcW w:w="7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Prepaid expenses and other current assets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(229)</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(1,463)</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1,694</w:t>
            </w:r>
          </w:p>
        </w:tc>
      </w:tr>
      <w:tr>
        <w:trPr>
          <w:trHeight w:val="216"/>
        </w:trPr>
        <w:tc>
          <w:tcPr>
            <w:tcW w:w="7320" w:type="dxa"/>
            <w:vAlign w:val="bottom"/>
          </w:tcPr>
          <w:p>
            <w:pPr>
              <w:ind w:left="340"/>
              <w:spacing w:after="0"/>
              <w:rPr>
                <w:sz w:val="20"/>
                <w:szCs w:val="20"/>
                <w:color w:val="auto"/>
              </w:rPr>
            </w:pPr>
            <w:r>
              <w:rPr>
                <w:rFonts w:ascii="Arial" w:cs="Arial" w:eastAsia="Arial" w:hAnsi="Arial"/>
                <w:sz w:val="18"/>
                <w:szCs w:val="18"/>
                <w:color w:val="auto"/>
              </w:rPr>
              <w:t>Accounts payable, accrued expenses and other</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(2,486)</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3,029</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938</w:t>
            </w:r>
          </w:p>
        </w:tc>
      </w:tr>
      <w:tr>
        <w:trPr>
          <w:trHeight w:val="216"/>
        </w:trPr>
        <w:tc>
          <w:tcPr>
            <w:tcW w:w="7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Long term receivables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(463)</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1,653</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7"/>
        </w:trPr>
        <w:tc>
          <w:tcPr>
            <w:tcW w:w="73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23"/>
        </w:trPr>
        <w:tc>
          <w:tcPr>
            <w:tcW w:w="7320" w:type="dxa"/>
            <w:vAlign w:val="bottom"/>
          </w:tcPr>
          <w:p>
            <w:pPr>
              <w:ind w:left="160"/>
              <w:spacing w:after="0"/>
              <w:rPr>
                <w:sz w:val="20"/>
                <w:szCs w:val="20"/>
                <w:color w:val="auto"/>
              </w:rPr>
            </w:pPr>
            <w:r>
              <w:rPr>
                <w:rFonts w:ascii="Arial" w:cs="Arial" w:eastAsia="Arial" w:hAnsi="Arial"/>
                <w:sz w:val="18"/>
                <w:szCs w:val="18"/>
                <w:color w:val="auto"/>
              </w:rPr>
              <w:t>Net cash used in operating activities</w:t>
            </w:r>
          </w:p>
        </w:tc>
        <w:tc>
          <w:tcPr>
            <w:tcW w:w="24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(24,089)</w:t>
            </w:r>
          </w:p>
        </w:tc>
        <w:tc>
          <w:tcPr>
            <w:tcW w:w="24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(23,467)</w:t>
            </w: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(22,500)</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60"/>
              <w:spacing w:after="0"/>
              <w:rPr>
                <w:sz w:val="20"/>
                <w:szCs w:val="20"/>
                <w:color w:val="auto"/>
              </w:rPr>
            </w:pPr>
            <w:r>
              <w:rPr>
                <w:rFonts w:ascii="Arial" w:cs="Arial" w:eastAsia="Arial" w:hAnsi="Arial"/>
                <w:sz w:val="18"/>
                <w:szCs w:val="18"/>
                <w:color w:val="auto"/>
              </w:rPr>
              <w:t>Purchase of property and equipment</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(1,925)</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(1,052)</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(597)</w:t>
            </w:r>
          </w:p>
        </w:tc>
      </w:tr>
      <w:tr>
        <w:trPr>
          <w:trHeight w:val="216"/>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Bank deposits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(4,000)</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3,000</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r>
      <w:tr>
        <w:trPr>
          <w:trHeight w:val="216"/>
        </w:trPr>
        <w:tc>
          <w:tcPr>
            <w:tcW w:w="7320" w:type="dxa"/>
            <w:vAlign w:val="bottom"/>
          </w:tcPr>
          <w:p>
            <w:pPr>
              <w:ind w:left="160"/>
              <w:spacing w:after="0"/>
              <w:rPr>
                <w:sz w:val="20"/>
                <w:szCs w:val="20"/>
                <w:color w:val="auto"/>
              </w:rPr>
            </w:pPr>
            <w:r>
              <w:rPr>
                <w:rFonts w:ascii="Arial" w:cs="Arial" w:eastAsia="Arial" w:hAnsi="Arial"/>
                <w:sz w:val="18"/>
                <w:szCs w:val="18"/>
                <w:color w:val="auto"/>
              </w:rPr>
              <w:t>Restricted long-term deposits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8</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r>
      <w:tr>
        <w:trPr>
          <w:trHeight w:val="216"/>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Investments in marketable securities</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(71,783)</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(38,702)</w:t>
            </w:r>
          </w:p>
        </w:tc>
      </w:tr>
      <w:tr>
        <w:trPr>
          <w:trHeight w:val="223"/>
        </w:trPr>
        <w:tc>
          <w:tcPr>
            <w:tcW w:w="7320" w:type="dxa"/>
            <w:vAlign w:val="bottom"/>
          </w:tcPr>
          <w:p>
            <w:pPr>
              <w:ind w:left="160"/>
              <w:spacing w:after="0"/>
              <w:rPr>
                <w:sz w:val="20"/>
                <w:szCs w:val="20"/>
                <w:color w:val="auto"/>
              </w:rPr>
            </w:pPr>
            <w:r>
              <w:rPr>
                <w:rFonts w:ascii="Arial" w:cs="Arial" w:eastAsia="Arial" w:hAnsi="Arial"/>
                <w:sz w:val="18"/>
                <w:szCs w:val="18"/>
                <w:color w:val="auto"/>
              </w:rPr>
              <w:t>Proceeds from sales and maturity of marketable securities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15,092</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54,333</w:t>
            </w:r>
          </w:p>
        </w:tc>
      </w:tr>
      <w:tr>
        <w:trPr>
          <w:trHeight w:val="223"/>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cash used in investing activities</w:t>
            </w:r>
          </w:p>
        </w:tc>
        <w:tc>
          <w:tcPr>
            <w:tcW w:w="240" w:type="dxa"/>
            <w:vAlign w:val="bottom"/>
            <w:tcBorders>
              <w:top w:val="single" w:sz="8" w:color="auto"/>
            </w:tcBorders>
            <w:shd w:val="clear" w:color="auto" w:fill="CCEEFF"/>
          </w:tcPr>
          <w:p>
            <w:pPr>
              <w:spacing w:after="0"/>
              <w:rPr>
                <w:sz w:val="19"/>
                <w:szCs w:val="19"/>
                <w:color w:val="auto"/>
              </w:rPr>
            </w:pPr>
          </w:p>
        </w:tc>
        <w:tc>
          <w:tcPr>
            <w:tcW w:w="9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(5,938)</w:t>
            </w:r>
          </w:p>
        </w:tc>
        <w:tc>
          <w:tcPr>
            <w:tcW w:w="220" w:type="dxa"/>
            <w:vAlign w:val="bottom"/>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(54,735)</w:t>
            </w:r>
          </w:p>
        </w:tc>
        <w:tc>
          <w:tcPr>
            <w:tcW w:w="220" w:type="dxa"/>
            <w:vAlign w:val="bottom"/>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16,024</w:t>
            </w:r>
          </w:p>
        </w:tc>
        <w:tc>
          <w:tcPr>
            <w:tcW w:w="100" w:type="dxa"/>
            <w:vAlign w:val="bottom"/>
            <w:shd w:val="clear" w:color="auto" w:fill="CCEEFF"/>
          </w:tcPr>
          <w:p>
            <w:pPr>
              <w:spacing w:after="0"/>
              <w:rPr>
                <w:sz w:val="19"/>
                <w:szCs w:val="19"/>
                <w:color w:val="auto"/>
              </w:rPr>
            </w:pPr>
          </w:p>
        </w:tc>
      </w:tr>
      <w:tr>
        <w:trPr>
          <w:trHeight w:val="216"/>
        </w:trPr>
        <w:tc>
          <w:tcPr>
            <w:tcW w:w="732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Proceeds from exercise of options granted to an employee</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320" w:type="dxa"/>
            <w:vAlign w:val="bottom"/>
          </w:tcPr>
          <w:p>
            <w:pPr>
              <w:ind w:left="140"/>
              <w:spacing w:after="0"/>
              <w:rPr>
                <w:sz w:val="20"/>
                <w:szCs w:val="20"/>
                <w:color w:val="auto"/>
              </w:rPr>
            </w:pPr>
            <w:r>
              <w:rPr>
                <w:rFonts w:ascii="Arial" w:cs="Arial" w:eastAsia="Arial" w:hAnsi="Arial"/>
                <w:sz w:val="18"/>
                <w:szCs w:val="18"/>
                <w:color w:val="auto"/>
              </w:rPr>
              <w:t>Proceeds from issuance of shares through public offering, net of issuance costs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78,775</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10,613</w:t>
            </w:r>
          </w:p>
        </w:tc>
      </w:tr>
      <w:tr>
        <w:trPr>
          <w:trHeight w:val="216"/>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Loans received from the controlling shareholder</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28,000</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7"/>
        </w:trPr>
        <w:tc>
          <w:tcPr>
            <w:tcW w:w="73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23"/>
        </w:trPr>
        <w:tc>
          <w:tcPr>
            <w:tcW w:w="7320" w:type="dxa"/>
            <w:vAlign w:val="bottom"/>
          </w:tcPr>
          <w:p>
            <w:pPr>
              <w:ind w:left="160"/>
              <w:spacing w:after="0"/>
              <w:rPr>
                <w:sz w:val="20"/>
                <w:szCs w:val="20"/>
                <w:color w:val="auto"/>
              </w:rPr>
            </w:pPr>
            <w:r>
              <w:rPr>
                <w:rFonts w:ascii="Arial" w:cs="Arial" w:eastAsia="Arial" w:hAnsi="Arial"/>
                <w:sz w:val="18"/>
                <w:szCs w:val="18"/>
                <w:color w:val="auto"/>
              </w:rPr>
              <w:t>Net cash provided by financing activities</w:t>
            </w:r>
          </w:p>
        </w:tc>
        <w:tc>
          <w:tcPr>
            <w:tcW w:w="24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28,000</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78,819</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10,613</w:t>
            </w:r>
          </w:p>
        </w:tc>
      </w:tr>
      <w:tr>
        <w:trPr>
          <w:trHeight w:val="216"/>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EFFECT OF EXCHANGE RATE ON CASH AND CASH EQUIVALENTS</w:t>
            </w:r>
          </w:p>
        </w:tc>
        <w:tc>
          <w:tcPr>
            <w:tcW w:w="2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2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r>
      <w:tr>
        <w:trPr>
          <w:trHeight w:val="223"/>
        </w:trPr>
        <w:tc>
          <w:tcPr>
            <w:tcW w:w="7320" w:type="dxa"/>
            <w:vAlign w:val="bottom"/>
          </w:tcPr>
          <w:p>
            <w:pPr>
              <w:spacing w:after="0"/>
              <w:rPr>
                <w:sz w:val="20"/>
                <w:szCs w:val="20"/>
                <w:color w:val="auto"/>
              </w:rPr>
            </w:pPr>
            <w:r>
              <w:rPr>
                <w:rFonts w:ascii="Arial" w:cs="Arial" w:eastAsia="Arial" w:hAnsi="Arial"/>
                <w:sz w:val="18"/>
                <w:szCs w:val="18"/>
                <w:b w:val="1"/>
                <w:bCs w:val="1"/>
                <w:color w:val="auto"/>
              </w:rPr>
              <w:t>INCREASE (DECREASE) IN CASH AND CASH EQUIVALENTS</w:t>
            </w:r>
          </w:p>
        </w:tc>
        <w:tc>
          <w:tcPr>
            <w:tcW w:w="24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(1,977)</w:t>
            </w: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651</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4,087</w:t>
            </w:r>
          </w:p>
        </w:tc>
      </w:tr>
      <w:tr>
        <w:trPr>
          <w:trHeight w:val="198"/>
        </w:trPr>
        <w:tc>
          <w:tcPr>
            <w:tcW w:w="7320" w:type="dxa"/>
            <w:vAlign w:val="bottom"/>
            <w:shd w:val="clear" w:color="auto" w:fill="CCEEFF"/>
          </w:tcPr>
          <w:p>
            <w:pPr>
              <w:spacing w:after="0" w:line="198" w:lineRule="exact"/>
              <w:rPr>
                <w:sz w:val="20"/>
                <w:szCs w:val="20"/>
                <w:color w:val="auto"/>
              </w:rPr>
            </w:pPr>
            <w:r>
              <w:rPr>
                <w:rFonts w:ascii="Arial" w:cs="Arial" w:eastAsia="Arial" w:hAnsi="Arial"/>
                <w:sz w:val="18"/>
                <w:szCs w:val="18"/>
                <w:b w:val="1"/>
                <w:bCs w:val="1"/>
                <w:color w:val="auto"/>
              </w:rPr>
              <w:t>CASH AND CASH EQUIVALENTS AND RESRICTED CASH AT BEGINNING OF THE</w:t>
            </w:r>
          </w:p>
        </w:tc>
        <w:tc>
          <w:tcPr>
            <w:tcW w:w="2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732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YEAR</w:t>
            </w:r>
          </w:p>
        </w:tc>
        <w:tc>
          <w:tcPr>
            <w:tcW w:w="240" w:type="dxa"/>
            <w:vAlign w:val="bottom"/>
            <w:shd w:val="clear" w:color="auto" w:fill="CCEEFF"/>
          </w:tcPr>
          <w:p>
            <w:pPr>
              <w:spacing w:after="0"/>
              <w:rPr>
                <w:sz w:val="20"/>
                <w:szCs w:val="20"/>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7,001</w:t>
            </w: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5,024</w:t>
            </w:r>
          </w:p>
        </w:tc>
        <w:tc>
          <w:tcPr>
            <w:tcW w:w="28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5,675</w:t>
            </w:r>
          </w:p>
        </w:tc>
      </w:tr>
      <w:tr>
        <w:trPr>
          <w:trHeight w:val="216"/>
        </w:trPr>
        <w:tc>
          <w:tcPr>
            <w:tcW w:w="7320" w:type="dxa"/>
            <w:vAlign w:val="bottom"/>
          </w:tcPr>
          <w:p>
            <w:pPr>
              <w:spacing w:after="0"/>
              <w:rPr>
                <w:sz w:val="20"/>
                <w:szCs w:val="20"/>
                <w:color w:val="auto"/>
              </w:rPr>
            </w:pPr>
            <w:r>
              <w:rPr>
                <w:rFonts w:ascii="Arial" w:cs="Arial" w:eastAsia="Arial" w:hAnsi="Arial"/>
                <w:sz w:val="18"/>
                <w:szCs w:val="18"/>
                <w:b w:val="1"/>
                <w:bCs w:val="1"/>
                <w:color w:val="auto"/>
              </w:rPr>
              <w:t>CASH AND CASH EQUIVALENTS AND RESTRICTED CASH AT END OF THE YEAR</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5,024</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5,675</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9,762</w:t>
            </w:r>
          </w:p>
        </w:tc>
      </w:tr>
      <w:tr>
        <w:trPr>
          <w:trHeight w:val="20"/>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5,024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5,325</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9,412</w:t>
            </w:r>
          </w:p>
        </w:tc>
      </w:tr>
      <w:tr>
        <w:trPr>
          <w:trHeight w:val="223"/>
        </w:trPr>
        <w:tc>
          <w:tcPr>
            <w:tcW w:w="7320" w:type="dxa"/>
            <w:vAlign w:val="bottom"/>
            <w:shd w:val="clear" w:color="auto" w:fill="CCEEFF"/>
          </w:tcPr>
          <w:p>
            <w:pPr>
              <w:spacing w:after="0"/>
              <w:rPr>
                <w:sz w:val="20"/>
                <w:szCs w:val="20"/>
                <w:color w:val="auto"/>
              </w:rPr>
            </w:pPr>
            <w:r>
              <w:rPr>
                <w:rFonts w:ascii="Arial" w:cs="Arial" w:eastAsia="Arial" w:hAnsi="Arial"/>
                <w:sz w:val="18"/>
                <w:szCs w:val="18"/>
                <w:color w:val="auto"/>
              </w:rPr>
              <w:t>Restricted cash</w:t>
            </w:r>
          </w:p>
        </w:tc>
        <w:tc>
          <w:tcPr>
            <w:tcW w:w="240" w:type="dxa"/>
            <w:vAlign w:val="bottom"/>
            <w:shd w:val="clear" w:color="auto" w:fill="CCEEFF"/>
          </w:tcPr>
          <w:p>
            <w:pPr>
              <w:spacing w:after="0"/>
              <w:rPr>
                <w:sz w:val="19"/>
                <w:szCs w:val="19"/>
                <w:color w:val="auto"/>
              </w:rPr>
            </w:pP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350</w:t>
            </w: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350</w:t>
            </w:r>
          </w:p>
        </w:tc>
      </w:tr>
      <w:tr>
        <w:trPr>
          <w:trHeight w:val="198"/>
        </w:trPr>
        <w:tc>
          <w:tcPr>
            <w:tcW w:w="7320" w:type="dxa"/>
            <w:vAlign w:val="bottom"/>
            <w:tcBorders>
              <w:top w:val="single" w:sz="8" w:color="CCEEFF"/>
            </w:tcBorders>
          </w:tcPr>
          <w:p>
            <w:pPr>
              <w:spacing w:after="0" w:line="198" w:lineRule="exact"/>
              <w:rPr>
                <w:sz w:val="20"/>
                <w:szCs w:val="20"/>
                <w:color w:val="auto"/>
              </w:rPr>
            </w:pPr>
            <w:r>
              <w:rPr>
                <w:rFonts w:ascii="Arial" w:cs="Arial" w:eastAsia="Arial" w:hAnsi="Arial"/>
                <w:sz w:val="18"/>
                <w:szCs w:val="18"/>
                <w:b w:val="1"/>
                <w:bCs w:val="1"/>
                <w:color w:val="auto"/>
              </w:rPr>
              <w:t>CASH AND CASH EQUIVALENTS AND RESTRICTED CASH SHOWN IN STATEMENT</w:t>
            </w:r>
          </w:p>
        </w:tc>
        <w:tc>
          <w:tcPr>
            <w:tcW w:w="2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34"/>
        </w:trPr>
        <w:tc>
          <w:tcPr>
            <w:tcW w:w="7320" w:type="dxa"/>
            <w:vAlign w:val="bottom"/>
          </w:tcPr>
          <w:p>
            <w:pPr>
              <w:ind w:left="160"/>
              <w:spacing w:after="0"/>
              <w:rPr>
                <w:sz w:val="20"/>
                <w:szCs w:val="20"/>
                <w:color w:val="auto"/>
              </w:rPr>
            </w:pPr>
            <w:r>
              <w:rPr>
                <w:rFonts w:ascii="Arial" w:cs="Arial" w:eastAsia="Arial" w:hAnsi="Arial"/>
                <w:sz w:val="18"/>
                <w:szCs w:val="18"/>
                <w:b w:val="1"/>
                <w:bCs w:val="1"/>
                <w:color w:val="auto"/>
              </w:rPr>
              <w:t>OF CASH FLOWS</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5,024</w:t>
            </w:r>
          </w:p>
        </w:tc>
        <w:tc>
          <w:tcPr>
            <w:tcW w:w="22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5,675</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9,762</w:t>
            </w:r>
          </w:p>
        </w:tc>
      </w:tr>
      <w:tr>
        <w:trPr>
          <w:trHeight w:val="20"/>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198"/>
        </w:trPr>
        <w:tc>
          <w:tcPr>
            <w:tcW w:w="7320" w:type="dxa"/>
            <w:vAlign w:val="bottom"/>
          </w:tcPr>
          <w:p>
            <w:pPr>
              <w:spacing w:after="0" w:line="198" w:lineRule="exact"/>
              <w:rPr>
                <w:sz w:val="20"/>
                <w:szCs w:val="20"/>
                <w:color w:val="auto"/>
              </w:rPr>
            </w:pPr>
            <w:r>
              <w:rPr>
                <w:rFonts w:ascii="Arial" w:cs="Arial" w:eastAsia="Arial" w:hAnsi="Arial"/>
                <w:sz w:val="18"/>
                <w:szCs w:val="18"/>
                <w:b w:val="1"/>
                <w:bCs w:val="1"/>
                <w:color w:val="auto"/>
              </w:rPr>
              <w:t>SUPPLEMENTARY INFORMATION ON INVESTING AND FINANCING ACTIVITIES</w:t>
            </w: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7320" w:type="dxa"/>
            <w:vAlign w:val="bottom"/>
          </w:tcPr>
          <w:p>
            <w:pPr>
              <w:ind w:left="160"/>
              <w:spacing w:after="0"/>
              <w:rPr>
                <w:sz w:val="20"/>
                <w:szCs w:val="20"/>
                <w:color w:val="auto"/>
              </w:rPr>
            </w:pPr>
            <w:r>
              <w:rPr>
                <w:rFonts w:ascii="Arial" w:cs="Arial" w:eastAsia="Arial" w:hAnsi="Arial"/>
                <w:sz w:val="18"/>
                <w:szCs w:val="18"/>
                <w:b w:val="1"/>
                <w:bCs w:val="1"/>
                <w:color w:val="auto"/>
              </w:rPr>
              <w:t>NOT INVOLVING CASH FLOWS:</w:t>
            </w: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56"/>
        </w:trPr>
        <w:tc>
          <w:tcPr>
            <w:tcW w:w="73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 of property and equipment</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2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7320" w:type="dxa"/>
            <w:vAlign w:val="bottom"/>
            <w:tcBorders>
              <w:top w:val="single" w:sz="8" w:color="CCEEFF"/>
            </w:tcBorders>
          </w:tcPr>
          <w:p>
            <w:pPr>
              <w:ind w:left="180"/>
              <w:spacing w:after="0"/>
              <w:rPr>
                <w:sz w:val="20"/>
                <w:szCs w:val="20"/>
                <w:color w:val="auto"/>
              </w:rPr>
            </w:pPr>
            <w:r>
              <w:rPr>
                <w:rFonts w:ascii="Arial" w:cs="Arial" w:eastAsia="Arial" w:hAnsi="Arial"/>
                <w:sz w:val="18"/>
                <w:szCs w:val="18"/>
                <w:color w:val="auto"/>
              </w:rPr>
              <w:t>Obtaining a right-of-use asset in exchange for a lease liability</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1,329</w:t>
            </w:r>
          </w:p>
        </w:tc>
        <w:tc>
          <w:tcPr>
            <w:tcW w:w="100" w:type="dxa"/>
            <w:vAlign w:val="bottom"/>
            <w:tcBorders>
              <w:top w:val="single" w:sz="8" w:color="CCEEFF"/>
            </w:tcBorders>
          </w:tcPr>
          <w:p>
            <w:pPr>
              <w:spacing w:after="0"/>
              <w:rPr>
                <w:sz w:val="18"/>
                <w:szCs w:val="18"/>
                <w:color w:val="auto"/>
              </w:rPr>
            </w:pPr>
          </w:p>
        </w:tc>
      </w:tr>
      <w:tr>
        <w:trPr>
          <w:trHeight w:val="20"/>
        </w:trPr>
        <w:tc>
          <w:tcPr>
            <w:tcW w:w="73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Conversion of loans from the controlling shareholder</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65,338</w:t>
            </w:r>
          </w:p>
        </w:tc>
        <w:tc>
          <w:tcPr>
            <w:tcW w:w="2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09"/>
        </w:trPr>
        <w:tc>
          <w:tcPr>
            <w:tcW w:w="7320" w:type="dxa"/>
            <w:vAlign w:val="bottom"/>
          </w:tcPr>
          <w:p>
            <w:pPr>
              <w:ind w:left="180"/>
              <w:spacing w:after="0"/>
              <w:rPr>
                <w:sz w:val="20"/>
                <w:szCs w:val="20"/>
                <w:color w:val="auto"/>
              </w:rPr>
            </w:pPr>
            <w:r>
              <w:rPr>
                <w:rFonts w:ascii="Arial" w:cs="Arial" w:eastAsia="Arial" w:hAnsi="Arial"/>
                <w:sz w:val="18"/>
                <w:szCs w:val="18"/>
                <w:color w:val="auto"/>
              </w:rPr>
              <w:t>Acquisition of in-process research and development product candidate</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6,232</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73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SUPPLEMENTARY INFORMATION:</w:t>
            </w:r>
          </w:p>
        </w:tc>
        <w:tc>
          <w:tcPr>
            <w:tcW w:w="240" w:type="dxa"/>
            <w:vAlign w:val="bottom"/>
            <w:shd w:val="clear" w:color="auto" w:fill="CCEEFF"/>
          </w:tcPr>
          <w:p>
            <w:pPr>
              <w:spacing w:after="0"/>
              <w:rPr>
                <w:sz w:val="18"/>
                <w:szCs w:val="18"/>
                <w:color w:val="auto"/>
              </w:rPr>
            </w:pPr>
          </w:p>
        </w:tc>
        <w:tc>
          <w:tcPr>
            <w:tcW w:w="9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80"/>
              <w:spacing w:after="0"/>
              <w:rPr>
                <w:sz w:val="20"/>
                <w:szCs w:val="20"/>
                <w:color w:val="auto"/>
              </w:rPr>
            </w:pPr>
            <w:r>
              <w:rPr>
                <w:rFonts w:ascii="Arial" w:cs="Arial" w:eastAsia="Arial" w:hAnsi="Arial"/>
                <w:sz w:val="18"/>
                <w:szCs w:val="18"/>
                <w:color w:val="auto"/>
              </w:rPr>
              <w:t>Interest received</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1,477</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1,600</w:t>
            </w:r>
          </w:p>
        </w:tc>
      </w:tr>
      <w:tr>
        <w:trPr>
          <w:trHeight w:val="20"/>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62" w:lineRule="exact"/>
        <w:rPr>
          <w:sz w:val="20"/>
          <w:szCs w:val="20"/>
          <w:color w:val="auto"/>
        </w:rPr>
      </w:pPr>
    </w:p>
    <w:p>
      <w:pPr>
        <w:spacing w:after="0"/>
        <w:rPr>
          <w:sz w:val="20"/>
          <w:szCs w:val="20"/>
          <w:color w:val="auto"/>
        </w:rPr>
      </w:pPr>
      <w:r>
        <w:rPr>
          <w:rFonts w:ascii="Arial" w:cs="Arial" w:eastAsia="Arial" w:hAnsi="Arial"/>
          <w:sz w:val="22"/>
          <w:szCs w:val="22"/>
          <w:color w:val="auto"/>
        </w:rPr>
        <w:t>The accompanying notes are an integral part of these consolidated financial statements.</w:t>
      </w:r>
    </w:p>
    <w:p>
      <w:pPr>
        <w:sectPr>
          <w:pgSz w:w="11900" w:h="16838" w:orient="portrait"/>
          <w:cols w:equalWidth="0" w:num="1">
            <w:col w:w="11240"/>
          </w:cols>
          <w:pgMar w:left="320" w:top="126" w:right="339" w:bottom="1440" w:gutter="0" w:footer="0" w:header="0"/>
        </w:sect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157" w:name="page158"/>
    <w:bookmarkEnd w:id="157"/>
    <w:p>
      <w:pPr>
        <w:jc w:val="center"/>
        <w:ind w:left="360" w:right="2500"/>
        <w:spacing w:after="0" w:line="269" w:lineRule="auto"/>
        <w:rPr>
          <w:sz w:val="20"/>
          <w:szCs w:val="20"/>
          <w:color w:val="auto"/>
        </w:rPr>
      </w:pPr>
      <w:r>
        <w:rPr>
          <w:rFonts w:ascii="Arial" w:cs="Arial" w:eastAsia="Arial" w:hAnsi="Arial"/>
          <w:sz w:val="22"/>
          <w:szCs w:val="22"/>
          <w:b w:val="1"/>
          <w:bCs w:val="1"/>
          <w:color w:val="auto"/>
        </w:rPr>
        <w:t xml:space="preserve">SOL-GEL TECHNOLOGIES LTD. NOTES TO THE CONSOLIDATED FINANCIAL STATEMENTS </w:t>
      </w:r>
      <w:r>
        <w:rPr>
          <w:rFonts w:ascii="Arial" w:cs="Arial" w:eastAsia="Arial" w:hAnsi="Arial"/>
          <w:sz w:val="22"/>
          <w:szCs w:val="22"/>
          <w:color w:val="auto"/>
        </w:rPr>
        <w:t>(U.S. dollars in thousands, except share and per share amounts)</w:t>
      </w: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1 — NATURE OF OPERATIONS</w:t>
      </w:r>
    </w:p>
    <w:p>
      <w:pPr>
        <w:spacing w:after="0" w:line="293" w:lineRule="exact"/>
        <w:rPr>
          <w:sz w:val="20"/>
          <w:szCs w:val="20"/>
          <w:color w:val="auto"/>
        </w:rPr>
      </w:pPr>
    </w:p>
    <w:p>
      <w:pPr>
        <w:ind w:left="360"/>
        <w:spacing w:after="0"/>
        <w:rPr>
          <w:sz w:val="20"/>
          <w:szCs w:val="20"/>
          <w:color w:val="auto"/>
        </w:rPr>
      </w:pPr>
      <w:r>
        <w:rPr>
          <w:rFonts w:ascii="Arial" w:cs="Arial" w:eastAsia="Arial" w:hAnsi="Arial"/>
          <w:sz w:val="21"/>
          <w:szCs w:val="21"/>
          <w:color w:val="auto"/>
        </w:rPr>
        <w:t>Sol-Gel Technologies Ltd. (collectively with its subsidiary, the Company) is an Israeli Company incorporated in 1997.</w:t>
      </w:r>
    </w:p>
    <w:p>
      <w:pPr>
        <w:spacing w:after="0" w:line="299" w:lineRule="exact"/>
        <w:rPr>
          <w:sz w:val="20"/>
          <w:szCs w:val="20"/>
          <w:color w:val="auto"/>
        </w:rPr>
      </w:pPr>
    </w:p>
    <w:p>
      <w:pPr>
        <w:ind w:left="360" w:right="260"/>
        <w:spacing w:after="0" w:line="279" w:lineRule="auto"/>
        <w:rPr>
          <w:sz w:val="20"/>
          <w:szCs w:val="20"/>
          <w:color w:val="auto"/>
        </w:rPr>
      </w:pPr>
      <w:r>
        <w:rPr>
          <w:rFonts w:ascii="Arial" w:cs="Arial" w:eastAsia="Arial" w:hAnsi="Arial"/>
          <w:sz w:val="21"/>
          <w:szCs w:val="21"/>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In addition to these novel product candidates, the Company’s product pipeline includes generic product candidates.</w:t>
      </w:r>
    </w:p>
    <w:p>
      <w:pPr>
        <w:spacing w:after="0" w:line="227" w:lineRule="exact"/>
        <w:rPr>
          <w:sz w:val="20"/>
          <w:szCs w:val="20"/>
          <w:color w:val="auto"/>
        </w:rPr>
      </w:pPr>
    </w:p>
    <w:p>
      <w:pPr>
        <w:ind w:left="360" w:right="320"/>
        <w:spacing w:after="0" w:line="276" w:lineRule="auto"/>
        <w:rPr>
          <w:sz w:val="20"/>
          <w:szCs w:val="20"/>
          <w:color w:val="auto"/>
        </w:rPr>
      </w:pPr>
      <w:r>
        <w:rPr>
          <w:rFonts w:ascii="Arial" w:cs="Arial" w:eastAsia="Arial" w:hAnsi="Arial"/>
          <w:sz w:val="22"/>
          <w:szCs w:val="22"/>
          <w:color w:val="auto"/>
        </w:rPr>
        <w:t>On August 4, 2014, 100% of the Company’s shares were acquired by its current controlling shareholder (the “Controlling Shareholder”).</w:t>
      </w:r>
    </w:p>
    <w:p>
      <w:pPr>
        <w:spacing w:after="0" w:line="228" w:lineRule="exact"/>
        <w:rPr>
          <w:sz w:val="20"/>
          <w:szCs w:val="20"/>
          <w:color w:val="auto"/>
        </w:rPr>
      </w:pPr>
    </w:p>
    <w:p>
      <w:pPr>
        <w:ind w:left="360" w:right="180"/>
        <w:spacing w:after="0" w:line="262" w:lineRule="auto"/>
        <w:rPr>
          <w:sz w:val="20"/>
          <w:szCs w:val="20"/>
          <w:color w:val="auto"/>
        </w:rPr>
      </w:pPr>
      <w:r>
        <w:rPr>
          <w:rFonts w:ascii="Arial" w:cs="Arial" w:eastAsia="Arial" w:hAnsi="Arial"/>
          <w:sz w:val="22"/>
          <w:szCs w:val="22"/>
          <w:color w:val="auto"/>
        </w:rPr>
        <w:t>In January 2018, the Company completed an Initial Public Offering ("IPO") on the NASDAQ Stock Market, in which it issued 6,250,000 Ordinary shares at a price per share of $12. During February 2018 the underwriters exercised their green shoe option and purchased additional 937,500 ordinary shares at the same price per share. The total proceeds received from the IPO, net of issuance costs, were approximately $78.8 million.</w:t>
      </w:r>
    </w:p>
    <w:p>
      <w:pPr>
        <w:spacing w:after="0" w:line="245" w:lineRule="exact"/>
        <w:rPr>
          <w:sz w:val="20"/>
          <w:szCs w:val="20"/>
          <w:color w:val="auto"/>
        </w:rPr>
      </w:pPr>
    </w:p>
    <w:p>
      <w:pPr>
        <w:ind w:left="360"/>
        <w:spacing w:after="0" w:line="358" w:lineRule="auto"/>
        <w:rPr>
          <w:sz w:val="20"/>
          <w:szCs w:val="20"/>
          <w:color w:val="auto"/>
        </w:rPr>
      </w:pPr>
      <w:r>
        <w:rPr>
          <w:rFonts w:ascii="Arial" w:cs="Arial" w:eastAsia="Arial" w:hAnsi="Arial"/>
          <w:sz w:val="19"/>
          <w:szCs w:val="19"/>
          <w:color w:val="auto"/>
        </w:rPr>
        <w:t>Immediately prior to the closing of the IPO, the outstanding promissory note received from the Controlling Shareholder were automatically converted into 5,444,825 Ordinary shares of the Company based on the IPO price of $12 per ordinary share.</w:t>
      </w:r>
    </w:p>
    <w:p>
      <w:pPr>
        <w:spacing w:after="0" w:line="158" w:lineRule="exact"/>
        <w:rPr>
          <w:sz w:val="20"/>
          <w:szCs w:val="20"/>
          <w:color w:val="auto"/>
        </w:rPr>
      </w:pPr>
    </w:p>
    <w:p>
      <w:pPr>
        <w:ind w:left="360" w:right="280"/>
        <w:spacing w:after="0" w:line="276" w:lineRule="auto"/>
        <w:rPr>
          <w:sz w:val="20"/>
          <w:szCs w:val="20"/>
          <w:color w:val="auto"/>
        </w:rPr>
      </w:pPr>
      <w:r>
        <w:rPr>
          <w:rFonts w:ascii="Arial" w:cs="Arial" w:eastAsia="Arial" w:hAnsi="Arial"/>
          <w:sz w:val="22"/>
          <w:szCs w:val="22"/>
          <w:color w:val="auto"/>
        </w:rPr>
        <w:t>In August 2019, the Company completed an underwritten follow-on public offering, in which it issued 1,437,500 ordinary shares at a price per share of $8 for a total net proceeds of approximately $10.6 million.</w:t>
      </w:r>
    </w:p>
    <w:p>
      <w:pPr>
        <w:spacing w:after="0" w:line="228" w:lineRule="exact"/>
        <w:rPr>
          <w:sz w:val="20"/>
          <w:szCs w:val="20"/>
          <w:color w:val="auto"/>
        </w:rPr>
      </w:pPr>
    </w:p>
    <w:p>
      <w:pPr>
        <w:ind w:left="360" w:right="320"/>
        <w:spacing w:after="0" w:line="262" w:lineRule="auto"/>
        <w:rPr>
          <w:sz w:val="20"/>
          <w:szCs w:val="20"/>
          <w:color w:val="auto"/>
        </w:rPr>
      </w:pPr>
      <w:r>
        <w:rPr>
          <w:rFonts w:ascii="Arial" w:cs="Arial" w:eastAsia="Arial" w:hAnsi="Arial"/>
          <w:sz w:val="22"/>
          <w:szCs w:val="22"/>
          <w:color w:val="auto"/>
        </w:rPr>
        <w:t>In 2018, the Company incorporated a wholly owned U.S. subsidiary - Sol-Gel Technologies Inc. (the "Subsidiary"). The Subsidiary commenced operations in 2019 and will support the Company with regard to marketing, regulatory affairs and business development relating to its products and technology in the U.S. The Subsidiary is consolidated as part of the Company’s financial statements commencing January 1, 2019.</w:t>
      </w:r>
    </w:p>
    <w:p>
      <w:pPr>
        <w:spacing w:after="0" w:line="245" w:lineRule="exact"/>
        <w:rPr>
          <w:sz w:val="20"/>
          <w:szCs w:val="20"/>
          <w:color w:val="auto"/>
        </w:rPr>
      </w:pPr>
    </w:p>
    <w:p>
      <w:pPr>
        <w:ind w:left="360" w:right="40"/>
        <w:spacing w:after="0" w:line="304" w:lineRule="auto"/>
        <w:rPr>
          <w:sz w:val="20"/>
          <w:szCs w:val="20"/>
          <w:color w:val="auto"/>
        </w:rPr>
      </w:pPr>
      <w:r>
        <w:rPr>
          <w:rFonts w:ascii="Arial" w:cs="Arial" w:eastAsia="Arial" w:hAnsi="Arial"/>
          <w:sz w:val="19"/>
          <w:szCs w:val="19"/>
          <w:color w:val="auto"/>
        </w:rPr>
        <w:t>Since incorporation through December 31, 2019, the Company has an accumulated deficit of approximately $152,073 thousand and its activities have been funded mainly by its shareholders and collaboration revenues. The Company expects to continue to incur significant research and development and other costs related to its ongoing operations and in order to continue its future operations, the Company will need to obtain additional funding until becoming profitable. Subsequent to December 31, 2019, the Company issued additional ordinary shares and warrants for a net consideration of approximately $21.5 million. In addition, the Company signed a private placement agreement with its Controlling Shareholder for issuance of additional ordinary shares and warrants for a net consideration of approximately $5 million, see also note 12. The Company's cash and cash equivalents and marketable securities as of December 31, 2019, together with the additional proceeds from the follow-on public offering will allow the Company to fund its operating plan through at least the next 12 months from the financial statements issuance date.</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126" w:right="379" w:bottom="1440" w:gutter="0" w:footer="0" w:header="0"/>
        </w:sectPr>
      </w:pPr>
    </w:p>
    <w:bookmarkStart w:id="158" w:name="page159"/>
    <w:bookmarkEnd w:id="158"/>
    <w:p>
      <w:pPr>
        <w:jc w:val="center"/>
        <w:ind w:right="-1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2 — SIGNIFICANT ACCOUNTING POLICIES</w:t>
      </w:r>
    </w:p>
    <w:p>
      <w:pPr>
        <w:spacing w:after="0" w:line="283" w:lineRule="exact"/>
        <w:rPr>
          <w:sz w:val="20"/>
          <w:szCs w:val="20"/>
          <w:color w:val="auto"/>
        </w:rPr>
      </w:pPr>
    </w:p>
    <w:p>
      <w:pPr>
        <w:ind w:left="680" w:hanging="321"/>
        <w:spacing w:after="0"/>
        <w:tabs>
          <w:tab w:leader="none" w:pos="680" w:val="left"/>
        </w:tabs>
        <w:numPr>
          <w:ilvl w:val="0"/>
          <w:numId w:val="14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289" w:lineRule="exact"/>
        <w:rPr>
          <w:sz w:val="20"/>
          <w:szCs w:val="20"/>
          <w:color w:val="auto"/>
        </w:rPr>
      </w:pPr>
    </w:p>
    <w:p>
      <w:pPr>
        <w:ind w:left="700" w:right="160"/>
        <w:spacing w:after="0" w:line="276" w:lineRule="auto"/>
        <w:rPr>
          <w:sz w:val="20"/>
          <w:szCs w:val="20"/>
          <w:color w:val="auto"/>
        </w:rPr>
      </w:pPr>
      <w:r>
        <w:rPr>
          <w:rFonts w:ascii="Arial" w:cs="Arial" w:eastAsia="Arial" w:hAnsi="Arial"/>
          <w:sz w:val="22"/>
          <w:szCs w:val="22"/>
          <w:color w:val="auto"/>
        </w:rPr>
        <w:t>The Company’s financial statements have been prepared in accordance with generally accepted accounting principles in the United States of America (“U.S. GAAP”).</w:t>
      </w:r>
    </w:p>
    <w:p>
      <w:pPr>
        <w:spacing w:after="0" w:line="218"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5"/>
          <w:szCs w:val="15"/>
          <w:b w:val="1"/>
          <w:bCs w:val="1"/>
          <w:color w:val="auto"/>
        </w:rPr>
        <w:t>Use of estimates in the preparation of financial statements</w:t>
      </w:r>
    </w:p>
    <w:p>
      <w:pPr>
        <w:spacing w:after="0" w:line="289" w:lineRule="exact"/>
        <w:rPr>
          <w:sz w:val="20"/>
          <w:szCs w:val="20"/>
          <w:color w:val="auto"/>
        </w:rPr>
      </w:pPr>
    </w:p>
    <w:p>
      <w:pPr>
        <w:ind w:left="700" w:right="160"/>
        <w:spacing w:after="0" w:line="262" w:lineRule="auto"/>
        <w:rPr>
          <w:sz w:val="20"/>
          <w:szCs w:val="20"/>
          <w:color w:val="auto"/>
        </w:rPr>
      </w:pPr>
      <w:r>
        <w:rPr>
          <w:rFonts w:ascii="Arial" w:cs="Arial" w:eastAsia="Arial" w:hAnsi="Arial"/>
          <w:sz w:val="22"/>
          <w:szCs w:val="22"/>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245" w:lineRule="exact"/>
        <w:rPr>
          <w:sz w:val="20"/>
          <w:szCs w:val="20"/>
          <w:color w:val="auto"/>
        </w:rPr>
      </w:pPr>
    </w:p>
    <w:p>
      <w:pPr>
        <w:ind w:left="700" w:right="500"/>
        <w:spacing w:after="0" w:line="276" w:lineRule="auto"/>
        <w:rPr>
          <w:sz w:val="20"/>
          <w:szCs w:val="20"/>
          <w:color w:val="auto"/>
        </w:rPr>
      </w:pPr>
      <w:r>
        <w:rPr>
          <w:rFonts w:ascii="Arial" w:cs="Arial" w:eastAsia="Arial" w:hAnsi="Arial"/>
          <w:sz w:val="22"/>
          <w:szCs w:val="22"/>
          <w:color w:val="auto"/>
        </w:rPr>
        <w:t>As applicable to these financial statements, the most significant estimates and assumptions relate to the fair value of share-based compensation and the incremental borrowing rate for leases.</w:t>
      </w:r>
    </w:p>
    <w:p>
      <w:pPr>
        <w:spacing w:after="0" w:line="218" w:lineRule="exact"/>
        <w:rPr>
          <w:sz w:val="20"/>
          <w:szCs w:val="20"/>
          <w:color w:val="auto"/>
        </w:rPr>
      </w:pPr>
    </w:p>
    <w:p>
      <w:pPr>
        <w:ind w:left="680" w:hanging="321"/>
        <w:spacing w:after="0"/>
        <w:tabs>
          <w:tab w:leader="none" w:pos="680"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Functional and presentation currency</w:t>
      </w:r>
    </w:p>
    <w:p>
      <w:pPr>
        <w:spacing w:after="0" w:line="289" w:lineRule="exact"/>
        <w:rPr>
          <w:sz w:val="20"/>
          <w:szCs w:val="20"/>
          <w:color w:val="auto"/>
        </w:rPr>
      </w:pPr>
    </w:p>
    <w:p>
      <w:pPr>
        <w:ind w:left="700"/>
        <w:spacing w:after="0" w:line="262" w:lineRule="auto"/>
        <w:rPr>
          <w:sz w:val="20"/>
          <w:szCs w:val="20"/>
          <w:color w:val="auto"/>
        </w:rPr>
      </w:pPr>
      <w:r>
        <w:rPr>
          <w:rFonts w:ascii="Arial" w:cs="Arial" w:eastAsia="Arial" w:hAnsi="Arial"/>
          <w:sz w:val="22"/>
          <w:szCs w:val="22"/>
          <w:color w:val="auto"/>
        </w:rPr>
        <w:t>The U.S. dollar (“dollar”) is the currency of the primary economic environment in which the operations of the Company and its subsidiary are conducted. The Company’s financing has been provided in dollars, revenues are primarily in dollars and a significant part of expenses are incurred in dollars. The financial statements are presented in dollars, which is the Company’s functional and presentation currency.</w:t>
      </w:r>
    </w:p>
    <w:p>
      <w:pPr>
        <w:spacing w:after="0" w:line="245" w:lineRule="exact"/>
        <w:rPr>
          <w:sz w:val="20"/>
          <w:szCs w:val="20"/>
          <w:color w:val="auto"/>
        </w:rPr>
      </w:pPr>
    </w:p>
    <w:p>
      <w:pPr>
        <w:ind w:left="700" w:right="60"/>
        <w:spacing w:after="0" w:line="308" w:lineRule="auto"/>
        <w:rPr>
          <w:sz w:val="20"/>
          <w:szCs w:val="20"/>
          <w:color w:val="auto"/>
        </w:rPr>
      </w:pPr>
      <w:r>
        <w:rPr>
          <w:rFonts w:ascii="Arial" w:cs="Arial" w:eastAsia="Arial" w:hAnsi="Arial"/>
          <w:sz w:val="19"/>
          <w:szCs w:val="19"/>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97"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5"/>
          <w:szCs w:val="15"/>
          <w:b w:val="1"/>
          <w:bCs w:val="1"/>
          <w:color w:val="auto"/>
        </w:rPr>
        <w:t>Cash and cash equivalents</w:t>
      </w:r>
    </w:p>
    <w:p>
      <w:pPr>
        <w:spacing w:after="0" w:line="289" w:lineRule="exact"/>
        <w:rPr>
          <w:sz w:val="20"/>
          <w:szCs w:val="20"/>
          <w:color w:val="auto"/>
        </w:rPr>
      </w:pPr>
    </w:p>
    <w:p>
      <w:pPr>
        <w:ind w:left="700" w:right="100"/>
        <w:spacing w:after="0" w:line="266" w:lineRule="auto"/>
        <w:rPr>
          <w:sz w:val="20"/>
          <w:szCs w:val="20"/>
          <w:color w:val="auto"/>
        </w:rPr>
      </w:pPr>
      <w:r>
        <w:rPr>
          <w:rFonts w:ascii="Arial" w:cs="Arial" w:eastAsia="Arial" w:hAnsi="Arial"/>
          <w:sz w:val="22"/>
          <w:szCs w:val="22"/>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229" w:lineRule="exact"/>
        <w:rPr>
          <w:sz w:val="20"/>
          <w:szCs w:val="20"/>
          <w:color w:val="auto"/>
        </w:rPr>
      </w:pPr>
    </w:p>
    <w:p>
      <w:pPr>
        <w:ind w:left="680" w:hanging="321"/>
        <w:spacing w:after="0"/>
        <w:tabs>
          <w:tab w:leader="none" w:pos="680" w:val="left"/>
        </w:tabs>
        <w:numPr>
          <w:ilvl w:val="0"/>
          <w:numId w:val="145"/>
        </w:numPr>
        <w:rPr>
          <w:rFonts w:ascii="Arial" w:cs="Arial" w:eastAsia="Arial" w:hAnsi="Arial"/>
          <w:sz w:val="18"/>
          <w:szCs w:val="18"/>
          <w:b w:val="1"/>
          <w:bCs w:val="1"/>
          <w:color w:val="auto"/>
        </w:rPr>
      </w:pPr>
      <w:r>
        <w:rPr>
          <w:rFonts w:ascii="Arial" w:cs="Arial" w:eastAsia="Arial" w:hAnsi="Arial"/>
          <w:sz w:val="18"/>
          <w:szCs w:val="18"/>
          <w:b w:val="1"/>
          <w:bCs w:val="1"/>
          <w:color w:val="auto"/>
        </w:rPr>
        <w:t>Bank deposits</w:t>
      </w:r>
    </w:p>
    <w:p>
      <w:pPr>
        <w:spacing w:after="0" w:line="229" w:lineRule="exact"/>
        <w:rPr>
          <w:rFonts w:ascii="Arial" w:cs="Arial" w:eastAsia="Arial" w:hAnsi="Arial"/>
          <w:sz w:val="18"/>
          <w:szCs w:val="18"/>
          <w:b w:val="1"/>
          <w:bCs w:val="1"/>
          <w:color w:val="auto"/>
        </w:rPr>
      </w:pPr>
    </w:p>
    <w:p>
      <w:pPr>
        <w:ind w:left="680" w:right="20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Bank deposits with original maturity dates of more than three months but less than one year are included in short-term deposits. . Bank deposits with maturity of more than one year are considered long-term.</w:t>
      </w:r>
    </w:p>
    <w:p>
      <w:pPr>
        <w:spacing w:after="0" w:line="220" w:lineRule="exact"/>
        <w:rPr>
          <w:rFonts w:ascii="Arial" w:cs="Arial" w:eastAsia="Arial" w:hAnsi="Arial"/>
          <w:sz w:val="18"/>
          <w:szCs w:val="18"/>
          <w:b w:val="1"/>
          <w:bCs w:val="1"/>
          <w:color w:val="auto"/>
        </w:rPr>
      </w:pPr>
    </w:p>
    <w:p>
      <w:pPr>
        <w:ind w:left="680" w:hanging="321"/>
        <w:spacing w:after="0"/>
        <w:tabs>
          <w:tab w:leader="none" w:pos="680" w:val="left"/>
        </w:tabs>
        <w:numPr>
          <w:ilvl w:val="0"/>
          <w:numId w:val="145"/>
        </w:numPr>
        <w:rPr>
          <w:rFonts w:ascii="Arial" w:cs="Arial" w:eastAsia="Arial" w:hAnsi="Arial"/>
          <w:sz w:val="18"/>
          <w:szCs w:val="18"/>
          <w:b w:val="1"/>
          <w:bCs w:val="1"/>
          <w:color w:val="auto"/>
        </w:rPr>
      </w:pPr>
      <w:r>
        <w:rPr>
          <w:rFonts w:ascii="Arial" w:cs="Arial" w:eastAsia="Arial" w:hAnsi="Arial"/>
          <w:sz w:val="18"/>
          <w:szCs w:val="18"/>
          <w:b w:val="1"/>
          <w:bCs w:val="1"/>
          <w:color w:val="auto"/>
        </w:rPr>
        <w:t>Marketable securities</w:t>
      </w:r>
    </w:p>
    <w:p>
      <w:pPr>
        <w:spacing w:after="0" w:line="289" w:lineRule="exact"/>
        <w:rPr>
          <w:sz w:val="20"/>
          <w:szCs w:val="20"/>
          <w:color w:val="auto"/>
        </w:rPr>
      </w:pPr>
    </w:p>
    <w:p>
      <w:pPr>
        <w:ind w:left="700" w:right="120"/>
        <w:spacing w:after="0" w:line="317" w:lineRule="auto"/>
        <w:rPr>
          <w:sz w:val="20"/>
          <w:szCs w:val="20"/>
          <w:color w:val="auto"/>
        </w:rPr>
      </w:pPr>
      <w:r>
        <w:rPr>
          <w:rFonts w:ascii="Arial" w:cs="Arial" w:eastAsia="Arial" w:hAnsi="Arial"/>
          <w:sz w:val="19"/>
          <w:szCs w:val="19"/>
          <w:color w:val="auto"/>
        </w:rPr>
        <w:t>Marketable securities consist of debt securities. The Company elected the fair value option to measure and recognize its investments in debt securities in accordance with ASC 825, Financial Instruments as the Company manages its portfolio and evaluates the performance on a fair value basis. Changes in fair value, realized gains and losses on sales of marketable securities, are reflected in the statements of operation as finance expense (income), net.</w:t>
      </w:r>
    </w:p>
    <w:p>
      <w:pPr>
        <w:sectPr>
          <w:pgSz w:w="11900" w:h="16838" w:orient="portrait"/>
          <w:cols w:equalWidth="0" w:num="1">
            <w:col w:w="11220"/>
          </w:cols>
          <w:pgMar w:left="320" w:top="396" w:right="359" w:bottom="1440" w:gutter="0" w:footer="0" w:header="0"/>
        </w:sect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96" w:right="359" w:bottom="1440" w:gutter="0" w:footer="0" w:header="0"/>
          <w:type w:val="continuous"/>
        </w:sectPr>
      </w:pPr>
    </w:p>
    <w:bookmarkStart w:id="159" w:name="page160"/>
    <w:bookmarkEnd w:id="159"/>
    <w:p>
      <w:pPr>
        <w:jc w:val="center"/>
        <w:ind w:right="-3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2 — SIGNIFICANT ACCOUNTING POLICIES </w:t>
      </w:r>
      <w:r>
        <w:rPr>
          <w:rFonts w:ascii="Arial" w:cs="Arial" w:eastAsia="Arial" w:hAnsi="Arial"/>
          <w:sz w:val="22"/>
          <w:szCs w:val="22"/>
          <w:color w:val="auto"/>
        </w:rPr>
        <w:t>(continued)</w:t>
      </w:r>
    </w:p>
    <w:p>
      <w:pPr>
        <w:spacing w:after="0" w:line="283" w:lineRule="exact"/>
        <w:rPr>
          <w:sz w:val="20"/>
          <w:szCs w:val="20"/>
          <w:color w:val="auto"/>
        </w:rPr>
      </w:pPr>
    </w:p>
    <w:p>
      <w:pPr>
        <w:ind w:left="680" w:hanging="321"/>
        <w:spacing w:after="0"/>
        <w:tabs>
          <w:tab w:leader="none" w:pos="680" w:val="left"/>
        </w:tabs>
        <w:numPr>
          <w:ilvl w:val="0"/>
          <w:numId w:val="146"/>
        </w:numPr>
        <w:rPr>
          <w:rFonts w:ascii="Arial" w:cs="Arial" w:eastAsia="Arial" w:hAnsi="Arial"/>
          <w:sz w:val="18"/>
          <w:szCs w:val="18"/>
          <w:color w:val="auto"/>
        </w:rPr>
      </w:pPr>
      <w:r>
        <w:rPr>
          <w:rFonts w:ascii="Arial" w:cs="Arial" w:eastAsia="Arial" w:hAnsi="Arial"/>
          <w:sz w:val="18"/>
          <w:szCs w:val="18"/>
          <w:b w:val="1"/>
          <w:bCs w:val="1"/>
          <w:color w:val="auto"/>
        </w:rPr>
        <w:t>Derivatives and hedging</w:t>
      </w:r>
    </w:p>
    <w:p>
      <w:pPr>
        <w:spacing w:after="0" w:line="229" w:lineRule="exact"/>
        <w:rPr>
          <w:rFonts w:ascii="Arial" w:cs="Arial" w:eastAsia="Arial" w:hAnsi="Arial"/>
          <w:sz w:val="18"/>
          <w:szCs w:val="18"/>
          <w:color w:val="auto"/>
        </w:rPr>
      </w:pPr>
    </w:p>
    <w:p>
      <w:pPr>
        <w:jc w:val="both"/>
        <w:ind w:left="680" w:right="360"/>
        <w:spacing w:after="0" w:line="286" w:lineRule="auto"/>
        <w:rPr>
          <w:rFonts w:ascii="Arial" w:cs="Arial" w:eastAsia="Arial" w:hAnsi="Arial"/>
          <w:sz w:val="18"/>
          <w:szCs w:val="18"/>
          <w:color w:val="auto"/>
        </w:rPr>
      </w:pPr>
      <w:r>
        <w:rPr>
          <w:rFonts w:ascii="Arial" w:cs="Arial" w:eastAsia="Arial" w:hAnsi="Arial"/>
          <w:sz w:val="17"/>
          <w:szCs w:val="17"/>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therefore the changes in the fair value are included in financial expense (income), net.</w:t>
      </w:r>
    </w:p>
    <w:p>
      <w:pPr>
        <w:spacing w:after="0" w:line="165" w:lineRule="exact"/>
        <w:rPr>
          <w:rFonts w:ascii="Arial" w:cs="Arial" w:eastAsia="Arial" w:hAnsi="Arial"/>
          <w:sz w:val="18"/>
          <w:szCs w:val="18"/>
          <w:color w:val="auto"/>
        </w:rPr>
      </w:pPr>
    </w:p>
    <w:p>
      <w:pPr>
        <w:ind w:left="680"/>
        <w:spacing w:after="0"/>
        <w:rPr>
          <w:rFonts w:ascii="Arial" w:cs="Arial" w:eastAsia="Arial" w:hAnsi="Arial"/>
          <w:sz w:val="18"/>
          <w:szCs w:val="18"/>
          <w:color w:val="auto"/>
        </w:rPr>
      </w:pPr>
      <w:r>
        <w:rPr>
          <w:rFonts w:ascii="Arial" w:cs="Arial" w:eastAsia="Arial" w:hAnsi="Arial"/>
          <w:sz w:val="17"/>
          <w:szCs w:val="17"/>
          <w:color w:val="auto"/>
        </w:rPr>
        <w:t>The currency hedged items are denominated in New Israeli Shekel (NIS). The counterparties to the derivatives are major banks in Israel.</w:t>
      </w:r>
    </w:p>
    <w:p>
      <w:pPr>
        <w:spacing w:after="0" w:line="297" w:lineRule="exact"/>
        <w:rPr>
          <w:sz w:val="20"/>
          <w:szCs w:val="20"/>
          <w:color w:val="auto"/>
        </w:rPr>
      </w:pPr>
    </w:p>
    <w:p>
      <w:pPr>
        <w:ind w:left="700" w:right="60"/>
        <w:spacing w:after="0" w:line="276" w:lineRule="auto"/>
        <w:rPr>
          <w:sz w:val="20"/>
          <w:szCs w:val="20"/>
          <w:color w:val="auto"/>
        </w:rPr>
      </w:pPr>
      <w:r>
        <w:rPr>
          <w:rFonts w:ascii="Arial" w:cs="Arial" w:eastAsia="Arial" w:hAnsi="Arial"/>
          <w:sz w:val="22"/>
          <w:szCs w:val="22"/>
          <w:color w:val="auto"/>
        </w:rPr>
        <w:t>As of December 31, 2019, the Company has $350 on the Company’s bank account that is restricted in order to secure the hedging transactions. This amount is presented among Restricted long-term deposits.</w:t>
      </w:r>
    </w:p>
    <w:p>
      <w:pPr>
        <w:spacing w:after="0" w:line="218" w:lineRule="exact"/>
        <w:rPr>
          <w:sz w:val="20"/>
          <w:szCs w:val="20"/>
          <w:color w:val="auto"/>
        </w:rPr>
      </w:pPr>
    </w:p>
    <w:p>
      <w:pPr>
        <w:ind w:left="680" w:hanging="321"/>
        <w:spacing w:after="0"/>
        <w:tabs>
          <w:tab w:leader="none" w:pos="680" w:val="left"/>
        </w:tabs>
        <w:numPr>
          <w:ilvl w:val="0"/>
          <w:numId w:val="147"/>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283" w:lineRule="exact"/>
        <w:rPr>
          <w:rFonts w:ascii="Arial" w:cs="Arial" w:eastAsia="Arial" w:hAnsi="Arial"/>
          <w:sz w:val="18"/>
          <w:szCs w:val="18"/>
          <w:b w:val="1"/>
          <w:bCs w:val="1"/>
          <w:color w:val="auto"/>
        </w:rPr>
      </w:pPr>
    </w:p>
    <w:p>
      <w:pPr>
        <w:ind w:left="1000" w:hanging="317"/>
        <w:spacing w:after="0"/>
        <w:tabs>
          <w:tab w:leader="none" w:pos="1000" w:val="left"/>
        </w:tabs>
        <w:numPr>
          <w:ilvl w:val="1"/>
          <w:numId w:val="147"/>
        </w:numPr>
        <w:rPr>
          <w:rFonts w:ascii="Arial" w:cs="Arial" w:eastAsia="Arial" w:hAnsi="Arial"/>
          <w:sz w:val="18"/>
          <w:szCs w:val="18"/>
          <w:color w:val="auto"/>
        </w:rPr>
      </w:pPr>
      <w:r>
        <w:rPr>
          <w:rFonts w:ascii="Arial" w:cs="Arial" w:eastAsia="Arial" w:hAnsi="Arial"/>
          <w:sz w:val="18"/>
          <w:szCs w:val="18"/>
          <w:color w:val="auto"/>
        </w:rPr>
        <w:t>Property and equipment are stated at cost, net of accumulated depreciation and amortization.</w:t>
      </w:r>
    </w:p>
    <w:p>
      <w:pPr>
        <w:spacing w:after="0" w:line="279" w:lineRule="exact"/>
        <w:rPr>
          <w:rFonts w:ascii="Arial" w:cs="Arial" w:eastAsia="Arial" w:hAnsi="Arial"/>
          <w:sz w:val="18"/>
          <w:szCs w:val="18"/>
          <w:color w:val="auto"/>
        </w:rPr>
      </w:pPr>
    </w:p>
    <w:p>
      <w:pPr>
        <w:ind w:left="1000" w:hanging="317"/>
        <w:spacing w:after="0"/>
        <w:tabs>
          <w:tab w:leader="none" w:pos="1000" w:val="left"/>
        </w:tabs>
        <w:numPr>
          <w:ilvl w:val="1"/>
          <w:numId w:val="147"/>
        </w:numPr>
        <w:rPr>
          <w:rFonts w:ascii="Arial" w:cs="Arial" w:eastAsia="Arial" w:hAnsi="Arial"/>
          <w:sz w:val="17"/>
          <w:szCs w:val="17"/>
          <w:color w:val="auto"/>
        </w:rPr>
      </w:pPr>
      <w:r>
        <w:rPr>
          <w:rFonts w:ascii="Arial" w:cs="Arial" w:eastAsia="Arial" w:hAnsi="Arial"/>
          <w:sz w:val="17"/>
          <w:szCs w:val="17"/>
          <w:color w:val="auto"/>
        </w:rPr>
        <w:t>The Company’s property and equipment are depreciated utilizing the straight-line method on the basis of their estimated useful life.</w:t>
      </w:r>
    </w:p>
    <w:p>
      <w:pPr>
        <w:spacing w:after="0" w:line="297" w:lineRule="exact"/>
        <w:rPr>
          <w:sz w:val="20"/>
          <w:szCs w:val="20"/>
          <w:color w:val="auto"/>
        </w:rPr>
      </w:pPr>
    </w:p>
    <w:p>
      <w:pPr>
        <w:ind w:left="700"/>
        <w:spacing w:after="0"/>
        <w:rPr>
          <w:sz w:val="20"/>
          <w:szCs w:val="20"/>
          <w:color w:val="auto"/>
        </w:rPr>
      </w:pPr>
      <w:r>
        <w:rPr>
          <w:rFonts w:ascii="Arial" w:cs="Arial" w:eastAsia="Arial" w:hAnsi="Arial"/>
          <w:sz w:val="22"/>
          <w:szCs w:val="22"/>
          <w:color w:val="auto"/>
        </w:rPr>
        <w:t>Annual rates of depreciation are as follows:</w:t>
      </w:r>
    </w:p>
    <w:p>
      <w:pPr>
        <w:spacing w:after="0" w:line="277" w:lineRule="exact"/>
        <w:rPr>
          <w:sz w:val="20"/>
          <w:szCs w:val="20"/>
          <w:color w:val="auto"/>
        </w:rPr>
      </w:pPr>
    </w:p>
    <w:tbl>
      <w:tblPr>
        <w:tblLayout w:type="fixed"/>
        <w:tblInd w:w="86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6880" w:type="dxa"/>
            <w:vAlign w:val="bottom"/>
          </w:tcPr>
          <w:p>
            <w:pPr>
              <w:spacing w:after="0"/>
              <w:rPr>
                <w:sz w:val="20"/>
                <w:szCs w:val="20"/>
                <w:color w:val="auto"/>
              </w:rPr>
            </w:pPr>
          </w:p>
        </w:tc>
        <w:tc>
          <w:tcPr>
            <w:tcW w:w="2640" w:type="dxa"/>
            <w:vAlign w:val="bottom"/>
            <w:tcBorders>
              <w:bottom w:val="single" w:sz="8" w:color="auto"/>
            </w:tcBorders>
          </w:tcPr>
          <w:p>
            <w:pPr>
              <w:jc w:val="right"/>
              <w:ind w:right="1210"/>
              <w:spacing w:after="0"/>
              <w:rPr>
                <w:sz w:val="20"/>
                <w:szCs w:val="20"/>
                <w:color w:val="auto"/>
              </w:rPr>
            </w:pPr>
            <w:r>
              <w:rPr>
                <w:rFonts w:ascii="Arial" w:cs="Arial" w:eastAsia="Arial" w:hAnsi="Arial"/>
                <w:sz w:val="18"/>
                <w:szCs w:val="18"/>
                <w:b w:val="1"/>
                <w:bCs w:val="1"/>
                <w:color w:val="auto"/>
              </w:rPr>
              <w:t>%</w:t>
            </w: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Laboratory equipment</w:t>
            </w:r>
          </w:p>
        </w:tc>
        <w:tc>
          <w:tcPr>
            <w:tcW w:w="2640" w:type="dxa"/>
            <w:vAlign w:val="bottom"/>
            <w:shd w:val="clear" w:color="auto" w:fill="CCEEFF"/>
          </w:tcPr>
          <w:p>
            <w:pPr>
              <w:jc w:val="right"/>
              <w:ind w:right="350"/>
              <w:spacing w:after="0"/>
              <w:rPr>
                <w:sz w:val="20"/>
                <w:szCs w:val="20"/>
                <w:color w:val="auto"/>
              </w:rPr>
            </w:pPr>
            <w:r>
              <w:rPr>
                <w:rFonts w:ascii="Arial" w:cs="Arial" w:eastAsia="Arial" w:hAnsi="Arial"/>
                <w:sz w:val="18"/>
                <w:szCs w:val="18"/>
                <w:color w:val="auto"/>
              </w:rPr>
              <w:t>10 – 33 (mainly 15 – 25)</w:t>
            </w:r>
          </w:p>
        </w:tc>
      </w:tr>
      <w:tr>
        <w:trPr>
          <w:trHeight w:val="216"/>
        </w:trPr>
        <w:tc>
          <w:tcPr>
            <w:tcW w:w="20" w:type="dxa"/>
            <w:vAlign w:val="bottom"/>
          </w:tcPr>
          <w:p>
            <w:pPr>
              <w:spacing w:after="0"/>
              <w:rPr>
                <w:sz w:val="18"/>
                <w:szCs w:val="18"/>
                <w:color w:val="auto"/>
              </w:rPr>
            </w:pPr>
          </w:p>
        </w:tc>
        <w:tc>
          <w:tcPr>
            <w:tcW w:w="6880" w:type="dxa"/>
            <w:vAlign w:val="bottom"/>
          </w:tcPr>
          <w:p>
            <w:pPr>
              <w:spacing w:after="0"/>
              <w:rPr>
                <w:sz w:val="20"/>
                <w:szCs w:val="20"/>
                <w:color w:val="auto"/>
              </w:rPr>
            </w:pPr>
            <w:r>
              <w:rPr>
                <w:rFonts w:ascii="Arial" w:cs="Arial" w:eastAsia="Arial" w:hAnsi="Arial"/>
                <w:sz w:val="18"/>
                <w:szCs w:val="18"/>
                <w:color w:val="auto"/>
              </w:rPr>
              <w:t>Office equipment and furniture</w:t>
            </w:r>
          </w:p>
        </w:tc>
        <w:tc>
          <w:tcPr>
            <w:tcW w:w="2640" w:type="dxa"/>
            <w:vAlign w:val="bottom"/>
          </w:tcPr>
          <w:p>
            <w:pPr>
              <w:jc w:val="center"/>
              <w:spacing w:after="0"/>
              <w:rPr>
                <w:sz w:val="20"/>
                <w:szCs w:val="20"/>
                <w:color w:val="auto"/>
              </w:rPr>
            </w:pPr>
            <w:r>
              <w:rPr>
                <w:rFonts w:ascii="Arial" w:cs="Arial" w:eastAsia="Arial" w:hAnsi="Arial"/>
                <w:sz w:val="18"/>
                <w:szCs w:val="18"/>
                <w:color w:val="auto"/>
              </w:rPr>
              <w:t>7–15</w:t>
            </w:r>
          </w:p>
        </w:tc>
      </w:tr>
      <w:tr>
        <w:trPr>
          <w:trHeight w:val="216"/>
        </w:trPr>
        <w:tc>
          <w:tcPr>
            <w:tcW w:w="20" w:type="dxa"/>
            <w:vAlign w:val="bottom"/>
          </w:tcPr>
          <w:p>
            <w:pPr>
              <w:spacing w:after="0"/>
              <w:rPr>
                <w:sz w:val="18"/>
                <w:szCs w:val="18"/>
                <w:color w:val="auto"/>
              </w:rPr>
            </w:pPr>
          </w:p>
        </w:tc>
        <w:tc>
          <w:tcPr>
            <w:tcW w:w="6880" w:type="dxa"/>
            <w:vAlign w:val="bottom"/>
            <w:shd w:val="clear" w:color="auto" w:fill="CCEEFF"/>
          </w:tcPr>
          <w:p>
            <w:pPr>
              <w:spacing w:after="0"/>
              <w:rPr>
                <w:sz w:val="20"/>
                <w:szCs w:val="20"/>
                <w:color w:val="auto"/>
              </w:rPr>
            </w:pPr>
            <w:r>
              <w:rPr>
                <w:rFonts w:ascii="Arial" w:cs="Arial" w:eastAsia="Arial" w:hAnsi="Arial"/>
                <w:sz w:val="18"/>
                <w:szCs w:val="18"/>
                <w:color w:val="auto"/>
              </w:rPr>
              <w:t>Computers and related equipment</w:t>
            </w:r>
          </w:p>
        </w:tc>
        <w:tc>
          <w:tcPr>
            <w:tcW w:w="2640" w:type="dxa"/>
            <w:vAlign w:val="bottom"/>
            <w:shd w:val="clear" w:color="auto" w:fill="CCEEFF"/>
          </w:tcPr>
          <w:p>
            <w:pPr>
              <w:jc w:val="right"/>
              <w:ind w:right="1150"/>
              <w:spacing w:after="0"/>
              <w:rPr>
                <w:sz w:val="20"/>
                <w:szCs w:val="20"/>
                <w:color w:val="auto"/>
              </w:rPr>
            </w:pPr>
            <w:r>
              <w:rPr>
                <w:rFonts w:ascii="Arial" w:cs="Arial" w:eastAsia="Arial" w:hAnsi="Arial"/>
                <w:sz w:val="18"/>
                <w:szCs w:val="18"/>
                <w:color w:val="auto"/>
              </w:rPr>
              <w:t>33</w:t>
            </w:r>
          </w:p>
        </w:tc>
      </w:tr>
    </w:tbl>
    <w:p>
      <w:pPr>
        <w:spacing w:after="0" w:line="262" w:lineRule="exact"/>
        <w:rPr>
          <w:sz w:val="20"/>
          <w:szCs w:val="20"/>
          <w:color w:val="auto"/>
        </w:rPr>
      </w:pPr>
    </w:p>
    <w:p>
      <w:pPr>
        <w:ind w:left="700" w:right="240"/>
        <w:spacing w:after="0" w:line="276" w:lineRule="auto"/>
        <w:rPr>
          <w:sz w:val="20"/>
          <w:szCs w:val="20"/>
          <w:color w:val="auto"/>
        </w:rPr>
      </w:pPr>
      <w:r>
        <w:rPr>
          <w:rFonts w:ascii="Arial" w:cs="Arial" w:eastAsia="Arial" w:hAnsi="Arial"/>
          <w:sz w:val="22"/>
          <w:szCs w:val="22"/>
          <w:color w:val="auto"/>
        </w:rPr>
        <w:t>Leasehold improvements are amortized utilizing the straight-line method over the shorter of the expected lease term or the estimated useful life of the improvements.</w:t>
      </w:r>
    </w:p>
    <w:p>
      <w:pPr>
        <w:spacing w:after="0" w:line="218" w:lineRule="exact"/>
        <w:rPr>
          <w:sz w:val="20"/>
          <w:szCs w:val="20"/>
          <w:color w:val="auto"/>
        </w:rPr>
      </w:pPr>
    </w:p>
    <w:p>
      <w:pPr>
        <w:ind w:left="680" w:hanging="321"/>
        <w:spacing w:after="0"/>
        <w:tabs>
          <w:tab w:leader="none" w:pos="680" w:val="left"/>
        </w:tabs>
        <w:numPr>
          <w:ilvl w:val="0"/>
          <w:numId w:val="148"/>
        </w:numPr>
        <w:rPr>
          <w:rFonts w:ascii="Arial" w:cs="Arial" w:eastAsia="Arial" w:hAnsi="Arial"/>
          <w:sz w:val="18"/>
          <w:szCs w:val="18"/>
          <w:b w:val="1"/>
          <w:bCs w:val="1"/>
          <w:color w:val="auto"/>
        </w:rPr>
      </w:pPr>
      <w:r>
        <w:rPr>
          <w:rFonts w:ascii="Arial" w:cs="Arial" w:eastAsia="Arial" w:hAnsi="Arial"/>
          <w:sz w:val="18"/>
          <w:szCs w:val="18"/>
          <w:b w:val="1"/>
          <w:bCs w:val="1"/>
          <w:color w:val="auto"/>
        </w:rPr>
        <w:t>Impairment of long-lived assets</w:t>
      </w:r>
    </w:p>
    <w:p>
      <w:pPr>
        <w:spacing w:after="0" w:line="289" w:lineRule="exact"/>
        <w:rPr>
          <w:sz w:val="20"/>
          <w:szCs w:val="20"/>
          <w:color w:val="auto"/>
        </w:rPr>
      </w:pPr>
    </w:p>
    <w:p>
      <w:pPr>
        <w:ind w:left="700"/>
        <w:spacing w:after="0" w:line="262" w:lineRule="auto"/>
        <w:rPr>
          <w:sz w:val="20"/>
          <w:szCs w:val="20"/>
          <w:color w:val="auto"/>
        </w:rPr>
      </w:pPr>
      <w:r>
        <w:rPr>
          <w:rFonts w:ascii="Arial" w:cs="Arial" w:eastAsia="Arial" w:hAnsi="Arial"/>
          <w:sz w:val="22"/>
          <w:szCs w:val="22"/>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245" w:lineRule="exact"/>
        <w:rPr>
          <w:sz w:val="20"/>
          <w:szCs w:val="20"/>
          <w:color w:val="auto"/>
        </w:rPr>
      </w:pPr>
    </w:p>
    <w:p>
      <w:pPr>
        <w:ind w:left="700" w:right="540"/>
        <w:spacing w:after="0" w:line="276" w:lineRule="auto"/>
        <w:rPr>
          <w:sz w:val="20"/>
          <w:szCs w:val="20"/>
          <w:color w:val="auto"/>
        </w:rPr>
      </w:pPr>
      <w:r>
        <w:rPr>
          <w:rFonts w:ascii="Arial" w:cs="Arial" w:eastAsia="Arial" w:hAnsi="Arial"/>
          <w:sz w:val="22"/>
          <w:szCs w:val="22"/>
          <w:color w:val="auto"/>
        </w:rPr>
        <w:t>For the three years ended December 31, 2019, the Company did not recognize an impairment loss for its long-lived assets.</w:t>
      </w:r>
    </w:p>
    <w:p>
      <w:pPr>
        <w:spacing w:after="0" w:line="390"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96" w:right="379" w:bottom="1440" w:gutter="0" w:footer="0" w:header="0"/>
        </w:sectPr>
      </w:pPr>
    </w:p>
    <w:bookmarkStart w:id="160" w:name="page161"/>
    <w:bookmarkEnd w:id="160"/>
    <w:p>
      <w:pPr>
        <w:jc w:val="center"/>
        <w:ind w:right="-9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2 — SIGNIFICANT ACCOUNTING POLICIES </w:t>
      </w:r>
      <w:r>
        <w:rPr>
          <w:rFonts w:ascii="Arial" w:cs="Arial" w:eastAsia="Arial" w:hAnsi="Arial"/>
          <w:sz w:val="22"/>
          <w:szCs w:val="22"/>
          <w:color w:val="auto"/>
        </w:rPr>
        <w:t>(continued)</w:t>
      </w:r>
    </w:p>
    <w:p>
      <w:pPr>
        <w:spacing w:after="0" w:line="283" w:lineRule="exact"/>
        <w:rPr>
          <w:sz w:val="20"/>
          <w:szCs w:val="20"/>
          <w:color w:val="auto"/>
        </w:rPr>
      </w:pPr>
    </w:p>
    <w:p>
      <w:pPr>
        <w:ind w:left="680" w:hanging="321"/>
        <w:spacing w:after="0"/>
        <w:tabs>
          <w:tab w:leader="none" w:pos="680" w:val="left"/>
        </w:tabs>
        <w:numPr>
          <w:ilvl w:val="0"/>
          <w:numId w:val="149"/>
        </w:numPr>
        <w:rPr>
          <w:rFonts w:ascii="Arial" w:cs="Arial" w:eastAsia="Arial" w:hAnsi="Arial"/>
          <w:sz w:val="18"/>
          <w:szCs w:val="18"/>
          <w:b w:val="1"/>
          <w:bCs w:val="1"/>
          <w:color w:val="auto"/>
        </w:rPr>
      </w:pPr>
      <w:r>
        <w:rPr>
          <w:rFonts w:ascii="Arial" w:cs="Arial" w:eastAsia="Arial" w:hAnsi="Arial"/>
          <w:sz w:val="18"/>
          <w:szCs w:val="18"/>
          <w:b w:val="1"/>
          <w:bCs w:val="1"/>
          <w:color w:val="auto"/>
        </w:rPr>
        <w:t>Share-based compensation</w:t>
      </w:r>
    </w:p>
    <w:p>
      <w:pPr>
        <w:spacing w:after="0" w:line="289" w:lineRule="exact"/>
        <w:rPr>
          <w:sz w:val="20"/>
          <w:szCs w:val="20"/>
          <w:color w:val="auto"/>
        </w:rPr>
      </w:pPr>
    </w:p>
    <w:p>
      <w:pPr>
        <w:jc w:val="both"/>
        <w:ind w:left="700" w:right="40"/>
        <w:spacing w:after="0" w:line="266" w:lineRule="auto"/>
        <w:rPr>
          <w:sz w:val="20"/>
          <w:szCs w:val="20"/>
          <w:color w:val="auto"/>
        </w:rPr>
      </w:pPr>
      <w:r>
        <w:rPr>
          <w:rFonts w:ascii="Arial" w:cs="Arial" w:eastAsia="Arial" w:hAnsi="Arial"/>
          <w:sz w:val="22"/>
          <w:szCs w:val="22"/>
          <w:color w:val="auto"/>
        </w:rPr>
        <w:t>The Company accounts for employees’ share-based payment awards classified as equity awards using the grant-date fair value method. The fair value of share-based payment transactions is recognized as an expense over the requisite service period.</w:t>
      </w:r>
    </w:p>
    <w:p>
      <w:pPr>
        <w:spacing w:after="0" w:line="239" w:lineRule="exact"/>
        <w:rPr>
          <w:sz w:val="20"/>
          <w:szCs w:val="20"/>
          <w:color w:val="auto"/>
        </w:rPr>
      </w:pPr>
    </w:p>
    <w:p>
      <w:pPr>
        <w:ind w:left="700" w:right="400"/>
        <w:spacing w:after="0" w:line="358" w:lineRule="auto"/>
        <w:rPr>
          <w:sz w:val="20"/>
          <w:szCs w:val="20"/>
          <w:color w:val="auto"/>
        </w:rPr>
      </w:pPr>
      <w:r>
        <w:rPr>
          <w:rFonts w:ascii="Arial" w:cs="Arial" w:eastAsia="Arial" w:hAnsi="Arial"/>
          <w:sz w:val="19"/>
          <w:szCs w:val="19"/>
          <w:color w:val="auto"/>
        </w:rPr>
        <w:t>The Company elected to recognize compensation costs for awards conditioned only on continued service that have a graded vesting schedule using the accelerated method based on the multiple-option award approach.</w:t>
      </w:r>
    </w:p>
    <w:p>
      <w:pPr>
        <w:spacing w:after="0" w:line="158" w:lineRule="exact"/>
        <w:rPr>
          <w:sz w:val="20"/>
          <w:szCs w:val="20"/>
          <w:color w:val="auto"/>
        </w:rPr>
      </w:pPr>
    </w:p>
    <w:p>
      <w:pPr>
        <w:ind w:left="700"/>
        <w:spacing w:after="0" w:line="262" w:lineRule="auto"/>
        <w:rPr>
          <w:sz w:val="20"/>
          <w:szCs w:val="20"/>
          <w:color w:val="auto"/>
        </w:rPr>
      </w:pPr>
      <w:r>
        <w:rPr>
          <w:rFonts w:ascii="Arial" w:cs="Arial" w:eastAsia="Arial" w:hAnsi="Arial"/>
          <w:sz w:val="22"/>
          <w:szCs w:val="22"/>
          <w:color w:val="auto"/>
        </w:rPr>
        <w:t>The Company applies ASU 2018-07 (Topic 718) that expands the scope of Topic 718 to include share-based payment transactions for acquiring goods and services from nonemployees. Under the provision of the amendment, the Company measures share-based compensation to non-employees in the same manner (except for certain exceptions) as share-based compensation to employees.</w:t>
      </w:r>
    </w:p>
    <w:p>
      <w:pPr>
        <w:spacing w:after="0" w:line="245" w:lineRule="exact"/>
        <w:rPr>
          <w:sz w:val="20"/>
          <w:szCs w:val="20"/>
          <w:color w:val="auto"/>
        </w:rPr>
      </w:pPr>
    </w:p>
    <w:p>
      <w:pPr>
        <w:ind w:left="700"/>
        <w:spacing w:after="0" w:line="257" w:lineRule="auto"/>
        <w:rPr>
          <w:sz w:val="20"/>
          <w:szCs w:val="20"/>
          <w:color w:val="auto"/>
        </w:rPr>
      </w:pPr>
      <w:r>
        <w:rPr>
          <w:rFonts w:ascii="Arial" w:cs="Arial" w:eastAsia="Arial" w:hAnsi="Arial"/>
          <w:sz w:val="22"/>
          <w:szCs w:val="22"/>
          <w:color w:val="auto"/>
        </w:rPr>
        <w:t>Prior to January 1, 2019, when options were granted as consideration for services provided by consultants and other non-employees, the grant was accounted for based on the fair value of the consideration received or the fair value of the options issued, whichever is more reliably measurable. The fair value of the options granted was measured on a final basis at the end of the related service period and recognized over the related service period using the graded vesting schedule method.</w:t>
      </w:r>
    </w:p>
    <w:p>
      <w:pPr>
        <w:ind w:left="700"/>
        <w:spacing w:after="0"/>
        <w:rPr>
          <w:sz w:val="20"/>
          <w:szCs w:val="20"/>
          <w:color w:val="auto"/>
        </w:rPr>
      </w:pPr>
      <w:r>
        <w:rPr>
          <w:rFonts w:ascii="Arial" w:cs="Arial" w:eastAsia="Arial" w:hAnsi="Arial"/>
          <w:sz w:val="22"/>
          <w:szCs w:val="22"/>
          <w:color w:val="auto"/>
        </w:rPr>
        <w:t>The Company has elected to recognize forfeitures as they occur.</w:t>
      </w:r>
    </w:p>
    <w:p>
      <w:pPr>
        <w:spacing w:after="0" w:line="272"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k.</w:t>
      </w:r>
      <w:r>
        <w:rPr>
          <w:sz w:val="20"/>
          <w:szCs w:val="20"/>
          <w:color w:val="auto"/>
        </w:rPr>
        <w:tab/>
      </w:r>
      <w:r>
        <w:rPr>
          <w:rFonts w:ascii="Arial" w:cs="Arial" w:eastAsia="Arial" w:hAnsi="Arial"/>
          <w:sz w:val="15"/>
          <w:szCs w:val="15"/>
          <w:b w:val="1"/>
          <w:bCs w:val="1"/>
          <w:color w:val="auto"/>
        </w:rPr>
        <w:t>Research and development expenses</w:t>
      </w:r>
    </w:p>
    <w:p>
      <w:pPr>
        <w:spacing w:after="0" w:line="289" w:lineRule="exact"/>
        <w:rPr>
          <w:sz w:val="20"/>
          <w:szCs w:val="20"/>
          <w:color w:val="auto"/>
        </w:rPr>
      </w:pPr>
    </w:p>
    <w:p>
      <w:pPr>
        <w:ind w:left="700" w:right="100"/>
        <w:spacing w:after="0" w:line="262" w:lineRule="auto"/>
        <w:rPr>
          <w:sz w:val="20"/>
          <w:szCs w:val="20"/>
          <w:color w:val="auto"/>
        </w:rPr>
      </w:pPr>
      <w:r>
        <w:rPr>
          <w:rFonts w:ascii="Arial" w:cs="Arial" w:eastAsia="Arial" w:hAnsi="Arial"/>
          <w:sz w:val="22"/>
          <w:szCs w:val="22"/>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245" w:lineRule="exact"/>
        <w:rPr>
          <w:sz w:val="20"/>
          <w:szCs w:val="20"/>
          <w:color w:val="auto"/>
        </w:rPr>
      </w:pPr>
    </w:p>
    <w:p>
      <w:pPr>
        <w:ind w:left="700" w:right="100"/>
        <w:spacing w:after="0" w:line="276" w:lineRule="auto"/>
        <w:rPr>
          <w:sz w:val="20"/>
          <w:szCs w:val="20"/>
          <w:color w:val="auto"/>
        </w:rPr>
      </w:pPr>
      <w:r>
        <w:rPr>
          <w:rFonts w:ascii="Arial" w:cs="Arial" w:eastAsia="Arial" w:hAnsi="Arial"/>
          <w:sz w:val="22"/>
          <w:szCs w:val="22"/>
          <w:color w:val="auto"/>
        </w:rPr>
        <w:t>Acquisitions of in-process research and development product candidate, which are not part of business combination, are recognized as an expense as research and development expenses as incurred.</w:t>
      </w:r>
    </w:p>
    <w:p>
      <w:pPr>
        <w:spacing w:after="0" w:line="228" w:lineRule="exact"/>
        <w:rPr>
          <w:sz w:val="20"/>
          <w:szCs w:val="20"/>
          <w:color w:val="auto"/>
        </w:rPr>
      </w:pPr>
    </w:p>
    <w:p>
      <w:pPr>
        <w:ind w:left="700" w:right="60"/>
        <w:spacing w:after="0" w:line="276" w:lineRule="auto"/>
        <w:rPr>
          <w:sz w:val="20"/>
          <w:szCs w:val="20"/>
          <w:color w:val="auto"/>
        </w:rPr>
      </w:pPr>
      <w:r>
        <w:rPr>
          <w:rFonts w:ascii="Arial" w:cs="Arial" w:eastAsia="Arial" w:hAnsi="Arial"/>
          <w:sz w:val="21"/>
          <w:szCs w:val="21"/>
          <w:color w:val="auto"/>
        </w:rPr>
        <w:t>Grants received from Israel Innovation Authority (hereafter — “IIA”), formerly known as the Office of the Chief Scientist of the Ministry of Economy and Industry, or the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See note 6a(1).</w:t>
      </w:r>
    </w:p>
    <w:p>
      <w:pPr>
        <w:spacing w:after="0" w:line="231" w:lineRule="exact"/>
        <w:rPr>
          <w:sz w:val="20"/>
          <w:szCs w:val="20"/>
          <w:color w:val="auto"/>
        </w:rPr>
      </w:pPr>
    </w:p>
    <w:p>
      <w:pPr>
        <w:ind w:left="700" w:right="140"/>
        <w:spacing w:after="0" w:line="317" w:lineRule="auto"/>
        <w:rPr>
          <w:sz w:val="20"/>
          <w:szCs w:val="20"/>
          <w:color w:val="auto"/>
        </w:rPr>
      </w:pPr>
      <w:r>
        <w:rPr>
          <w:rFonts w:ascii="Arial" w:cs="Arial" w:eastAsia="Arial" w:hAnsi="Arial"/>
          <w:sz w:val="19"/>
          <w:szCs w:val="19"/>
          <w:color w:val="auto"/>
        </w:rPr>
        <w:t>Clinical trial costs are a significant component of research and development expenses and include costs associated with third-party contractors. The Company out 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358" w:lineRule="exact"/>
        <w:rPr>
          <w:sz w:val="20"/>
          <w:szCs w:val="20"/>
          <w:color w:val="auto"/>
        </w:rPr>
      </w:pPr>
    </w:p>
    <w:p>
      <w:pPr>
        <w:jc w:val="center"/>
        <w:ind w:right="-99"/>
        <w:spacing w:after="0"/>
        <w:rPr>
          <w:sz w:val="20"/>
          <w:szCs w:val="20"/>
          <w:color w:val="auto"/>
        </w:rPr>
      </w:pPr>
      <w:r>
        <w:rPr>
          <w:rFonts w:ascii="Arial" w:cs="Arial" w:eastAsia="Arial" w:hAnsi="Arial"/>
          <w:sz w:val="22"/>
          <w:szCs w:val="22"/>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96" w:right="419" w:bottom="1440" w:gutter="0" w:footer="0" w:header="0"/>
        </w:sectPr>
      </w:pPr>
    </w:p>
    <w:bookmarkStart w:id="161" w:name="page162"/>
    <w:bookmarkEnd w:id="161"/>
    <w:p>
      <w:pPr>
        <w:jc w:val="center"/>
        <w:ind w:right="-3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2 — SIGNIFICANT ACCOUNTING POLICIES </w:t>
      </w:r>
      <w:r>
        <w:rPr>
          <w:rFonts w:ascii="Arial" w:cs="Arial" w:eastAsia="Arial" w:hAnsi="Arial"/>
          <w:sz w:val="22"/>
          <w:szCs w:val="22"/>
          <w:color w:val="auto"/>
        </w:rPr>
        <w:t>(continued)</w:t>
      </w:r>
    </w:p>
    <w:p>
      <w:pPr>
        <w:spacing w:after="0" w:line="283" w:lineRule="exact"/>
        <w:rPr>
          <w:sz w:val="20"/>
          <w:szCs w:val="20"/>
          <w:color w:val="auto"/>
        </w:rPr>
      </w:pPr>
    </w:p>
    <w:p>
      <w:pPr>
        <w:ind w:left="680" w:hanging="321"/>
        <w:spacing w:after="0"/>
        <w:tabs>
          <w:tab w:leader="none" w:pos="680" w:val="left"/>
        </w:tabs>
        <w:numPr>
          <w:ilvl w:val="0"/>
          <w:numId w:val="150"/>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289" w:lineRule="exact"/>
        <w:rPr>
          <w:sz w:val="20"/>
          <w:szCs w:val="20"/>
          <w:color w:val="auto"/>
        </w:rPr>
      </w:pPr>
    </w:p>
    <w:p>
      <w:pPr>
        <w:ind w:left="700" w:right="40"/>
        <w:spacing w:after="0" w:line="306" w:lineRule="auto"/>
        <w:rPr>
          <w:sz w:val="20"/>
          <w:szCs w:val="20"/>
          <w:color w:val="auto"/>
        </w:rPr>
      </w:pPr>
      <w:r>
        <w:rPr>
          <w:rFonts w:ascii="Arial" w:cs="Arial" w:eastAsia="Arial" w:hAnsi="Arial"/>
          <w:sz w:val="19"/>
          <w:szCs w:val="19"/>
          <w:color w:val="auto"/>
        </w:rPr>
        <w:t>On January 1, 2018 the Company adopted ASU No. 2014-09, Revenue from Contracts with Customers (Topic 606). According to the standard, an entity recognizes revenue when its customer obtains control of promised goods or services, in an amount that reflects the consideration that the entity expects to receive in exchange for those goods or services. To determine revenue recognition for arrangements that an entity determines are within the scope of Topic 606, the entity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performance obligation is satisfied.</w:t>
      </w:r>
    </w:p>
    <w:p>
      <w:pPr>
        <w:spacing w:after="0" w:line="210" w:lineRule="exact"/>
        <w:rPr>
          <w:sz w:val="20"/>
          <w:szCs w:val="20"/>
          <w:color w:val="auto"/>
        </w:rPr>
      </w:pPr>
    </w:p>
    <w:p>
      <w:pPr>
        <w:ind w:left="700" w:right="80" w:firstLine="42"/>
        <w:spacing w:after="0" w:line="308" w:lineRule="auto"/>
        <w:rPr>
          <w:sz w:val="20"/>
          <w:szCs w:val="20"/>
          <w:color w:val="auto"/>
        </w:rPr>
      </w:pPr>
      <w:r>
        <w:rPr>
          <w:rFonts w:ascii="Arial" w:cs="Arial" w:eastAsia="Arial" w:hAnsi="Arial"/>
          <w:sz w:val="19"/>
          <w:szCs w:val="19"/>
          <w:color w:val="auto"/>
        </w:rPr>
        <w:t>An entity only applies the five-step model to contracts when it is probable that the entity will collect the consideration it is entitled to in exchange for the goods or services it transfers to the customer, after considering any price concession expected to be provided to the customer, when applicable. At contract inception, the entity assesses the goods or services promised within each contract and determines those that are performance obligations, and assesses whether each promised good or service is distinct. The entity then recognizes as revenue the amount of the transaction price that is allocated to the respective performance obligation when (or as) the performance obligation is satisfied.</w:t>
      </w:r>
    </w:p>
    <w:p>
      <w:pPr>
        <w:spacing w:after="0" w:line="208" w:lineRule="exact"/>
        <w:rPr>
          <w:sz w:val="20"/>
          <w:szCs w:val="20"/>
          <w:color w:val="auto"/>
        </w:rPr>
      </w:pPr>
    </w:p>
    <w:p>
      <w:pPr>
        <w:ind w:left="740"/>
        <w:spacing w:after="0"/>
        <w:rPr>
          <w:sz w:val="20"/>
          <w:szCs w:val="20"/>
          <w:color w:val="auto"/>
        </w:rPr>
      </w:pPr>
      <w:r>
        <w:rPr>
          <w:rFonts w:ascii="Arial" w:cs="Arial" w:eastAsia="Arial" w:hAnsi="Arial"/>
          <w:sz w:val="22"/>
          <w:szCs w:val="22"/>
          <w:i w:val="1"/>
          <w:iCs w:val="1"/>
          <w:color w:val="auto"/>
        </w:rPr>
        <w:t>Collaborative Arrangements</w:t>
      </w:r>
    </w:p>
    <w:p>
      <w:pPr>
        <w:spacing w:after="0" w:line="287" w:lineRule="exact"/>
        <w:rPr>
          <w:sz w:val="20"/>
          <w:szCs w:val="20"/>
          <w:color w:val="auto"/>
        </w:rPr>
      </w:pPr>
    </w:p>
    <w:p>
      <w:pPr>
        <w:ind w:left="700"/>
        <w:spacing w:after="0" w:line="311" w:lineRule="auto"/>
        <w:rPr>
          <w:sz w:val="20"/>
          <w:szCs w:val="20"/>
          <w:color w:val="auto"/>
        </w:rPr>
      </w:pPr>
      <w:r>
        <w:rPr>
          <w:rFonts w:ascii="Arial" w:cs="Arial" w:eastAsia="Arial" w:hAnsi="Arial"/>
          <w:sz w:val="19"/>
          <w:szCs w:val="19"/>
          <w:color w:val="auto"/>
        </w:rPr>
        <w:t>The Company entered into collaborative arrangements with partners that fall under the scope of Topic 808, Collaborative Arrangements (“ASC 808”). While these arrangements are in the scope of ASC 808, the Company may analogize to ASC 606 for some aspects of the arrangements. The Company analogizes to ASC 606 for certain activities within the collaborative arrangement for the delivery of a good or service (i.e., a unit of account) that is part of its ongoing major or central operations. Revenue recognized by analogizing to ASC 606 is recorded as “collaboration revenues”.</w:t>
      </w:r>
    </w:p>
    <w:p>
      <w:pPr>
        <w:spacing w:after="0" w:line="204" w:lineRule="exact"/>
        <w:rPr>
          <w:sz w:val="20"/>
          <w:szCs w:val="20"/>
          <w:color w:val="auto"/>
        </w:rPr>
      </w:pPr>
    </w:p>
    <w:p>
      <w:pPr>
        <w:jc w:val="both"/>
        <w:ind w:left="700" w:right="240"/>
        <w:spacing w:after="0" w:line="266" w:lineRule="auto"/>
        <w:rPr>
          <w:sz w:val="20"/>
          <w:szCs w:val="20"/>
          <w:color w:val="auto"/>
        </w:rPr>
      </w:pPr>
      <w:r>
        <w:rPr>
          <w:rFonts w:ascii="Arial" w:cs="Arial" w:eastAsia="Arial" w:hAnsi="Arial"/>
          <w:sz w:val="22"/>
          <w:szCs w:val="22"/>
          <w:color w:val="auto"/>
        </w:rPr>
        <w:t>The terms of the Company’s collaborative arrangements typically include one or more of the following: (i) royalties on net sales of licensed products; (ii) reimbursements or cost-sharing of R&amp;D expenses. Each of these payments results in collaboration revenues or an offset against R&amp;D expense.</w:t>
      </w:r>
    </w:p>
    <w:p>
      <w:pPr>
        <w:spacing w:after="0" w:line="239" w:lineRule="exact"/>
        <w:rPr>
          <w:sz w:val="20"/>
          <w:szCs w:val="20"/>
          <w:color w:val="auto"/>
        </w:rPr>
      </w:pPr>
    </w:p>
    <w:p>
      <w:pPr>
        <w:ind w:left="700" w:right="180"/>
        <w:spacing w:after="0" w:line="262" w:lineRule="auto"/>
        <w:rPr>
          <w:sz w:val="20"/>
          <w:szCs w:val="20"/>
          <w:color w:val="auto"/>
        </w:rPr>
      </w:pPr>
      <w:r>
        <w:rPr>
          <w:rFonts w:ascii="Arial" w:cs="Arial" w:eastAsia="Arial" w:hAnsi="Arial"/>
          <w:sz w:val="22"/>
          <w:szCs w:val="22"/>
          <w:color w:val="auto"/>
        </w:rPr>
        <w:t>Royalties: For arrangements that include sales-based royalties and the license is deemed to be the predominant item to which the royalties relate, the Company recognizes collaboration revenue at the later of (i) when the related sales occur, or (ii) when the performance obligation to which some or all of the royalty has been allocated has been satisfied (or partially satisfied).</w:t>
      </w:r>
    </w:p>
    <w:p>
      <w:pPr>
        <w:spacing w:after="0" w:line="245" w:lineRule="exact"/>
        <w:rPr>
          <w:sz w:val="20"/>
          <w:szCs w:val="20"/>
          <w:color w:val="auto"/>
        </w:rPr>
      </w:pPr>
    </w:p>
    <w:p>
      <w:pPr>
        <w:ind w:left="700" w:right="20"/>
        <w:spacing w:after="0" w:line="261" w:lineRule="auto"/>
        <w:rPr>
          <w:sz w:val="20"/>
          <w:szCs w:val="20"/>
          <w:color w:val="auto"/>
        </w:rPr>
      </w:pPr>
      <w:r>
        <w:rPr>
          <w:rFonts w:ascii="Arial" w:cs="Arial" w:eastAsia="Arial" w:hAnsi="Arial"/>
          <w:sz w:val="22"/>
          <w:szCs w:val="22"/>
          <w:color w:val="auto"/>
        </w:rPr>
        <w:t>Under certain collaborative arrangements, the Company has been reimbursed for a portion of its R&amp;D expenses or participates in the cost-sharing of such R&amp;D expenses. Such reimbursements and cost-sharing arrangements have been reflected as a reduction of R&amp;D expense in the Company’s consolidated statements of operations, as the Company does not consider performing research and development services for reimbursement to be a part of its ongoing major or central operations.</w:t>
      </w:r>
    </w:p>
    <w:p>
      <w:pPr>
        <w:spacing w:after="0" w:line="200" w:lineRule="exact"/>
        <w:rPr>
          <w:sz w:val="20"/>
          <w:szCs w:val="20"/>
          <w:color w:val="auto"/>
        </w:rPr>
      </w:pPr>
    </w:p>
    <w:p>
      <w:pPr>
        <w:spacing w:after="0" w:line="206"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96" w:right="359" w:bottom="1440" w:gutter="0" w:footer="0" w:header="0"/>
        </w:sectPr>
      </w:pPr>
    </w:p>
    <w:bookmarkStart w:id="162" w:name="page163"/>
    <w:bookmarkEnd w:id="162"/>
    <w:p>
      <w:pPr>
        <w:jc w:val="center"/>
        <w:ind w:right="35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35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35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2" w:lineRule="exact"/>
        <w:rPr>
          <w:sz w:val="20"/>
          <w:szCs w:val="20"/>
          <w:color w:val="auto"/>
        </w:rPr>
      </w:pPr>
    </w:p>
    <w:p>
      <w:pPr>
        <w:ind w:left="321" w:hanging="321"/>
        <w:spacing w:after="0"/>
        <w:tabs>
          <w:tab w:leader="none" w:pos="321" w:val="left"/>
        </w:tabs>
        <w:numPr>
          <w:ilvl w:val="0"/>
          <w:numId w:val="151"/>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83" w:lineRule="exact"/>
        <w:rPr>
          <w:rFonts w:ascii="Arial" w:cs="Arial" w:eastAsia="Arial" w:hAnsi="Arial"/>
          <w:sz w:val="18"/>
          <w:szCs w:val="18"/>
          <w:b w:val="1"/>
          <w:bCs w:val="1"/>
          <w:color w:val="auto"/>
        </w:rPr>
      </w:pPr>
    </w:p>
    <w:p>
      <w:pPr>
        <w:ind w:left="641" w:hanging="317"/>
        <w:spacing w:after="0"/>
        <w:tabs>
          <w:tab w:leader="none" w:pos="641" w:val="left"/>
        </w:tabs>
        <w:numPr>
          <w:ilvl w:val="1"/>
          <w:numId w:val="151"/>
        </w:numPr>
        <w:rPr>
          <w:rFonts w:ascii="Arial" w:cs="Arial" w:eastAsia="Arial" w:hAnsi="Arial"/>
          <w:sz w:val="18"/>
          <w:szCs w:val="18"/>
          <w:color w:val="auto"/>
        </w:rPr>
      </w:pPr>
      <w:r>
        <w:rPr>
          <w:rFonts w:ascii="Arial" w:cs="Arial" w:eastAsia="Arial" w:hAnsi="Arial"/>
          <w:sz w:val="18"/>
          <w:szCs w:val="18"/>
          <w:color w:val="auto"/>
        </w:rPr>
        <w:t>Deferred taxes</w:t>
      </w:r>
    </w:p>
    <w:p>
      <w:pPr>
        <w:spacing w:after="0" w:line="285" w:lineRule="exact"/>
        <w:rPr>
          <w:sz w:val="20"/>
          <w:szCs w:val="20"/>
          <w:color w:val="auto"/>
        </w:rPr>
      </w:pPr>
    </w:p>
    <w:p>
      <w:pPr>
        <w:ind w:left="661"/>
        <w:spacing w:after="0" w:line="270" w:lineRule="exact"/>
        <w:rPr>
          <w:sz w:val="20"/>
          <w:szCs w:val="20"/>
          <w:color w:val="auto"/>
        </w:rPr>
      </w:pPr>
      <w:r>
        <w:rPr>
          <w:rFonts w:ascii="Arial" w:cs="Arial" w:eastAsia="Arial" w:hAnsi="Arial"/>
          <w:sz w:val="21"/>
          <w:szCs w:val="21"/>
          <w:color w:val="auto"/>
        </w:rPr>
        <w:t>The Company accounts for income taxes in accordance with ASC 740, “Income Taxes” (“ASC 740”). ASC 740 prescribes the use of the liability method whereby deferred tax asset and liability account balances are determined based on differences between the financial reporting and tax bases of assets and liabilities and are measured using the enacted tax rates and laws that will be in effect when the differences are expected to reverse. The Company provides a valuation allowance, if necessary, to reduce deferred tax assets to their estimated realizable value if it is more likely than not that a portion or all of the deferred tax assets will not be realized, based on the weight of available positive and negative evidence. Deferred tax liabilities and assets are classified as non-current in accordance with ASU 2015</w:t>
      </w:r>
      <w:r>
        <w:rPr>
          <w:rFonts w:ascii="MS PGothic" w:cs="MS PGothic" w:eastAsia="MS PGothic" w:hAnsi="MS PGothic"/>
          <w:sz w:val="21"/>
          <w:szCs w:val="21"/>
          <w:color w:val="auto"/>
        </w:rPr>
        <w:t>‑</w:t>
      </w:r>
      <w:r>
        <w:rPr>
          <w:rFonts w:ascii="Arial" w:cs="Arial" w:eastAsia="Arial" w:hAnsi="Arial"/>
          <w:sz w:val="21"/>
          <w:szCs w:val="21"/>
          <w:color w:val="auto"/>
        </w:rPr>
        <w:t>17.</w:t>
      </w:r>
    </w:p>
    <w:p>
      <w:pPr>
        <w:spacing w:after="0" w:line="273" w:lineRule="exact"/>
        <w:rPr>
          <w:sz w:val="20"/>
          <w:szCs w:val="20"/>
          <w:color w:val="auto"/>
        </w:rPr>
      </w:pPr>
    </w:p>
    <w:p>
      <w:pPr>
        <w:ind w:left="661"/>
        <w:spacing w:after="0"/>
        <w:rPr>
          <w:sz w:val="20"/>
          <w:szCs w:val="20"/>
          <w:color w:val="auto"/>
        </w:rPr>
      </w:pPr>
      <w:r>
        <w:rPr>
          <w:rFonts w:ascii="Arial" w:cs="Arial" w:eastAsia="Arial" w:hAnsi="Arial"/>
          <w:sz w:val="22"/>
          <w:szCs w:val="22"/>
          <w:color w:val="auto"/>
        </w:rPr>
        <w:t>Uncertainty in income taxes</w:t>
      </w:r>
    </w:p>
    <w:p>
      <w:pPr>
        <w:spacing w:after="0" w:line="287" w:lineRule="exact"/>
        <w:rPr>
          <w:sz w:val="20"/>
          <w:szCs w:val="20"/>
          <w:color w:val="auto"/>
        </w:rPr>
      </w:pPr>
    </w:p>
    <w:p>
      <w:pPr>
        <w:ind w:left="661" w:right="80"/>
        <w:spacing w:after="0" w:line="317" w:lineRule="auto"/>
        <w:rPr>
          <w:sz w:val="20"/>
          <w:szCs w:val="20"/>
          <w:color w:val="auto"/>
        </w:rPr>
      </w:pPr>
      <w:r>
        <w:rPr>
          <w:rFonts w:ascii="Arial" w:cs="Arial" w:eastAsia="Arial" w:hAnsi="Arial"/>
          <w:sz w:val="19"/>
          <w:szCs w:val="19"/>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85" w:lineRule="exact"/>
        <w:rPr>
          <w:sz w:val="20"/>
          <w:szCs w:val="20"/>
          <w:color w:val="auto"/>
        </w:rPr>
      </w:pPr>
    </w:p>
    <w:p>
      <w:pPr>
        <w:ind w:left="1"/>
        <w:spacing w:after="0"/>
        <w:tabs>
          <w:tab w:leader="none" w:pos="301" w:val="left"/>
        </w:tabs>
        <w:rPr>
          <w:sz w:val="20"/>
          <w:szCs w:val="20"/>
          <w:color w:val="auto"/>
        </w:rPr>
      </w:pPr>
      <w:r>
        <w:rPr>
          <w:rFonts w:ascii="Arial" w:cs="Arial" w:eastAsia="Arial" w:hAnsi="Arial"/>
          <w:sz w:val="18"/>
          <w:szCs w:val="18"/>
          <w:b w:val="1"/>
          <w:bCs w:val="1"/>
          <w:color w:val="auto"/>
        </w:rPr>
        <w:t>n.</w:t>
      </w:r>
      <w:r>
        <w:rPr>
          <w:sz w:val="20"/>
          <w:szCs w:val="20"/>
          <w:color w:val="auto"/>
        </w:rPr>
        <w:tab/>
      </w:r>
      <w:r>
        <w:rPr>
          <w:rFonts w:ascii="Arial" w:cs="Arial" w:eastAsia="Arial" w:hAnsi="Arial"/>
          <w:sz w:val="15"/>
          <w:szCs w:val="15"/>
          <w:b w:val="1"/>
          <w:bCs w:val="1"/>
          <w:color w:val="auto"/>
        </w:rPr>
        <w:t>Leases</w:t>
      </w:r>
    </w:p>
    <w:p>
      <w:pPr>
        <w:spacing w:after="0" w:line="289" w:lineRule="exact"/>
        <w:rPr>
          <w:sz w:val="20"/>
          <w:szCs w:val="20"/>
          <w:color w:val="auto"/>
        </w:rPr>
      </w:pPr>
    </w:p>
    <w:p>
      <w:pPr>
        <w:ind w:left="341" w:right="20"/>
        <w:spacing w:after="0" w:line="274" w:lineRule="auto"/>
        <w:rPr>
          <w:sz w:val="20"/>
          <w:szCs w:val="20"/>
          <w:color w:val="auto"/>
        </w:rPr>
      </w:pPr>
      <w:r>
        <w:rPr>
          <w:rFonts w:ascii="Arial" w:cs="Arial" w:eastAsia="Arial" w:hAnsi="Arial"/>
          <w:sz w:val="21"/>
          <w:szCs w:val="21"/>
          <w:color w:val="auto"/>
        </w:rPr>
        <w:t>As of January 1, 2019, the Company adopted ASU No. 2016-02, “Leases (Topic 842)" while prior period amounts have not been adjusted and continue to be reported in accordance with its historical accounting under Topic 840. The Company adopted the standard using the modified retrospective approach with an effective date as of the beginning of the Company's fiscal year, January 1, 2019. The Company elected the package of transition provisions available for expired or existing contracts, which allowed it to carryforward its historical assessments of (1) whether contracts are or contain leases, (2) lease classification and (3) initial direct costs.</w:t>
      </w:r>
    </w:p>
    <w:p>
      <w:pPr>
        <w:spacing w:after="0" w:line="236" w:lineRule="exact"/>
        <w:rPr>
          <w:sz w:val="20"/>
          <w:szCs w:val="20"/>
          <w:color w:val="auto"/>
        </w:rPr>
      </w:pPr>
    </w:p>
    <w:p>
      <w:pPr>
        <w:ind w:left="341" w:right="60"/>
        <w:spacing w:after="0" w:line="297" w:lineRule="auto"/>
        <w:rPr>
          <w:sz w:val="20"/>
          <w:szCs w:val="20"/>
          <w:color w:val="auto"/>
        </w:rPr>
      </w:pPr>
      <w:r>
        <w:rPr>
          <w:rFonts w:ascii="Arial" w:cs="Arial" w:eastAsia="Arial" w:hAnsi="Arial"/>
          <w:sz w:val="19"/>
          <w:szCs w:val="19"/>
          <w:color w:val="auto"/>
        </w:rPr>
        <w:t>Right of Use ("ROU") assets represent the Company’s right to use an underlying asset for the lease term and lease liabilities represent the Company’s obligation to make lease payments arising from the lease. Operating lease ROU assets and liabilities are recognized at commencement date based on the present value of lease payments over the lease term. The Company’s lease terms may include options to extend or terminate the lease when it is reasonably certain that the Company will exercise that option. The Company uses the implicit rate when readily determinable. As the Company’s leases do not provide an implicit rate, the Company uses its estimated incremental borrowing rate based on the information available at commencement date in determining the present value of lease payments. Lease expense for lease payments is recognized on a straight-line basis over the lease term. The Company elected to not separate lease and non-lease components for the leases. The Company elected the practical expedient of the short-term lease recognition exemption for all leases with a term shorter than 12 months.</w:t>
      </w:r>
    </w:p>
    <w:p>
      <w:pPr>
        <w:spacing w:after="0" w:line="1" w:lineRule="exact"/>
        <w:rPr>
          <w:sz w:val="20"/>
          <w:szCs w:val="20"/>
          <w:color w:val="auto"/>
        </w:rPr>
      </w:pPr>
    </w:p>
    <w:p>
      <w:pPr>
        <w:ind w:left="341" w:right="480"/>
        <w:spacing w:after="0" w:line="272" w:lineRule="auto"/>
        <w:rPr>
          <w:sz w:val="20"/>
          <w:szCs w:val="20"/>
          <w:color w:val="auto"/>
        </w:rPr>
      </w:pPr>
      <w:r>
        <w:rPr>
          <w:rFonts w:ascii="Arial" w:cs="Arial" w:eastAsia="Arial" w:hAnsi="Arial"/>
          <w:sz w:val="22"/>
          <w:szCs w:val="22"/>
          <w:color w:val="auto"/>
        </w:rPr>
        <w:t>Additionally, the company applies the portfolio approach to account for operating lease ROU asset and liabilities for certain car leases and incremental borrowing rates.</w:t>
      </w:r>
    </w:p>
    <w:p>
      <w:pPr>
        <w:spacing w:after="0" w:line="232" w:lineRule="exact"/>
        <w:rPr>
          <w:sz w:val="20"/>
          <w:szCs w:val="20"/>
          <w:color w:val="auto"/>
        </w:rPr>
      </w:pPr>
    </w:p>
    <w:p>
      <w:pPr>
        <w:ind w:left="341" w:right="480"/>
        <w:spacing w:after="0" w:line="266" w:lineRule="auto"/>
        <w:rPr>
          <w:sz w:val="20"/>
          <w:szCs w:val="20"/>
          <w:color w:val="auto"/>
        </w:rPr>
      </w:pPr>
      <w:r>
        <w:rPr>
          <w:rFonts w:ascii="Arial" w:cs="Arial" w:eastAsia="Arial" w:hAnsi="Arial"/>
          <w:sz w:val="22"/>
          <w:szCs w:val="22"/>
          <w:color w:val="auto"/>
        </w:rPr>
        <w:t>The Consolidated Financial Statements for the year ended December 31, 2019 are presented under the new standard, while comparative period presented is not adjusted and continue to be reported in accordance with the historical accounting policy.</w:t>
      </w:r>
    </w:p>
    <w:p>
      <w:pPr>
        <w:spacing w:after="0" w:line="239" w:lineRule="exact"/>
        <w:rPr>
          <w:sz w:val="20"/>
          <w:szCs w:val="20"/>
          <w:color w:val="auto"/>
        </w:rPr>
      </w:pPr>
    </w:p>
    <w:p>
      <w:pPr>
        <w:ind w:left="341" w:right="520"/>
        <w:spacing w:after="0" w:line="327" w:lineRule="auto"/>
        <w:rPr>
          <w:sz w:val="20"/>
          <w:szCs w:val="20"/>
          <w:color w:val="auto"/>
        </w:rPr>
      </w:pPr>
      <w:r>
        <w:rPr>
          <w:rFonts w:ascii="Arial" w:cs="Arial" w:eastAsia="Arial" w:hAnsi="Arial"/>
          <w:sz w:val="19"/>
          <w:szCs w:val="19"/>
          <w:color w:val="auto"/>
        </w:rPr>
        <w:t>Upon adoption, the new standard resulted in an increase of $1,200 in operating lease ROU assets and corresponding liabilities on the Company’s consolidated balance sheet and did not have a material impact on the Company’s consolidated statements of operations or consolidated statements of cash flows. See also note 6b.</w:t>
      </w:r>
    </w:p>
    <w:p>
      <w:pPr>
        <w:sectPr>
          <w:pgSz w:w="11900" w:h="16838" w:orient="portrait"/>
          <w:cols w:equalWidth="0" w:num="1">
            <w:col w:w="10881"/>
          </w:cols>
          <w:pgMar w:left="679" w:top="126" w:right="339" w:bottom="1440" w:gutter="0" w:footer="0" w:header="0"/>
        </w:sectPr>
      </w:pPr>
    </w:p>
    <w:p>
      <w:pPr>
        <w:spacing w:after="0" w:line="349" w:lineRule="exact"/>
        <w:rPr>
          <w:sz w:val="20"/>
          <w:szCs w:val="20"/>
          <w:color w:val="auto"/>
        </w:rPr>
      </w:pPr>
    </w:p>
    <w:p>
      <w:pPr>
        <w:jc w:val="center"/>
        <w:ind w:right="359"/>
        <w:spacing w:after="0"/>
        <w:rPr>
          <w:sz w:val="20"/>
          <w:szCs w:val="20"/>
          <w:color w:val="auto"/>
        </w:rPr>
      </w:pPr>
      <w:r>
        <w:rPr>
          <w:rFonts w:ascii="Arial" w:cs="Arial" w:eastAsia="Arial" w:hAnsi="Arial"/>
          <w:sz w:val="22"/>
          <w:szCs w:val="22"/>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-222250</wp:posOffset>
            </wp:positionH>
            <wp:positionV relativeFrom="paragraph">
              <wp:posOffset>41275</wp:posOffset>
            </wp:positionV>
            <wp:extent cx="7132320"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81"/>
          </w:cols>
          <w:pgMar w:left="679" w:top="126" w:right="339" w:bottom="1440" w:gutter="0" w:footer="0" w:header="0"/>
          <w:type w:val="continuous"/>
        </w:sectPr>
      </w:pPr>
    </w:p>
    <w:bookmarkStart w:id="163" w:name="page164"/>
    <w:bookmarkEnd w:id="163"/>
    <w:p>
      <w:pPr>
        <w:jc w:val="center"/>
        <w:ind w:right="-1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2 — SIGNIFICANT ACCOUNTING POLICIES </w:t>
      </w:r>
      <w:r>
        <w:rPr>
          <w:rFonts w:ascii="Arial" w:cs="Arial" w:eastAsia="Arial" w:hAnsi="Arial"/>
          <w:sz w:val="22"/>
          <w:szCs w:val="22"/>
          <w:color w:val="auto"/>
        </w:rPr>
        <w:t>(continued)</w:t>
      </w:r>
    </w:p>
    <w:p>
      <w:pPr>
        <w:spacing w:after="0" w:line="283" w:lineRule="exact"/>
        <w:rPr>
          <w:sz w:val="20"/>
          <w:szCs w:val="20"/>
          <w:color w:val="auto"/>
        </w:rPr>
      </w:pPr>
    </w:p>
    <w:p>
      <w:pPr>
        <w:ind w:left="680" w:hanging="321"/>
        <w:spacing w:after="0"/>
        <w:tabs>
          <w:tab w:leader="none" w:pos="680" w:val="left"/>
        </w:tabs>
        <w:numPr>
          <w:ilvl w:val="0"/>
          <w:numId w:val="152"/>
        </w:numPr>
        <w:rPr>
          <w:rFonts w:ascii="Arial" w:cs="Arial" w:eastAsia="Arial" w:hAnsi="Arial"/>
          <w:sz w:val="18"/>
          <w:szCs w:val="18"/>
          <w:b w:val="1"/>
          <w:bCs w:val="1"/>
          <w:color w:val="auto"/>
        </w:rPr>
      </w:pPr>
      <w:r>
        <w:rPr>
          <w:rFonts w:ascii="Arial" w:cs="Arial" w:eastAsia="Arial" w:hAnsi="Arial"/>
          <w:sz w:val="18"/>
          <w:szCs w:val="18"/>
          <w:b w:val="1"/>
          <w:bCs w:val="1"/>
          <w:color w:val="auto"/>
        </w:rPr>
        <w:t>Loss per share</w:t>
      </w:r>
    </w:p>
    <w:p>
      <w:pPr>
        <w:spacing w:after="0" w:line="289" w:lineRule="exact"/>
        <w:rPr>
          <w:sz w:val="20"/>
          <w:szCs w:val="20"/>
          <w:color w:val="auto"/>
        </w:rPr>
      </w:pPr>
    </w:p>
    <w:p>
      <w:pPr>
        <w:ind w:left="700" w:right="240"/>
        <w:spacing w:after="0" w:line="308" w:lineRule="auto"/>
        <w:rPr>
          <w:sz w:val="20"/>
          <w:szCs w:val="20"/>
          <w:color w:val="auto"/>
        </w:rPr>
      </w:pPr>
      <w:r>
        <w:rPr>
          <w:rFonts w:ascii="Arial" w:cs="Arial" w:eastAsia="Arial" w:hAnsi="Arial"/>
          <w:sz w:val="19"/>
          <w:szCs w:val="19"/>
          <w:color w:val="auto"/>
        </w:rPr>
        <w:t>Basic loss per share is computed on the basis of the net loss for the period divided by the weighted average number of ordinary shares outstanding during the period. Diluted loss per share is based upon the weighted average number of ordinary shares and of ordinary shares equivalents outstanding when dilutive. Ordinary share equivalents include outstanding stock options and restricted shares, which are included under the treasury stock method when dilutive. The calculation of diluted loss per share does not include 673,892,1,119,310 and 1,260,984 options and restricted shares for the years ended December 31, 2017, 2018 and 2019, respectively, because their effect would be anti-dilutive.</w:t>
      </w:r>
    </w:p>
    <w:p>
      <w:pPr>
        <w:spacing w:after="0" w:line="197"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p.</w:t>
      </w:r>
      <w:r>
        <w:rPr>
          <w:sz w:val="20"/>
          <w:szCs w:val="20"/>
          <w:color w:val="auto"/>
        </w:rPr>
        <w:tab/>
      </w:r>
      <w:r>
        <w:rPr>
          <w:rFonts w:ascii="Arial" w:cs="Arial" w:eastAsia="Arial" w:hAnsi="Arial"/>
          <w:sz w:val="16"/>
          <w:szCs w:val="16"/>
          <w:b w:val="1"/>
          <w:bCs w:val="1"/>
          <w:color w:val="auto"/>
        </w:rPr>
        <w:t>Fair value measurement</w:t>
      </w:r>
    </w:p>
    <w:p>
      <w:pPr>
        <w:spacing w:after="0" w:line="289" w:lineRule="exact"/>
        <w:rPr>
          <w:sz w:val="20"/>
          <w:szCs w:val="20"/>
          <w:color w:val="auto"/>
        </w:rPr>
      </w:pPr>
    </w:p>
    <w:p>
      <w:pPr>
        <w:ind w:left="700" w:right="180"/>
        <w:spacing w:after="0" w:line="317" w:lineRule="auto"/>
        <w:rPr>
          <w:sz w:val="20"/>
          <w:szCs w:val="20"/>
          <w:color w:val="auto"/>
        </w:rPr>
      </w:pPr>
      <w:r>
        <w:rPr>
          <w:rFonts w:ascii="Arial" w:cs="Arial" w:eastAsia="Arial" w:hAnsi="Arial"/>
          <w:sz w:val="19"/>
          <w:szCs w:val="19"/>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196" w:lineRule="exact"/>
        <w:rPr>
          <w:sz w:val="20"/>
          <w:szCs w:val="20"/>
          <w:color w:val="auto"/>
        </w:rPr>
      </w:pPr>
    </w:p>
    <w:p>
      <w:pPr>
        <w:ind w:left="700"/>
        <w:spacing w:after="0"/>
        <w:rPr>
          <w:sz w:val="20"/>
          <w:szCs w:val="20"/>
          <w:color w:val="auto"/>
        </w:rPr>
      </w:pPr>
      <w:r>
        <w:rPr>
          <w:rFonts w:ascii="Arial" w:cs="Arial" w:eastAsia="Arial" w:hAnsi="Arial"/>
          <w:sz w:val="19"/>
          <w:szCs w:val="19"/>
          <w:color w:val="auto"/>
        </w:rPr>
        <w:t>Level 1: Quoted prices (unadjusted) in active markets that are accessible at the measurement date for assets or liabilities.</w:t>
      </w:r>
    </w:p>
    <w:p>
      <w:pPr>
        <w:spacing w:after="0" w:line="56" w:lineRule="exact"/>
        <w:rPr>
          <w:sz w:val="20"/>
          <w:szCs w:val="20"/>
          <w:color w:val="auto"/>
        </w:rPr>
      </w:pPr>
    </w:p>
    <w:p>
      <w:pPr>
        <w:ind w:left="700"/>
        <w:spacing w:after="0"/>
        <w:rPr>
          <w:sz w:val="20"/>
          <w:szCs w:val="20"/>
          <w:color w:val="auto"/>
        </w:rPr>
      </w:pPr>
      <w:r>
        <w:rPr>
          <w:rFonts w:ascii="Arial" w:cs="Arial" w:eastAsia="Arial" w:hAnsi="Arial"/>
          <w:sz w:val="22"/>
          <w:szCs w:val="22"/>
          <w:color w:val="auto"/>
        </w:rPr>
        <w:t>The fair value hierarchy gives the highest priority to Level 1 inputs.</w:t>
      </w:r>
    </w:p>
    <w:p>
      <w:pPr>
        <w:spacing w:after="0" w:line="283" w:lineRule="exact"/>
        <w:rPr>
          <w:sz w:val="20"/>
          <w:szCs w:val="20"/>
          <w:color w:val="auto"/>
        </w:rPr>
      </w:pPr>
    </w:p>
    <w:p>
      <w:pPr>
        <w:ind w:left="700"/>
        <w:spacing w:after="0"/>
        <w:rPr>
          <w:sz w:val="20"/>
          <w:szCs w:val="20"/>
          <w:color w:val="auto"/>
        </w:rPr>
      </w:pPr>
      <w:r>
        <w:rPr>
          <w:rFonts w:ascii="Arial" w:cs="Arial" w:eastAsia="Arial" w:hAnsi="Arial"/>
          <w:sz w:val="19"/>
          <w:szCs w:val="19"/>
          <w:color w:val="auto"/>
        </w:rPr>
        <w:t>Level 2: Observable prices that are based on inputs not quoted on active markets, but corroborated by market data.</w:t>
      </w:r>
    </w:p>
    <w:p>
      <w:pPr>
        <w:spacing w:after="0" w:line="322" w:lineRule="exact"/>
        <w:rPr>
          <w:sz w:val="20"/>
          <w:szCs w:val="20"/>
          <w:color w:val="auto"/>
        </w:rPr>
      </w:pPr>
    </w:p>
    <w:p>
      <w:pPr>
        <w:ind w:left="700"/>
        <w:spacing w:after="0" w:line="276" w:lineRule="auto"/>
        <w:rPr>
          <w:sz w:val="20"/>
          <w:szCs w:val="20"/>
          <w:color w:val="auto"/>
        </w:rPr>
      </w:pPr>
      <w:r>
        <w:rPr>
          <w:rFonts w:ascii="Arial" w:cs="Arial" w:eastAsia="Arial" w:hAnsi="Arial"/>
          <w:sz w:val="22"/>
          <w:szCs w:val="22"/>
          <w:color w:val="auto"/>
        </w:rPr>
        <w:t>Level 3: Unobservable inputs are used when little or no market data is available. The fair value hierarchy gives the lowest priority to Level 3 inputs.</w:t>
      </w:r>
    </w:p>
    <w:p>
      <w:pPr>
        <w:spacing w:after="0" w:line="228" w:lineRule="exact"/>
        <w:rPr>
          <w:sz w:val="20"/>
          <w:szCs w:val="20"/>
          <w:color w:val="auto"/>
        </w:rPr>
      </w:pPr>
    </w:p>
    <w:p>
      <w:pPr>
        <w:ind w:left="700" w:right="120"/>
        <w:spacing w:after="0" w:line="266" w:lineRule="auto"/>
        <w:rPr>
          <w:sz w:val="20"/>
          <w:szCs w:val="20"/>
          <w:color w:val="auto"/>
        </w:rPr>
      </w:pPr>
      <w:r>
        <w:rPr>
          <w:rFonts w:ascii="Arial" w:cs="Arial" w:eastAsia="Arial" w:hAnsi="Arial"/>
          <w:sz w:val="22"/>
          <w:szCs w:val="22"/>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239" w:lineRule="exact"/>
        <w:rPr>
          <w:sz w:val="20"/>
          <w:szCs w:val="20"/>
          <w:color w:val="auto"/>
        </w:rPr>
      </w:pPr>
    </w:p>
    <w:p>
      <w:pPr>
        <w:ind w:left="700" w:right="520"/>
        <w:spacing w:after="0" w:line="266" w:lineRule="auto"/>
        <w:rPr>
          <w:sz w:val="20"/>
          <w:szCs w:val="20"/>
          <w:color w:val="auto"/>
        </w:rPr>
      </w:pPr>
      <w:r>
        <w:rPr>
          <w:rFonts w:ascii="Arial" w:cs="Arial" w:eastAsia="Arial" w:hAnsi="Arial"/>
          <w:sz w:val="22"/>
          <w:szCs w:val="22"/>
          <w:color w:val="auto"/>
        </w:rPr>
        <w:t>The carrying amount of the cash and cash equivalents, bank deposits, restricted cash, receivables from collaborative arrangements, restricted long-term deposits, accrued expenses (under other account payable) and other liabilities approximates their fair value.</w:t>
      </w:r>
    </w:p>
    <w:p>
      <w:pPr>
        <w:spacing w:after="0" w:line="229"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q.</w:t>
      </w:r>
      <w:r>
        <w:rPr>
          <w:sz w:val="20"/>
          <w:szCs w:val="20"/>
          <w:color w:val="auto"/>
        </w:rPr>
        <w:tab/>
      </w:r>
      <w:r>
        <w:rPr>
          <w:rFonts w:ascii="Arial" w:cs="Arial" w:eastAsia="Arial" w:hAnsi="Arial"/>
          <w:sz w:val="16"/>
          <w:szCs w:val="16"/>
          <w:b w:val="1"/>
          <w:bCs w:val="1"/>
          <w:color w:val="auto"/>
        </w:rPr>
        <w:t>Concentration of credit risks</w:t>
      </w:r>
    </w:p>
    <w:p>
      <w:pPr>
        <w:spacing w:after="0" w:line="289" w:lineRule="exact"/>
        <w:rPr>
          <w:sz w:val="20"/>
          <w:szCs w:val="20"/>
          <w:color w:val="auto"/>
        </w:rPr>
      </w:pPr>
    </w:p>
    <w:p>
      <w:pPr>
        <w:ind w:left="700"/>
        <w:spacing w:after="0" w:line="311" w:lineRule="auto"/>
        <w:rPr>
          <w:sz w:val="20"/>
          <w:szCs w:val="20"/>
          <w:color w:val="auto"/>
        </w:rPr>
      </w:pPr>
      <w:r>
        <w:rPr>
          <w:rFonts w:ascii="Arial" w:cs="Arial" w:eastAsia="Arial" w:hAnsi="Arial"/>
          <w:sz w:val="19"/>
          <w:szCs w:val="19"/>
          <w:color w:val="auto"/>
        </w:rPr>
        <w:t>Financial instruments that potentially subject the Company to concentration of credit risk consist principally of cash and cash equivalents, bank deposits and marketable securities and certain receivables. The Company deposits cash and cash equivalents with highly rated financial institutions (Israeli banks). In addition, all marketable securities carry a high rating or are government insured. The Company has not experienced any material credit losses in these accounts and does not believe it is exposed to significant credit risk on these instruments.</w:t>
      </w: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96" w:right="359" w:bottom="1440" w:gutter="0" w:footer="0" w:header="0"/>
        </w:sectPr>
      </w:pPr>
    </w:p>
    <w:bookmarkStart w:id="164" w:name="page165"/>
    <w:bookmarkEnd w:id="164"/>
    <w:p>
      <w:pPr>
        <w:jc w:val="center"/>
        <w:ind w:right="-79"/>
        <w:spacing w:after="0"/>
        <w:rPr>
          <w:sz w:val="20"/>
          <w:szCs w:val="20"/>
          <w:color w:val="auto"/>
        </w:rPr>
      </w:pPr>
      <w:r>
        <w:rPr>
          <w:rFonts w:ascii="Arial" w:cs="Arial" w:eastAsia="Arial" w:hAnsi="Arial"/>
          <w:sz w:val="22"/>
          <w:szCs w:val="22"/>
          <w:b w:val="1"/>
          <w:bCs w:val="1"/>
          <w:color w:val="auto"/>
        </w:rPr>
        <w:t>SOL-GEL TECHOLOGIES LTD.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2 — SIGNIFICANT ACCOUNTING POLICIES </w:t>
      </w:r>
      <w:r>
        <w:rPr>
          <w:rFonts w:ascii="Arial" w:cs="Arial" w:eastAsia="Arial" w:hAnsi="Arial"/>
          <w:sz w:val="22"/>
          <w:szCs w:val="22"/>
          <w:color w:val="auto"/>
        </w:rPr>
        <w:t>(continued)</w:t>
      </w:r>
    </w:p>
    <w:p>
      <w:pPr>
        <w:spacing w:after="0" w:line="283" w:lineRule="exact"/>
        <w:rPr>
          <w:sz w:val="20"/>
          <w:szCs w:val="20"/>
          <w:color w:val="auto"/>
        </w:rPr>
      </w:pPr>
    </w:p>
    <w:p>
      <w:pPr>
        <w:ind w:left="680" w:hanging="321"/>
        <w:spacing w:after="0"/>
        <w:tabs>
          <w:tab w:leader="none" w:pos="680" w:val="left"/>
        </w:tabs>
        <w:numPr>
          <w:ilvl w:val="0"/>
          <w:numId w:val="153"/>
        </w:numPr>
        <w:rPr>
          <w:rFonts w:ascii="Arial" w:cs="Arial" w:eastAsia="Arial" w:hAnsi="Arial"/>
          <w:sz w:val="18"/>
          <w:szCs w:val="18"/>
          <w:b w:val="1"/>
          <w:bCs w:val="1"/>
          <w:color w:val="auto"/>
        </w:rPr>
      </w:pPr>
      <w:r>
        <w:rPr>
          <w:rFonts w:ascii="Arial" w:cs="Arial" w:eastAsia="Arial" w:hAnsi="Arial"/>
          <w:sz w:val="18"/>
          <w:szCs w:val="18"/>
          <w:b w:val="1"/>
          <w:bCs w:val="1"/>
          <w:color w:val="auto"/>
        </w:rPr>
        <w:t>Newly issued and recently adopted accounting pronouncements:</w:t>
      </w:r>
    </w:p>
    <w:p>
      <w:pPr>
        <w:spacing w:after="0" w:line="279" w:lineRule="exact"/>
        <w:rPr>
          <w:rFonts w:ascii="Arial" w:cs="Arial" w:eastAsia="Arial" w:hAnsi="Arial"/>
          <w:sz w:val="18"/>
          <w:szCs w:val="18"/>
          <w:b w:val="1"/>
          <w:bCs w:val="1"/>
          <w:color w:val="auto"/>
        </w:rPr>
      </w:pPr>
    </w:p>
    <w:p>
      <w:pPr>
        <w:ind w:left="1000" w:hanging="317"/>
        <w:spacing w:after="0"/>
        <w:tabs>
          <w:tab w:leader="none" w:pos="1000" w:val="left"/>
        </w:tabs>
        <w:numPr>
          <w:ilvl w:val="1"/>
          <w:numId w:val="153"/>
        </w:numPr>
        <w:rPr>
          <w:rFonts w:ascii="Arial" w:cs="Arial" w:eastAsia="Arial" w:hAnsi="Arial"/>
          <w:sz w:val="18"/>
          <w:szCs w:val="18"/>
          <w:color w:val="auto"/>
        </w:rPr>
      </w:pPr>
      <w:r>
        <w:rPr>
          <w:rFonts w:ascii="Arial" w:cs="Arial" w:eastAsia="Arial" w:hAnsi="Arial"/>
          <w:sz w:val="18"/>
          <w:szCs w:val="18"/>
          <w:b w:val="1"/>
          <w:bCs w:val="1"/>
          <w:color w:val="auto"/>
        </w:rPr>
        <w:t>Recently adopted accounting pronouncements</w:t>
      </w:r>
      <w:r>
        <w:rPr>
          <w:rFonts w:ascii="Arial" w:cs="Arial" w:eastAsia="Arial" w:hAnsi="Arial"/>
          <w:sz w:val="18"/>
          <w:szCs w:val="18"/>
          <w:color w:val="auto"/>
        </w:rPr>
        <w:t>:</w:t>
      </w:r>
    </w:p>
    <w:p>
      <w:pPr>
        <w:spacing w:after="0" w:line="283" w:lineRule="exact"/>
        <w:rPr>
          <w:rFonts w:ascii="Arial" w:cs="Arial" w:eastAsia="Arial" w:hAnsi="Arial"/>
          <w:sz w:val="18"/>
          <w:szCs w:val="18"/>
          <w:color w:val="auto"/>
        </w:rPr>
      </w:pPr>
    </w:p>
    <w:p>
      <w:pPr>
        <w:ind w:left="1340" w:right="60" w:hanging="333"/>
        <w:spacing w:after="0" w:line="293" w:lineRule="auto"/>
        <w:tabs>
          <w:tab w:leader="none" w:pos="1340" w:val="left"/>
        </w:tabs>
        <w:numPr>
          <w:ilvl w:val="2"/>
          <w:numId w:val="153"/>
        </w:numPr>
        <w:rPr>
          <w:rFonts w:ascii="Arial" w:cs="Arial" w:eastAsia="Arial" w:hAnsi="Arial"/>
          <w:sz w:val="16"/>
          <w:szCs w:val="16"/>
          <w:color w:val="auto"/>
        </w:rPr>
      </w:pPr>
      <w:r>
        <w:rPr>
          <w:rFonts w:ascii="Arial" w:cs="Arial" w:eastAsia="Arial" w:hAnsi="Arial"/>
          <w:sz w:val="16"/>
          <w:szCs w:val="16"/>
          <w:color w:val="auto"/>
        </w:rPr>
        <w:t>In June 2018, the FASB issued ASU 2018-07, “Compensation – Stock Compensation (Topic 718): Improvements to Nonemployee Share-based Payment Accounting” that expands the scope of ASC Topic 718 to include share-based payment transactions for acquiring goods and services from nonemployees. An entity should apply the requirements of ASC Topic 718 to nonemployee awards except for certain exemptions specified in the amendment. The guidance is effective for fiscal years beginning after December 15, 2018, including interim reporting periods within that fiscal year. Under the provisions of the amendment, the Company measures share-based compensation to non-employees in the same manner (except for certain exceptions) as share-based compensation to employees.</w:t>
      </w:r>
    </w:p>
    <w:p>
      <w:pPr>
        <w:spacing w:after="0" w:line="214" w:lineRule="exact"/>
        <w:rPr>
          <w:rFonts w:ascii="Arial" w:cs="Arial" w:eastAsia="Arial" w:hAnsi="Arial"/>
          <w:sz w:val="16"/>
          <w:szCs w:val="16"/>
          <w:color w:val="auto"/>
        </w:rPr>
      </w:pPr>
    </w:p>
    <w:p>
      <w:pPr>
        <w:ind w:left="1000" w:hanging="317"/>
        <w:spacing w:after="0"/>
        <w:tabs>
          <w:tab w:leader="none" w:pos="1000" w:val="left"/>
        </w:tabs>
        <w:numPr>
          <w:ilvl w:val="1"/>
          <w:numId w:val="153"/>
        </w:numPr>
        <w:rPr>
          <w:rFonts w:ascii="Arial" w:cs="Arial" w:eastAsia="Arial" w:hAnsi="Arial"/>
          <w:sz w:val="18"/>
          <w:szCs w:val="18"/>
          <w:color w:val="auto"/>
        </w:rPr>
      </w:pPr>
      <w:r>
        <w:rPr>
          <w:rFonts w:ascii="Arial" w:cs="Arial" w:eastAsia="Arial" w:hAnsi="Arial"/>
          <w:sz w:val="18"/>
          <w:szCs w:val="18"/>
          <w:b w:val="1"/>
          <w:bCs w:val="1"/>
          <w:color w:val="auto"/>
        </w:rPr>
        <w:t>Newly issued accounting pronouncements but not yet adopted:</w:t>
      </w:r>
    </w:p>
    <w:p>
      <w:pPr>
        <w:spacing w:after="0" w:line="283" w:lineRule="exact"/>
        <w:rPr>
          <w:rFonts w:ascii="Arial" w:cs="Arial" w:eastAsia="Arial" w:hAnsi="Arial"/>
          <w:sz w:val="18"/>
          <w:szCs w:val="18"/>
          <w:color w:val="auto"/>
        </w:rPr>
      </w:pPr>
    </w:p>
    <w:p>
      <w:pPr>
        <w:ind w:left="1340" w:hanging="333"/>
        <w:spacing w:after="0" w:line="275" w:lineRule="auto"/>
        <w:tabs>
          <w:tab w:leader="none" w:pos="1385" w:val="left"/>
        </w:tabs>
        <w:numPr>
          <w:ilvl w:val="2"/>
          <w:numId w:val="153"/>
        </w:numPr>
        <w:rPr>
          <w:rFonts w:ascii="Arial" w:cs="Arial" w:eastAsia="Arial" w:hAnsi="Arial"/>
          <w:sz w:val="17"/>
          <w:szCs w:val="17"/>
          <w:color w:val="auto"/>
        </w:rPr>
      </w:pPr>
      <w:r>
        <w:rPr>
          <w:rFonts w:ascii="Arial" w:cs="Arial" w:eastAsia="Arial" w:hAnsi="Arial"/>
          <w:sz w:val="17"/>
          <w:szCs w:val="17"/>
          <w:color w:val="auto"/>
        </w:rPr>
        <w:t>In June 2016, the FASB issued ASU 2016-13 “Financial Instruments Credit Losses Measurement of Credit Losses on Financial Instruments”. This guidance replaces the current incurred loss impairment methodology with a methodology that reflects expected credit losses and requires consideration of a broader range of reasonable and supportable information to inform credit loss estimates. The guidance will be effective for the fiscal year beginning on January 1, 2020, including interim periods within that year. The adoption of this guidance will not have a significant impact on the Company's consolidated financial statements.</w:t>
      </w:r>
    </w:p>
    <w:p>
      <w:pPr>
        <w:spacing w:after="0" w:line="398"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96" w:right="419" w:bottom="1440" w:gutter="0" w:footer="0" w:header="0"/>
        </w:sectPr>
      </w:pPr>
    </w:p>
    <w:bookmarkStart w:id="165" w:name="page166"/>
    <w:bookmarkEnd w:id="165"/>
    <w:p>
      <w:pPr>
        <w:jc w:val="center"/>
        <w:spacing w:after="0"/>
        <w:rPr>
          <w:sz w:val="20"/>
          <w:szCs w:val="20"/>
          <w:color w:val="auto"/>
        </w:rPr>
      </w:pPr>
      <w:r>
        <w:rPr>
          <w:rFonts w:ascii="Arial" w:cs="Arial" w:eastAsia="Arial" w:hAnsi="Arial"/>
          <w:sz w:val="22"/>
          <w:szCs w:val="22"/>
          <w:b w:val="1"/>
          <w:bCs w:val="1"/>
          <w:color w:val="auto"/>
        </w:rPr>
        <w:t>SOL-GEL TECHOLOGIES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3 — MARKETABLE SECURITIES</w:t>
      </w:r>
    </w:p>
    <w:p>
      <w:pPr>
        <w:spacing w:after="0" w:line="293" w:lineRule="exact"/>
        <w:rPr>
          <w:sz w:val="20"/>
          <w:szCs w:val="20"/>
          <w:color w:val="auto"/>
        </w:rPr>
      </w:pPr>
    </w:p>
    <w:p>
      <w:pPr>
        <w:ind w:left="340"/>
        <w:spacing w:after="0"/>
        <w:rPr>
          <w:sz w:val="20"/>
          <w:szCs w:val="20"/>
          <w:color w:val="auto"/>
        </w:rPr>
      </w:pPr>
      <w:r>
        <w:rPr>
          <w:rFonts w:ascii="Arial" w:cs="Arial" w:eastAsia="Arial" w:hAnsi="Arial"/>
          <w:sz w:val="22"/>
          <w:szCs w:val="22"/>
          <w:color w:val="auto"/>
        </w:rPr>
        <w:t>The following table sets forth the Company’s marketable securities for the indicated period:</w:t>
      </w:r>
    </w:p>
    <w:p>
      <w:pPr>
        <w:spacing w:after="0" w:line="281" w:lineRule="exact"/>
        <w:rPr>
          <w:sz w:val="20"/>
          <w:szCs w:val="20"/>
          <w:color w:val="auto"/>
        </w:rPr>
      </w:pPr>
    </w:p>
    <w:tbl>
      <w:tblPr>
        <w:tblLayout w:type="fixed"/>
        <w:tblInd w:w="580" w:type="dxa"/>
        <w:tblCellMar>
          <w:top w:w="0" w:type="dxa"/>
          <w:left w:w="0" w:type="dxa"/>
          <w:bottom w:w="0" w:type="dxa"/>
          <w:right w:w="0" w:type="dxa"/>
        </w:tblCellMar>
      </w:tblPr>
      <w:tr>
        <w:trPr>
          <w:trHeight w:val="237"/>
        </w:trPr>
        <w:tc>
          <w:tcPr>
            <w:tcW w:w="8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20" w:type="dxa"/>
            <w:vAlign w:val="bottom"/>
            <w:gridSpan w:val="5"/>
          </w:tcPr>
          <w:p>
            <w:pPr>
              <w:jc w:val="right"/>
              <w:ind w:right="760"/>
              <w:spacing w:after="0"/>
              <w:rPr>
                <w:sz w:val="20"/>
                <w:szCs w:val="20"/>
                <w:color w:val="auto"/>
              </w:rPr>
            </w:pPr>
            <w:r>
              <w:rPr>
                <w:rFonts w:ascii="Arial" w:cs="Arial" w:eastAsia="Arial" w:hAnsi="Arial"/>
                <w:sz w:val="18"/>
                <w:szCs w:val="18"/>
                <w:color w:val="auto"/>
              </w:rPr>
              <w:t>December 31,</w:t>
            </w:r>
          </w:p>
        </w:tc>
      </w:tr>
      <w:tr>
        <w:trPr>
          <w:trHeight w:val="223"/>
        </w:trPr>
        <w:tc>
          <w:tcPr>
            <w:tcW w:w="82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rPr>
              <w:t>2018</w:t>
            </w:r>
          </w:p>
        </w:tc>
        <w:tc>
          <w:tcPr>
            <w:tcW w:w="22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19"/>
                <w:szCs w:val="19"/>
                <w:color w:val="auto"/>
              </w:rPr>
            </w:pP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Level 2 securities:</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20" w:type="dxa"/>
            <w:vAlign w:val="bottom"/>
          </w:tcPr>
          <w:p>
            <w:pPr>
              <w:spacing w:after="0"/>
              <w:rPr>
                <w:sz w:val="20"/>
                <w:szCs w:val="20"/>
                <w:color w:val="auto"/>
              </w:rPr>
            </w:pPr>
            <w:r>
              <w:rPr>
                <w:rFonts w:ascii="Arial" w:cs="Arial" w:eastAsia="Arial" w:hAnsi="Arial"/>
                <w:sz w:val="18"/>
                <w:szCs w:val="18"/>
                <w:color w:val="auto"/>
              </w:rPr>
              <w:t>U.S government and agency bonds</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7,933</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2,499</w:t>
            </w: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Canada government bonds</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1,009</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999</w:t>
            </w:r>
          </w:p>
        </w:tc>
      </w:tr>
      <w:tr>
        <w:trPr>
          <w:trHeight w:val="216"/>
        </w:trPr>
        <w:tc>
          <w:tcPr>
            <w:tcW w:w="8220" w:type="dxa"/>
            <w:vAlign w:val="bottom"/>
          </w:tcPr>
          <w:p>
            <w:pPr>
              <w:spacing w:after="0"/>
              <w:rPr>
                <w:sz w:val="20"/>
                <w:szCs w:val="20"/>
                <w:color w:val="auto"/>
              </w:rPr>
            </w:pPr>
            <w:r>
              <w:rPr>
                <w:rFonts w:ascii="Arial" w:cs="Arial" w:eastAsia="Arial" w:hAnsi="Arial"/>
                <w:sz w:val="18"/>
                <w:szCs w:val="18"/>
                <w:color w:val="auto"/>
              </w:rPr>
              <w:t>Other foreign government bonds</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5,259</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3,521</w:t>
            </w: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Corporate bonds*</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42,461</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33,947</w:t>
            </w:r>
          </w:p>
        </w:tc>
      </w:tr>
      <w:tr>
        <w:trPr>
          <w:trHeight w:val="27"/>
        </w:trPr>
        <w:tc>
          <w:tcPr>
            <w:tcW w:w="82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8220" w:type="dxa"/>
            <w:vAlign w:val="bottom"/>
          </w:tcPr>
          <w:p>
            <w:pPr>
              <w:spacing w:after="0"/>
              <w:rPr>
                <w:sz w:val="20"/>
                <w:szCs w:val="20"/>
                <w:color w:val="auto"/>
              </w:rPr>
            </w:pPr>
            <w:r>
              <w:rPr>
                <w:rFonts w:ascii="Arial" w:cs="Arial" w:eastAsia="Arial" w:hAnsi="Arial"/>
                <w:sz w:val="18"/>
                <w:szCs w:val="18"/>
                <w:color w:val="auto"/>
              </w:rPr>
              <w:t>Total</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56,662</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40,966</w:t>
            </w:r>
          </w:p>
        </w:tc>
      </w:tr>
      <w:tr>
        <w:trPr>
          <w:trHeight w:val="20"/>
        </w:trPr>
        <w:tc>
          <w:tcPr>
            <w:tcW w:w="8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62" w:lineRule="exact"/>
        <w:rPr>
          <w:sz w:val="20"/>
          <w:szCs w:val="20"/>
          <w:color w:val="auto"/>
        </w:rPr>
      </w:pPr>
    </w:p>
    <w:p>
      <w:pPr>
        <w:ind w:left="340"/>
        <w:spacing w:after="0"/>
        <w:rPr>
          <w:sz w:val="20"/>
          <w:szCs w:val="20"/>
          <w:color w:val="auto"/>
        </w:rPr>
      </w:pPr>
      <w:r>
        <w:rPr>
          <w:rFonts w:ascii="Arial" w:cs="Arial" w:eastAsia="Arial" w:hAnsi="Arial"/>
          <w:sz w:val="22"/>
          <w:szCs w:val="22"/>
          <w:color w:val="auto"/>
        </w:rPr>
        <w:t>* Investments in Corporate bonds rated A or higher.</w:t>
      </w:r>
    </w:p>
    <w:p>
      <w:pPr>
        <w:spacing w:after="0" w:line="287" w:lineRule="exact"/>
        <w:rPr>
          <w:sz w:val="20"/>
          <w:szCs w:val="20"/>
          <w:color w:val="auto"/>
        </w:rPr>
      </w:pPr>
    </w:p>
    <w:p>
      <w:pPr>
        <w:ind w:left="340" w:right="660"/>
        <w:spacing w:after="0" w:line="276" w:lineRule="auto"/>
        <w:rPr>
          <w:sz w:val="20"/>
          <w:szCs w:val="20"/>
          <w:color w:val="auto"/>
        </w:rPr>
      </w:pPr>
      <w:r>
        <w:rPr>
          <w:rFonts w:ascii="Arial" w:cs="Arial" w:eastAsia="Arial" w:hAnsi="Arial"/>
          <w:sz w:val="22"/>
          <w:szCs w:val="22"/>
          <w:color w:val="auto"/>
        </w:rPr>
        <w:t>The Company’s debt securities are classified within Level 2 because it uses quoted market prices or alternative pricing sources and models utilizing market observable inputs to determine their fair value.</w:t>
      </w:r>
    </w:p>
    <w:p>
      <w:pPr>
        <w:spacing w:after="0" w:line="228" w:lineRule="exact"/>
        <w:rPr>
          <w:sz w:val="20"/>
          <w:szCs w:val="20"/>
          <w:color w:val="auto"/>
        </w:rPr>
      </w:pPr>
    </w:p>
    <w:p>
      <w:pPr>
        <w:ind w:left="340" w:right="340"/>
        <w:spacing w:after="0" w:line="276" w:lineRule="auto"/>
        <w:rPr>
          <w:sz w:val="20"/>
          <w:szCs w:val="20"/>
          <w:color w:val="auto"/>
        </w:rPr>
      </w:pPr>
      <w:r>
        <w:rPr>
          <w:rFonts w:ascii="Arial" w:cs="Arial" w:eastAsia="Arial" w:hAnsi="Arial"/>
          <w:sz w:val="22"/>
          <w:szCs w:val="22"/>
          <w:color w:val="auto"/>
        </w:rPr>
        <w:t>The table below sets forth a summary of the changes in the fair value of the Company’s marketable securities for the years ended December 31, 2018 and 2019:</w:t>
      </w:r>
    </w:p>
    <w:p>
      <w:pPr>
        <w:spacing w:after="0" w:line="222" w:lineRule="exact"/>
        <w:rPr>
          <w:sz w:val="20"/>
          <w:szCs w:val="20"/>
          <w:color w:val="auto"/>
        </w:rPr>
      </w:pPr>
    </w:p>
    <w:tbl>
      <w:tblPr>
        <w:tblLayout w:type="fixed"/>
        <w:tblInd w:w="580" w:type="dxa"/>
        <w:tblCellMar>
          <w:top w:w="0" w:type="dxa"/>
          <w:left w:w="0" w:type="dxa"/>
          <w:bottom w:w="0" w:type="dxa"/>
          <w:right w:w="0" w:type="dxa"/>
        </w:tblCellMar>
      </w:tblPr>
      <w:tr>
        <w:trPr>
          <w:trHeight w:val="237"/>
        </w:trPr>
        <w:tc>
          <w:tcPr>
            <w:tcW w:w="8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20" w:type="dxa"/>
            <w:vAlign w:val="bottom"/>
            <w:gridSpan w:val="5"/>
          </w:tcPr>
          <w:p>
            <w:pPr>
              <w:jc w:val="right"/>
              <w:ind w:right="760"/>
              <w:spacing w:after="0"/>
              <w:rPr>
                <w:sz w:val="20"/>
                <w:szCs w:val="20"/>
                <w:color w:val="auto"/>
              </w:rPr>
            </w:pPr>
            <w:r>
              <w:rPr>
                <w:rFonts w:ascii="Arial" w:cs="Arial" w:eastAsia="Arial" w:hAnsi="Arial"/>
                <w:sz w:val="18"/>
                <w:szCs w:val="18"/>
                <w:color w:val="auto"/>
              </w:rPr>
              <w:t>December 31,</w:t>
            </w:r>
          </w:p>
        </w:tc>
      </w:tr>
      <w:tr>
        <w:trPr>
          <w:trHeight w:val="223"/>
        </w:trPr>
        <w:tc>
          <w:tcPr>
            <w:tcW w:w="82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color w:val="auto"/>
              </w:rPr>
              <w:t>2018</w:t>
            </w:r>
          </w:p>
        </w:tc>
        <w:tc>
          <w:tcPr>
            <w:tcW w:w="22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19"/>
                <w:szCs w:val="19"/>
                <w:color w:val="auto"/>
              </w:rPr>
            </w:pP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the year</w:t>
            </w: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56,662</w:t>
            </w:r>
          </w:p>
        </w:tc>
        <w:tc>
          <w:tcPr>
            <w:tcW w:w="100" w:type="dxa"/>
            <w:vAlign w:val="bottom"/>
            <w:shd w:val="clear" w:color="auto" w:fill="CCEEFF"/>
          </w:tcPr>
          <w:p>
            <w:pPr>
              <w:spacing w:after="0"/>
              <w:rPr>
                <w:sz w:val="18"/>
                <w:szCs w:val="18"/>
                <w:color w:val="auto"/>
              </w:rPr>
            </w:pPr>
          </w:p>
        </w:tc>
      </w:tr>
      <w:tr>
        <w:trPr>
          <w:trHeight w:val="216"/>
        </w:trPr>
        <w:tc>
          <w:tcPr>
            <w:tcW w:w="8220" w:type="dxa"/>
            <w:vAlign w:val="bottom"/>
          </w:tcPr>
          <w:p>
            <w:pPr>
              <w:spacing w:after="0"/>
              <w:rPr>
                <w:sz w:val="20"/>
                <w:szCs w:val="20"/>
                <w:color w:val="auto"/>
              </w:rPr>
            </w:pPr>
            <w:r>
              <w:rPr>
                <w:rFonts w:ascii="Arial" w:cs="Arial" w:eastAsia="Arial" w:hAnsi="Arial"/>
                <w:sz w:val="18"/>
                <w:szCs w:val="18"/>
                <w:color w:val="auto"/>
              </w:rPr>
              <w:t>Additions</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71,783</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38,702</w:t>
            </w: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Sale or maturity</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(15,092)</w:t>
            </w: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(54,333)</w:t>
            </w:r>
          </w:p>
        </w:tc>
      </w:tr>
      <w:tr>
        <w:trPr>
          <w:trHeight w:val="223"/>
        </w:trPr>
        <w:tc>
          <w:tcPr>
            <w:tcW w:w="8220" w:type="dxa"/>
            <w:vAlign w:val="bottom"/>
          </w:tcPr>
          <w:p>
            <w:pPr>
              <w:spacing w:after="0"/>
              <w:rPr>
                <w:sz w:val="20"/>
                <w:szCs w:val="20"/>
                <w:color w:val="auto"/>
              </w:rPr>
            </w:pPr>
            <w:r>
              <w:rPr>
                <w:rFonts w:ascii="Arial" w:cs="Arial" w:eastAsia="Arial" w:hAnsi="Arial"/>
                <w:sz w:val="18"/>
                <w:szCs w:val="18"/>
                <w:color w:val="auto"/>
              </w:rPr>
              <w:t>Changes in fair value during the year</w:t>
            </w:r>
          </w:p>
        </w:tc>
        <w:tc>
          <w:tcPr>
            <w:tcW w:w="22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(29)</w:t>
            </w:r>
          </w:p>
        </w:tc>
        <w:tc>
          <w:tcPr>
            <w:tcW w:w="220" w:type="dxa"/>
            <w:vAlign w:val="bottom"/>
          </w:tcPr>
          <w:p>
            <w:pPr>
              <w:spacing w:after="0"/>
              <w:rPr>
                <w:sz w:val="19"/>
                <w:szCs w:val="19"/>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(65)</w:t>
            </w:r>
          </w:p>
        </w:tc>
      </w:tr>
      <w:tr>
        <w:trPr>
          <w:trHeight w:val="257"/>
        </w:trPr>
        <w:tc>
          <w:tcPr>
            <w:tcW w:w="82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end of the year</w:t>
            </w: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56,662</w:t>
            </w:r>
          </w:p>
        </w:tc>
        <w:tc>
          <w:tcPr>
            <w:tcW w:w="2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40,966</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62" w:lineRule="exact"/>
        <w:rPr>
          <w:sz w:val="20"/>
          <w:szCs w:val="20"/>
          <w:color w:val="auto"/>
        </w:rPr>
      </w:pPr>
    </w:p>
    <w:p>
      <w:pPr>
        <w:ind w:left="340"/>
        <w:spacing w:after="0"/>
        <w:rPr>
          <w:sz w:val="20"/>
          <w:szCs w:val="20"/>
          <w:color w:val="auto"/>
        </w:rPr>
      </w:pPr>
      <w:r>
        <w:rPr>
          <w:rFonts w:ascii="Arial" w:cs="Arial" w:eastAsia="Arial" w:hAnsi="Arial"/>
          <w:sz w:val="22"/>
          <w:szCs w:val="22"/>
          <w:color w:val="auto"/>
        </w:rPr>
        <w:t>As of December 31, 2019, the Company’s debt securities had the following maturity dates:</w:t>
      </w:r>
    </w:p>
    <w:p>
      <w:pPr>
        <w:spacing w:after="0" w:line="277" w:lineRule="exact"/>
        <w:rPr>
          <w:sz w:val="20"/>
          <w:szCs w:val="20"/>
          <w:color w:val="auto"/>
        </w:rPr>
      </w:pPr>
    </w:p>
    <w:p>
      <w:pPr>
        <w:ind w:left="10380"/>
        <w:spacing w:after="0"/>
        <w:rPr>
          <w:sz w:val="20"/>
          <w:szCs w:val="20"/>
          <w:color w:val="auto"/>
        </w:rPr>
      </w:pPr>
      <w:r>
        <w:rPr>
          <w:rFonts w:ascii="Arial" w:cs="Arial" w:eastAsia="Arial" w:hAnsi="Arial"/>
          <w:sz w:val="18"/>
          <w:szCs w:val="18"/>
          <w:b w:val="1"/>
          <w:bCs w:val="1"/>
          <w:color w:val="auto"/>
        </w:rPr>
        <w:t>Market</w:t>
      </w:r>
    </w:p>
    <w:p>
      <w:pPr>
        <w:spacing w:after="0" w:line="27" w:lineRule="exact"/>
        <w:rPr>
          <w:sz w:val="20"/>
          <w:szCs w:val="20"/>
          <w:color w:val="auto"/>
        </w:rPr>
      </w:pPr>
    </w:p>
    <w:p>
      <w:pPr>
        <w:ind w:left="10400"/>
        <w:spacing w:after="0"/>
        <w:rPr>
          <w:sz w:val="20"/>
          <w:szCs w:val="20"/>
          <w:color w:val="auto"/>
        </w:rPr>
      </w:pPr>
      <w:r>
        <w:rPr>
          <w:rFonts w:ascii="Arial" w:cs="Arial" w:eastAsia="Arial" w:hAnsi="Arial"/>
          <w:sz w:val="18"/>
          <w:szCs w:val="18"/>
          <w:b w:val="1"/>
          <w:bCs w:val="1"/>
          <w:color w:val="auto"/>
        </w:rPr>
        <w:t>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6400165</wp:posOffset>
            </wp:positionH>
            <wp:positionV relativeFrom="paragraph">
              <wp:posOffset>5715</wp:posOffset>
            </wp:positionV>
            <wp:extent cx="677545" cy="171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2">
                      <a:extLst>
                        <a:ext uri="{28A0092B-C50C-407E-A947-70E740481C1C}"/>
                      </a:extLst>
                    </a:blip>
                    <a:srcRect/>
                    <a:stretch>
                      <a:fillRect/>
                    </a:stretch>
                  </pic:blipFill>
                  <pic:spPr bwMode="auto">
                    <a:xfrm>
                      <a:off x="0" y="0"/>
                      <a:ext cx="677545" cy="17145"/>
                    </a:xfrm>
                    <a:prstGeom prst="rect">
                      <a:avLst/>
                    </a:prstGeom>
                    <a:noFill/>
                  </pic:spPr>
                </pic:pic>
              </a:graphicData>
            </a:graphic>
          </wp:anchor>
        </w:drawing>
      </w:r>
    </w:p>
    <w:p>
      <w:pPr>
        <w:ind w:left="10280"/>
        <w:spacing w:after="0"/>
        <w:rPr>
          <w:sz w:val="20"/>
          <w:szCs w:val="20"/>
          <w:color w:val="auto"/>
        </w:rPr>
      </w:pPr>
      <w:r>
        <w:rPr>
          <w:rFonts w:ascii="Arial" w:cs="Arial" w:eastAsia="Arial" w:hAnsi="Arial"/>
          <w:sz w:val="18"/>
          <w:szCs w:val="18"/>
          <w:b w:val="1"/>
          <w:bCs w:val="1"/>
          <w:color w:val="auto"/>
        </w:rPr>
        <w:t>December</w:t>
      </w:r>
    </w:p>
    <w:p>
      <w:pPr>
        <w:spacing w:after="0" w:line="27" w:lineRule="exact"/>
        <w:rPr>
          <w:sz w:val="20"/>
          <w:szCs w:val="20"/>
          <w:color w:val="auto"/>
        </w:rPr>
      </w:pPr>
    </w:p>
    <w:p>
      <w:pPr>
        <w:ind w:left="10500"/>
        <w:spacing w:after="0"/>
        <w:rPr>
          <w:sz w:val="20"/>
          <w:szCs w:val="20"/>
          <w:color w:val="auto"/>
        </w:rPr>
      </w:pPr>
      <w:r>
        <w:rPr>
          <w:rFonts w:ascii="Arial" w:cs="Arial" w:eastAsia="Arial" w:hAnsi="Arial"/>
          <w:sz w:val="18"/>
          <w:szCs w:val="18"/>
          <w:b w:val="1"/>
          <w:bCs w:val="1"/>
          <w:color w:val="auto"/>
        </w:rPr>
        <w:t>31,</w:t>
      </w:r>
    </w:p>
    <w:p>
      <w:pPr>
        <w:spacing w:after="0" w:line="9" w:lineRule="exact"/>
        <w:rPr>
          <w:sz w:val="20"/>
          <w:szCs w:val="20"/>
          <w:color w:val="auto"/>
        </w:rPr>
      </w:pPr>
    </w:p>
    <w:p>
      <w:pPr>
        <w:ind w:left="10500"/>
        <w:spacing w:after="0"/>
        <w:rPr>
          <w:sz w:val="20"/>
          <w:szCs w:val="20"/>
          <w:color w:val="auto"/>
        </w:rPr>
      </w:pPr>
      <w:r>
        <w:rPr>
          <w:rFonts w:ascii="Arial" w:cs="Arial" w:eastAsia="Arial" w:hAnsi="Arial"/>
          <w:sz w:val="18"/>
          <w:szCs w:val="18"/>
          <w:b w:val="1"/>
          <w:bCs w:val="1"/>
          <w:color w:val="auto"/>
        </w:rPr>
        <w:t>2019</w:t>
      </w:r>
    </w:p>
    <w:p>
      <w:pPr>
        <w:spacing w:after="0" w:line="9" w:lineRule="exact"/>
        <w:rPr>
          <w:sz w:val="20"/>
          <w:szCs w:val="20"/>
          <w:color w:val="auto"/>
        </w:rPr>
      </w:pPr>
    </w:p>
    <w:tbl>
      <w:tblPr>
        <w:tblLayout w:type="fixed"/>
        <w:tblInd w:w="580" w:type="dxa"/>
        <w:tblCellMar>
          <w:top w:w="0" w:type="dxa"/>
          <w:left w:w="0" w:type="dxa"/>
          <w:bottom w:w="0" w:type="dxa"/>
          <w:right w:w="0" w:type="dxa"/>
        </w:tblCellMar>
      </w:tblPr>
      <w:tr>
        <w:trPr>
          <w:trHeight w:val="223"/>
        </w:trPr>
        <w:tc>
          <w:tcPr>
            <w:tcW w:w="9500" w:type="dxa"/>
            <w:vAlign w:val="bottom"/>
            <w:shd w:val="clear" w:color="auto" w:fill="CCEEFF"/>
          </w:tcPr>
          <w:p>
            <w:pPr>
              <w:spacing w:after="0"/>
              <w:rPr>
                <w:sz w:val="20"/>
                <w:szCs w:val="20"/>
                <w:color w:val="auto"/>
              </w:rPr>
            </w:pPr>
            <w:r>
              <w:rPr>
                <w:rFonts w:ascii="Arial" w:cs="Arial" w:eastAsia="Arial" w:hAnsi="Arial"/>
                <w:sz w:val="18"/>
                <w:szCs w:val="18"/>
                <w:color w:val="auto"/>
              </w:rPr>
              <w:t>Due within one year</w:t>
            </w:r>
          </w:p>
        </w:tc>
        <w:tc>
          <w:tcPr>
            <w:tcW w:w="320" w:type="dxa"/>
            <w:vAlign w:val="bottom"/>
            <w:tcBorders>
              <w:top w:val="single" w:sz="8" w:color="auto"/>
            </w:tcBorders>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37,698</w:t>
            </w:r>
          </w:p>
        </w:tc>
        <w:tc>
          <w:tcPr>
            <w:tcW w:w="100" w:type="dxa"/>
            <w:vAlign w:val="bottom"/>
            <w:shd w:val="clear" w:color="auto" w:fill="CCEEFF"/>
          </w:tcPr>
          <w:p>
            <w:pPr>
              <w:spacing w:after="0"/>
              <w:rPr>
                <w:sz w:val="19"/>
                <w:szCs w:val="19"/>
                <w:color w:val="auto"/>
              </w:rPr>
            </w:pPr>
          </w:p>
        </w:tc>
      </w:tr>
      <w:tr>
        <w:trPr>
          <w:trHeight w:val="223"/>
        </w:trPr>
        <w:tc>
          <w:tcPr>
            <w:tcW w:w="9500" w:type="dxa"/>
            <w:vAlign w:val="bottom"/>
          </w:tcPr>
          <w:p>
            <w:pPr>
              <w:spacing w:after="0"/>
              <w:rPr>
                <w:sz w:val="20"/>
                <w:szCs w:val="20"/>
                <w:color w:val="auto"/>
              </w:rPr>
            </w:pPr>
            <w:r>
              <w:rPr>
                <w:rFonts w:ascii="Arial" w:cs="Arial" w:eastAsia="Arial" w:hAnsi="Arial"/>
                <w:sz w:val="18"/>
                <w:szCs w:val="18"/>
                <w:color w:val="auto"/>
              </w:rPr>
              <w:t>1 to 2 years</w:t>
            </w:r>
          </w:p>
        </w:tc>
        <w:tc>
          <w:tcPr>
            <w:tcW w:w="3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3,268</w:t>
            </w:r>
          </w:p>
        </w:tc>
        <w:tc>
          <w:tcPr>
            <w:tcW w:w="100" w:type="dxa"/>
            <w:vAlign w:val="bottom"/>
          </w:tcPr>
          <w:p>
            <w:pPr>
              <w:spacing w:after="0"/>
              <w:rPr>
                <w:sz w:val="19"/>
                <w:szCs w:val="19"/>
                <w:color w:val="auto"/>
              </w:rPr>
            </w:pPr>
          </w:p>
        </w:tc>
      </w:tr>
      <w:tr>
        <w:trPr>
          <w:trHeight w:val="257"/>
        </w:trPr>
        <w:tc>
          <w:tcPr>
            <w:tcW w:w="9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auto"/>
            </w:tcBorders>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40,966</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66" w:name="page167"/>
    <w:bookmarkEnd w:id="166"/>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4 — PROPERTY AND EQUIPMENT</w:t>
      </w:r>
    </w:p>
    <w:p>
      <w:pPr>
        <w:spacing w:after="0" w:line="283" w:lineRule="exact"/>
        <w:rPr>
          <w:sz w:val="20"/>
          <w:szCs w:val="20"/>
          <w:color w:val="auto"/>
        </w:rPr>
      </w:pPr>
    </w:p>
    <w:tbl>
      <w:tblPr>
        <w:tblLayout w:type="fixed"/>
        <w:tblInd w:w="580" w:type="dxa"/>
        <w:tblCellMar>
          <w:top w:w="0" w:type="dxa"/>
          <w:left w:w="0" w:type="dxa"/>
          <w:bottom w:w="0" w:type="dxa"/>
          <w:right w:w="0" w:type="dxa"/>
        </w:tblCellMar>
      </w:tblPr>
      <w:tr>
        <w:trPr>
          <w:trHeight w:val="241"/>
        </w:trPr>
        <w:tc>
          <w:tcPr>
            <w:tcW w:w="576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20" w:type="dxa"/>
            <w:vAlign w:val="bottom"/>
            <w:gridSpan w:val="6"/>
          </w:tcPr>
          <w:p>
            <w:pPr>
              <w:jc w:val="right"/>
              <w:ind w:right="76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5760" w:type="dxa"/>
            <w:vAlign w:val="bottom"/>
          </w:tcPr>
          <w:p>
            <w:pPr>
              <w:spacing w:after="0"/>
              <w:rPr>
                <w:sz w:val="19"/>
                <w:szCs w:val="19"/>
                <w:color w:val="auto"/>
              </w:rPr>
            </w:pPr>
          </w:p>
        </w:tc>
        <w:tc>
          <w:tcPr>
            <w:tcW w:w="24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Cost:</w:t>
            </w:r>
          </w:p>
        </w:tc>
        <w:tc>
          <w:tcPr>
            <w:tcW w:w="2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5760" w:type="dxa"/>
            <w:vAlign w:val="bottom"/>
          </w:tcPr>
          <w:p>
            <w:pPr>
              <w:ind w:left="160"/>
              <w:spacing w:after="0"/>
              <w:rPr>
                <w:sz w:val="20"/>
                <w:szCs w:val="20"/>
                <w:color w:val="auto"/>
              </w:rPr>
            </w:pPr>
            <w:r>
              <w:rPr>
                <w:rFonts w:ascii="Arial" w:cs="Arial" w:eastAsia="Arial" w:hAnsi="Arial"/>
                <w:sz w:val="18"/>
                <w:szCs w:val="18"/>
                <w:color w:val="auto"/>
              </w:rPr>
              <w:t>Laboratory equipment</w:t>
            </w:r>
          </w:p>
        </w:tc>
        <w:tc>
          <w:tcPr>
            <w:tcW w:w="268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2,829</w:t>
            </w:r>
          </w:p>
        </w:tc>
        <w:tc>
          <w:tcPr>
            <w:tcW w:w="140" w:type="dxa"/>
            <w:vAlign w:val="bottom"/>
          </w:tcPr>
          <w:p>
            <w:pPr>
              <w:spacing w:after="0"/>
              <w:rPr>
                <w:sz w:val="18"/>
                <w:szCs w:val="18"/>
                <w:color w:val="auto"/>
              </w:rPr>
            </w:pPr>
          </w:p>
        </w:tc>
        <w:tc>
          <w:tcPr>
            <w:tcW w:w="300" w:type="dxa"/>
            <w:vAlign w:val="bottom"/>
            <w:gridSpan w:val="2"/>
          </w:tcPr>
          <w:p>
            <w:pPr>
              <w:jc w:val="right"/>
              <w:ind w:right="67"/>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3,242</w:t>
            </w:r>
          </w:p>
        </w:tc>
      </w:tr>
      <w:tr>
        <w:trPr>
          <w:trHeight w:val="216"/>
        </w:trPr>
        <w:tc>
          <w:tcPr>
            <w:tcW w:w="57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Office equipment and furniture</w:t>
            </w:r>
          </w:p>
        </w:tc>
        <w:tc>
          <w:tcPr>
            <w:tcW w:w="2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265</w:t>
            </w:r>
          </w:p>
        </w:tc>
      </w:tr>
      <w:tr>
        <w:trPr>
          <w:trHeight w:val="216"/>
        </w:trPr>
        <w:tc>
          <w:tcPr>
            <w:tcW w:w="5760" w:type="dxa"/>
            <w:vAlign w:val="bottom"/>
          </w:tcPr>
          <w:p>
            <w:pPr>
              <w:ind w:left="160"/>
              <w:spacing w:after="0"/>
              <w:rPr>
                <w:sz w:val="20"/>
                <w:szCs w:val="20"/>
                <w:color w:val="auto"/>
              </w:rPr>
            </w:pPr>
            <w:r>
              <w:rPr>
                <w:rFonts w:ascii="Arial" w:cs="Arial" w:eastAsia="Arial" w:hAnsi="Arial"/>
                <w:sz w:val="18"/>
                <w:szCs w:val="18"/>
                <w:color w:val="auto"/>
              </w:rPr>
              <w:t>Computers and software</w:t>
            </w:r>
          </w:p>
        </w:tc>
        <w:tc>
          <w:tcPr>
            <w:tcW w:w="2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410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490</w:t>
            </w:r>
          </w:p>
        </w:tc>
      </w:tr>
      <w:tr>
        <w:trPr>
          <w:trHeight w:val="216"/>
        </w:trPr>
        <w:tc>
          <w:tcPr>
            <w:tcW w:w="57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Leasehold improvements</w:t>
            </w:r>
          </w:p>
        </w:tc>
        <w:tc>
          <w:tcPr>
            <w:tcW w:w="2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1,946</w:t>
            </w:r>
          </w:p>
        </w:tc>
      </w:tr>
      <w:tr>
        <w:trPr>
          <w:trHeight w:val="27"/>
        </w:trPr>
        <w:tc>
          <w:tcPr>
            <w:tcW w:w="5760" w:type="dxa"/>
            <w:vAlign w:val="bottom"/>
            <w:shd w:val="clear" w:color="auto" w:fill="CCEEFF"/>
          </w:tcPr>
          <w:p>
            <w:pPr>
              <w:spacing w:after="0"/>
              <w:rPr>
                <w:sz w:val="2"/>
                <w:szCs w:val="2"/>
                <w:color w:val="auto"/>
              </w:rPr>
            </w:pPr>
          </w:p>
        </w:tc>
        <w:tc>
          <w:tcPr>
            <w:tcW w:w="246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576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5,346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5,943</w:t>
            </w:r>
          </w:p>
        </w:tc>
      </w:tr>
      <w:tr>
        <w:trPr>
          <w:trHeight w:val="216"/>
        </w:trPr>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Less:</w:t>
            </w:r>
          </w:p>
        </w:tc>
        <w:tc>
          <w:tcPr>
            <w:tcW w:w="2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5760" w:type="dxa"/>
            <w:vAlign w:val="bottom"/>
          </w:tcPr>
          <w:p>
            <w:pPr>
              <w:ind w:left="160"/>
              <w:spacing w:after="0"/>
              <w:rPr>
                <w:sz w:val="20"/>
                <w:szCs w:val="20"/>
                <w:color w:val="auto"/>
              </w:rPr>
            </w:pPr>
            <w:r>
              <w:rPr>
                <w:rFonts w:ascii="Arial" w:cs="Arial" w:eastAsia="Arial" w:hAnsi="Arial"/>
                <w:sz w:val="18"/>
                <w:szCs w:val="18"/>
                <w:color w:val="auto"/>
              </w:rPr>
              <w:t>Accumulated depreciation and amortization</w:t>
            </w:r>
          </w:p>
        </w:tc>
        <w:tc>
          <w:tcPr>
            <w:tcW w:w="2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8"/>
                <w:szCs w:val="18"/>
                <w:color w:val="auto"/>
              </w:rPr>
              <w:t>(2,742)</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(3,629)</w:t>
            </w:r>
          </w:p>
        </w:tc>
      </w:tr>
      <w:tr>
        <w:trPr>
          <w:trHeight w:val="256"/>
        </w:trPr>
        <w:tc>
          <w:tcPr>
            <w:tcW w:w="57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Property and equipment, net</w:t>
            </w:r>
          </w:p>
        </w:tc>
        <w:tc>
          <w:tcPr>
            <w:tcW w:w="24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2,604</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top w:val="single" w:sz="8" w:color="auto"/>
              <w:bottom w:val="single" w:sz="8" w:color="auto"/>
            </w:tcBorders>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2,314</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62" w:lineRule="exact"/>
        <w:rPr>
          <w:sz w:val="20"/>
          <w:szCs w:val="20"/>
          <w:color w:val="auto"/>
        </w:rPr>
      </w:pPr>
    </w:p>
    <w:p>
      <w:pPr>
        <w:ind w:left="360" w:right="80"/>
        <w:spacing w:after="0" w:line="276" w:lineRule="auto"/>
        <w:rPr>
          <w:sz w:val="20"/>
          <w:szCs w:val="20"/>
          <w:color w:val="auto"/>
        </w:rPr>
      </w:pPr>
      <w:r>
        <w:rPr>
          <w:rFonts w:ascii="Arial" w:cs="Arial" w:eastAsia="Arial" w:hAnsi="Arial"/>
          <w:sz w:val="22"/>
          <w:szCs w:val="22"/>
          <w:color w:val="auto"/>
        </w:rPr>
        <w:t>Depreciation and amortization expense totaled $471, $762 and $887 for the years ended December 31, 2017, 2018 and 2019, respectively.</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5 — EMPLOYEE SEVERANCE BENEFITS</w:t>
      </w:r>
    </w:p>
    <w:p>
      <w:pPr>
        <w:spacing w:after="0" w:line="293" w:lineRule="exact"/>
        <w:rPr>
          <w:sz w:val="20"/>
          <w:szCs w:val="20"/>
          <w:color w:val="auto"/>
        </w:rPr>
      </w:pPr>
    </w:p>
    <w:p>
      <w:pPr>
        <w:ind w:left="360" w:right="40"/>
        <w:spacing w:after="0" w:line="261" w:lineRule="auto"/>
        <w:rPr>
          <w:sz w:val="20"/>
          <w:szCs w:val="20"/>
          <w:color w:val="auto"/>
        </w:rPr>
      </w:pPr>
      <w:r>
        <w:rPr>
          <w:rFonts w:ascii="Arial" w:cs="Arial" w:eastAsia="Arial" w:hAnsi="Arial"/>
          <w:sz w:val="22"/>
          <w:szCs w:val="22"/>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was payable at each balance sheet date on an undiscounted basis.</w:t>
      </w:r>
    </w:p>
    <w:p>
      <w:pPr>
        <w:spacing w:after="0" w:line="245" w:lineRule="exact"/>
        <w:rPr>
          <w:sz w:val="20"/>
          <w:szCs w:val="20"/>
          <w:color w:val="auto"/>
        </w:rPr>
      </w:pPr>
    </w:p>
    <w:p>
      <w:pPr>
        <w:ind w:left="360" w:right="20"/>
        <w:spacing w:after="0" w:line="273" w:lineRule="auto"/>
        <w:rPr>
          <w:sz w:val="20"/>
          <w:szCs w:val="20"/>
          <w:color w:val="auto"/>
        </w:rPr>
      </w:pPr>
      <w:r>
        <w:rPr>
          <w:rFonts w:ascii="Arial" w:cs="Arial" w:eastAsia="Arial" w:hAnsi="Arial"/>
          <w:sz w:val="21"/>
          <w:szCs w:val="21"/>
          <w:color w:val="auto"/>
        </w:rPr>
        <w:t>In accordance with the current employment terms starting in August 2014 with all of its employees (Section 14 of the Israeli Severance Pay Law, 1963),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 funded are not under the control and management of the Company and the pension or severance pay risks have been irrevocably transferred to the applicable insurance companies (the “Contribution Plan”).</w:t>
      </w:r>
    </w:p>
    <w:p>
      <w:pPr>
        <w:spacing w:after="0" w:line="233" w:lineRule="exact"/>
        <w:rPr>
          <w:sz w:val="20"/>
          <w:szCs w:val="20"/>
          <w:color w:val="auto"/>
        </w:rPr>
      </w:pPr>
    </w:p>
    <w:p>
      <w:pPr>
        <w:ind w:left="360" w:right="80"/>
        <w:spacing w:after="0" w:line="327" w:lineRule="auto"/>
        <w:rPr>
          <w:sz w:val="20"/>
          <w:szCs w:val="20"/>
          <w:color w:val="auto"/>
        </w:rPr>
      </w:pPr>
      <w:r>
        <w:rPr>
          <w:rFonts w:ascii="Arial" w:cs="Arial" w:eastAsia="Arial" w:hAnsi="Arial"/>
          <w:sz w:val="19"/>
          <w:szCs w:val="19"/>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87" w:lineRule="exact"/>
        <w:rPr>
          <w:sz w:val="20"/>
          <w:szCs w:val="20"/>
          <w:color w:val="auto"/>
        </w:rPr>
      </w:pPr>
    </w:p>
    <w:p>
      <w:pPr>
        <w:jc w:val="both"/>
        <w:ind w:left="360" w:right="180"/>
        <w:spacing w:after="0" w:line="266" w:lineRule="auto"/>
        <w:rPr>
          <w:sz w:val="20"/>
          <w:szCs w:val="20"/>
          <w:color w:val="auto"/>
        </w:rPr>
      </w:pPr>
      <w:r>
        <w:rPr>
          <w:rFonts w:ascii="Arial" w:cs="Arial" w:eastAsia="Arial" w:hAnsi="Arial"/>
          <w:sz w:val="22"/>
          <w:szCs w:val="22"/>
          <w:color w:val="auto"/>
        </w:rPr>
        <w:t>The amounts of severance payment expenses were $275, $431 and $402 for the years ended December 31, 2017, 2018 and 2019, respectively, of which $257, $292 and $363 in the years ended December, 2017, 2018 and 2019, respectively, were in respect of the Contribution Plan.</w:t>
      </w:r>
    </w:p>
    <w:p>
      <w:pPr>
        <w:spacing w:after="0" w:line="239" w:lineRule="exact"/>
        <w:rPr>
          <w:sz w:val="20"/>
          <w:szCs w:val="20"/>
          <w:color w:val="auto"/>
        </w:rPr>
      </w:pPr>
    </w:p>
    <w:p>
      <w:pPr>
        <w:ind w:left="360" w:right="340"/>
        <w:spacing w:after="0" w:line="276" w:lineRule="auto"/>
        <w:rPr>
          <w:sz w:val="20"/>
          <w:szCs w:val="20"/>
          <w:color w:val="auto"/>
        </w:rPr>
      </w:pPr>
      <w:r>
        <w:rPr>
          <w:rFonts w:ascii="Arial" w:cs="Arial" w:eastAsia="Arial" w:hAnsi="Arial"/>
          <w:sz w:val="22"/>
          <w:szCs w:val="22"/>
          <w:color w:val="auto"/>
        </w:rPr>
        <w:t>The Company expects to contribute approximately $374 in the year ending December 31, 2020 to insurance companies in connection with its expected severance liabilities for that year.</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67" w:name="page168"/>
    <w:bookmarkEnd w:id="167"/>
    <w:p>
      <w:pPr>
        <w:jc w:val="center"/>
        <w:ind w:right="-11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6 — COMMITMENTS:</w:t>
      </w:r>
    </w:p>
    <w:p>
      <w:pPr>
        <w:spacing w:after="0" w:line="283" w:lineRule="exact"/>
        <w:rPr>
          <w:sz w:val="20"/>
          <w:szCs w:val="20"/>
          <w:color w:val="auto"/>
        </w:rPr>
      </w:pPr>
    </w:p>
    <w:p>
      <w:pPr>
        <w:ind w:left="680" w:hanging="321"/>
        <w:spacing w:after="0"/>
        <w:tabs>
          <w:tab w:leader="none" w:pos="680" w:val="left"/>
        </w:tabs>
        <w:numPr>
          <w:ilvl w:val="0"/>
          <w:numId w:val="154"/>
        </w:numPr>
        <w:rPr>
          <w:rFonts w:ascii="Arial" w:cs="Arial" w:eastAsia="Arial" w:hAnsi="Arial"/>
          <w:sz w:val="18"/>
          <w:szCs w:val="18"/>
          <w:b w:val="1"/>
          <w:bCs w:val="1"/>
          <w:color w:val="auto"/>
        </w:rPr>
      </w:pPr>
      <w:r>
        <w:rPr>
          <w:rFonts w:ascii="Arial" w:cs="Arial" w:eastAsia="Arial" w:hAnsi="Arial"/>
          <w:sz w:val="18"/>
          <w:szCs w:val="18"/>
          <w:b w:val="1"/>
          <w:bCs w:val="1"/>
          <w:color w:val="auto"/>
        </w:rPr>
        <w:t>Royalty Commitments:</w:t>
      </w:r>
    </w:p>
    <w:p>
      <w:pPr>
        <w:spacing w:after="0" w:line="283" w:lineRule="exact"/>
        <w:rPr>
          <w:rFonts w:ascii="Arial" w:cs="Arial" w:eastAsia="Arial" w:hAnsi="Arial"/>
          <w:sz w:val="18"/>
          <w:szCs w:val="18"/>
          <w:b w:val="1"/>
          <w:bCs w:val="1"/>
          <w:color w:val="auto"/>
        </w:rPr>
      </w:pPr>
    </w:p>
    <w:p>
      <w:pPr>
        <w:ind w:left="1000" w:right="480" w:hanging="317"/>
        <w:spacing w:after="0" w:line="277" w:lineRule="auto"/>
        <w:tabs>
          <w:tab w:leader="none" w:pos="1000" w:val="left"/>
        </w:tabs>
        <w:numPr>
          <w:ilvl w:val="1"/>
          <w:numId w:val="154"/>
        </w:numPr>
        <w:rPr>
          <w:rFonts w:ascii="Arial" w:cs="Arial" w:eastAsia="Arial" w:hAnsi="Arial"/>
          <w:sz w:val="18"/>
          <w:szCs w:val="18"/>
          <w:color w:val="auto"/>
        </w:rPr>
      </w:pPr>
      <w:r>
        <w:rPr>
          <w:rFonts w:ascii="Arial" w:cs="Arial" w:eastAsia="Arial" w:hAnsi="Arial"/>
          <w:sz w:val="18"/>
          <w:szCs w:val="18"/>
          <w:color w:val="auto"/>
        </w:rPr>
        <w:t>The Company is obligated to pay royalties to the IIA on proceeds from the sale of products developed from research and development activities that were funded, partially, by grants from the IIA.</w:t>
      </w:r>
    </w:p>
    <w:p>
      <w:pPr>
        <w:spacing w:after="0" w:line="231" w:lineRule="exact"/>
        <w:rPr>
          <w:sz w:val="20"/>
          <w:szCs w:val="20"/>
          <w:color w:val="auto"/>
        </w:rPr>
      </w:pPr>
    </w:p>
    <w:p>
      <w:pPr>
        <w:jc w:val="both"/>
        <w:ind w:left="1020" w:right="40"/>
        <w:spacing w:after="0" w:line="327" w:lineRule="auto"/>
        <w:rPr>
          <w:sz w:val="20"/>
          <w:szCs w:val="20"/>
          <w:color w:val="auto"/>
        </w:rPr>
      </w:pPr>
      <w:r>
        <w:rPr>
          <w:rFonts w:ascii="Arial" w:cs="Arial" w:eastAsia="Arial" w:hAnsi="Arial"/>
          <w:sz w:val="19"/>
          <w:szCs w:val="19"/>
          <w:color w:val="auto"/>
        </w:rPr>
        <w:t>Under the specific terms of the funding arrangements with the IIA, royalties of 3.5% to 25% are payable on the sale of products developed with funding received from the IIA, which payments shall not exceed, in the aggregate, 300% of the amount of the grant received (dollar linked), plus interest at annual rate based on LIBOR.</w:t>
      </w:r>
    </w:p>
    <w:p>
      <w:pPr>
        <w:spacing w:after="0" w:line="187" w:lineRule="exact"/>
        <w:rPr>
          <w:sz w:val="20"/>
          <w:szCs w:val="20"/>
          <w:color w:val="auto"/>
        </w:rPr>
      </w:pPr>
    </w:p>
    <w:p>
      <w:pPr>
        <w:ind w:left="1020"/>
        <w:spacing w:after="0" w:line="261" w:lineRule="auto"/>
        <w:rPr>
          <w:sz w:val="20"/>
          <w:szCs w:val="20"/>
          <w:color w:val="auto"/>
        </w:rPr>
      </w:pPr>
      <w:r>
        <w:rPr>
          <w:rFonts w:ascii="Arial" w:cs="Arial" w:eastAsia="Arial" w:hAnsi="Arial"/>
          <w:sz w:val="22"/>
          <w:szCs w:val="22"/>
          <w:color w:val="auto"/>
        </w:rPr>
        <w:t>Up to December 31, 2019, the Company had recognized and received grants from the IIA in the aggregate amount of $1,431 (no grants were received in the last three years.). Through December 31, 2019, the Company recorded an accumulated royalty expense of $2,061 as royalties to the IIA with respect to revenue recognized through December 31, 2019 ($44, $32 and $32 were recorded in 2017, 2018 and 2019 accordingly, as an expense in the consolidated statements of operations).</w:t>
      </w:r>
    </w:p>
    <w:p>
      <w:pPr>
        <w:spacing w:after="0" w:line="244" w:lineRule="exact"/>
        <w:rPr>
          <w:sz w:val="20"/>
          <w:szCs w:val="20"/>
          <w:color w:val="auto"/>
        </w:rPr>
      </w:pPr>
    </w:p>
    <w:p>
      <w:pPr>
        <w:ind w:left="1020"/>
        <w:spacing w:after="0"/>
        <w:rPr>
          <w:sz w:val="20"/>
          <w:szCs w:val="20"/>
          <w:color w:val="auto"/>
        </w:rPr>
      </w:pPr>
      <w:r>
        <w:rPr>
          <w:rFonts w:ascii="Arial" w:cs="Arial" w:eastAsia="Arial" w:hAnsi="Arial"/>
          <w:sz w:val="19"/>
          <w:szCs w:val="19"/>
          <w:color w:val="auto"/>
        </w:rPr>
        <w:t>The Company did not receive any grants from the IIA for the years ended December 31, 2017, 2018 and 2019.</w:t>
      </w:r>
    </w:p>
    <w:p>
      <w:pPr>
        <w:spacing w:after="0" w:line="315" w:lineRule="exact"/>
        <w:rPr>
          <w:sz w:val="20"/>
          <w:szCs w:val="20"/>
          <w:color w:val="auto"/>
        </w:rPr>
      </w:pPr>
    </w:p>
    <w:p>
      <w:pPr>
        <w:ind w:left="1000" w:right="620" w:hanging="317"/>
        <w:spacing w:after="0" w:line="308" w:lineRule="auto"/>
        <w:tabs>
          <w:tab w:leader="none" w:pos="1000" w:val="left"/>
        </w:tabs>
        <w:numPr>
          <w:ilvl w:val="0"/>
          <w:numId w:val="155"/>
        </w:numPr>
        <w:rPr>
          <w:rFonts w:ascii="Arial" w:cs="Arial" w:eastAsia="Arial" w:hAnsi="Arial"/>
          <w:sz w:val="17"/>
          <w:szCs w:val="17"/>
          <w:color w:val="auto"/>
        </w:rPr>
      </w:pPr>
      <w:r>
        <w:rPr>
          <w:rFonts w:ascii="Arial" w:cs="Arial" w:eastAsia="Arial" w:hAnsi="Arial"/>
          <w:sz w:val="17"/>
          <w:szCs w:val="17"/>
          <w:color w:val="auto"/>
        </w:rPr>
        <w:t>The Company has an agreement, that was amended several times (hereafter — the agreements) with Yissum Research Development Company (hereafter — “Yissum”), the technology-licensing arm of the Hebrew University of Jerusalem.</w:t>
      </w:r>
    </w:p>
    <w:p>
      <w:pPr>
        <w:spacing w:after="0" w:line="207" w:lineRule="exact"/>
        <w:rPr>
          <w:sz w:val="20"/>
          <w:szCs w:val="20"/>
          <w:color w:val="auto"/>
        </w:rPr>
      </w:pPr>
    </w:p>
    <w:p>
      <w:pPr>
        <w:ind w:left="1020" w:right="200"/>
        <w:spacing w:after="0" w:line="358" w:lineRule="auto"/>
        <w:rPr>
          <w:sz w:val="20"/>
          <w:szCs w:val="20"/>
          <w:color w:val="auto"/>
        </w:rPr>
      </w:pPr>
      <w:r>
        <w:rPr>
          <w:rFonts w:ascii="Arial" w:cs="Arial" w:eastAsia="Arial" w:hAnsi="Arial"/>
          <w:sz w:val="19"/>
          <w:szCs w:val="19"/>
          <w:color w:val="auto"/>
        </w:rPr>
        <w:t>According to the agreements, the Company received from Yissum an exclusive and a non-exclusive license for the commercialization of certain Yissum patents. According to the agreements the Company shall pay Yissum:</w:t>
      </w:r>
    </w:p>
    <w:p>
      <w:pPr>
        <w:spacing w:after="0" w:line="152" w:lineRule="exact"/>
        <w:rPr>
          <w:sz w:val="20"/>
          <w:szCs w:val="20"/>
          <w:color w:val="auto"/>
        </w:rPr>
      </w:pPr>
    </w:p>
    <w:p>
      <w:pPr>
        <w:ind w:left="1460" w:hanging="318"/>
        <w:spacing w:after="0"/>
        <w:tabs>
          <w:tab w:leader="none" w:pos="146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Royalties of 1.5% of net sales related to certain patents.</w:t>
      </w:r>
    </w:p>
    <w:p>
      <w:pPr>
        <w:spacing w:after="0" w:line="23" w:lineRule="exact"/>
        <w:rPr>
          <w:rFonts w:ascii="Arial" w:cs="Arial" w:eastAsia="Arial" w:hAnsi="Arial"/>
          <w:sz w:val="18"/>
          <w:szCs w:val="18"/>
          <w:color w:val="auto"/>
        </w:rPr>
      </w:pPr>
    </w:p>
    <w:p>
      <w:pPr>
        <w:ind w:left="1460" w:hanging="318"/>
        <w:spacing w:after="0"/>
        <w:tabs>
          <w:tab w:leader="none" w:pos="146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1.5% – 8% of proceeds received by the Company for the sub-license or license of certain patents.</w:t>
      </w:r>
    </w:p>
    <w:p>
      <w:pPr>
        <w:spacing w:after="0" w:line="271" w:lineRule="exact"/>
        <w:rPr>
          <w:sz w:val="20"/>
          <w:szCs w:val="20"/>
          <w:color w:val="auto"/>
        </w:rPr>
      </w:pPr>
    </w:p>
    <w:p>
      <w:pPr>
        <w:ind w:left="1020" w:right="100"/>
        <w:spacing w:after="0" w:line="358" w:lineRule="auto"/>
        <w:rPr>
          <w:sz w:val="20"/>
          <w:szCs w:val="20"/>
          <w:color w:val="auto"/>
        </w:rPr>
      </w:pPr>
      <w:r>
        <w:rPr>
          <w:rFonts w:ascii="Arial" w:cs="Arial" w:eastAsia="Arial" w:hAnsi="Arial"/>
          <w:sz w:val="19"/>
          <w:szCs w:val="19"/>
          <w:color w:val="auto"/>
        </w:rPr>
        <w:t>According to the agreements, the Company may continue commercial use of certain Yissum’s patents in connection with the products and subject to the obligation to pay Yissum the royalties and the sub-license fees.</w:t>
      </w:r>
    </w:p>
    <w:p>
      <w:pPr>
        <w:spacing w:after="0" w:line="158"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The Company granted rights to a third party for use and commercialization of certain Yissum patents.</w:t>
      </w:r>
    </w:p>
    <w:p>
      <w:pPr>
        <w:spacing w:after="0" w:line="200" w:lineRule="exact"/>
        <w:rPr>
          <w:sz w:val="20"/>
          <w:szCs w:val="20"/>
          <w:color w:val="auto"/>
        </w:rPr>
      </w:pPr>
    </w:p>
    <w:p>
      <w:pPr>
        <w:spacing w:after="0" w:line="249"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396" w:right="439" w:bottom="1440" w:gutter="0" w:footer="0" w:header="0"/>
        </w:sectPr>
      </w:pPr>
    </w:p>
    <w:bookmarkStart w:id="168" w:name="page169"/>
    <w:bookmarkEnd w:id="168"/>
    <w:p>
      <w:pPr>
        <w:jc w:val="center"/>
        <w:ind w:left="340"/>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left="340"/>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left="340"/>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6 — COMMITMENTS </w:t>
      </w:r>
      <w:r>
        <w:rPr>
          <w:rFonts w:ascii="Arial" w:cs="Arial" w:eastAsia="Arial" w:hAnsi="Arial"/>
          <w:sz w:val="22"/>
          <w:szCs w:val="22"/>
          <w:color w:val="auto"/>
        </w:rPr>
        <w:t>(continued):</w:t>
      </w:r>
    </w:p>
    <w:p>
      <w:pPr>
        <w:spacing w:after="0" w:line="283"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5"/>
          <w:szCs w:val="15"/>
          <w:b w:val="1"/>
          <w:bCs w:val="1"/>
          <w:color w:val="auto"/>
        </w:rPr>
        <w:t>Lease Agreements</w:t>
      </w:r>
    </w:p>
    <w:p>
      <w:pPr>
        <w:spacing w:after="0" w:line="289" w:lineRule="exact"/>
        <w:rPr>
          <w:sz w:val="20"/>
          <w:szCs w:val="20"/>
          <w:color w:val="auto"/>
        </w:rPr>
      </w:pPr>
    </w:p>
    <w:p>
      <w:pPr>
        <w:ind w:left="700" w:right="440"/>
        <w:spacing w:after="0" w:line="358" w:lineRule="auto"/>
        <w:rPr>
          <w:sz w:val="20"/>
          <w:szCs w:val="20"/>
          <w:color w:val="auto"/>
        </w:rPr>
      </w:pPr>
      <w:r>
        <w:rPr>
          <w:rFonts w:ascii="Arial" w:cs="Arial" w:eastAsia="Arial" w:hAnsi="Arial"/>
          <w:sz w:val="19"/>
          <w:szCs w:val="19"/>
          <w:color w:val="auto"/>
        </w:rPr>
        <w:t>The Company leases offices and vehicles under operating leases. For leases with terms greater than 12 months, the Company record the related asset and obligation at the present value of lease payments over the term.</w:t>
      </w:r>
    </w:p>
    <w:p>
      <w:pPr>
        <w:spacing w:after="0" w:line="158" w:lineRule="exact"/>
        <w:rPr>
          <w:sz w:val="20"/>
          <w:szCs w:val="20"/>
          <w:color w:val="auto"/>
        </w:rPr>
      </w:pPr>
    </w:p>
    <w:p>
      <w:pPr>
        <w:ind w:left="700"/>
        <w:spacing w:after="0"/>
        <w:rPr>
          <w:sz w:val="20"/>
          <w:szCs w:val="20"/>
          <w:color w:val="auto"/>
        </w:rPr>
      </w:pPr>
      <w:r>
        <w:rPr>
          <w:rFonts w:ascii="Arial" w:cs="Arial" w:eastAsia="Arial" w:hAnsi="Arial"/>
          <w:sz w:val="22"/>
          <w:szCs w:val="22"/>
          <w:u w:val="single" w:color="auto"/>
          <w:color w:val="auto"/>
        </w:rPr>
        <w:t>Offices</w:t>
      </w:r>
    </w:p>
    <w:p>
      <w:pPr>
        <w:spacing w:after="0" w:line="287" w:lineRule="exact"/>
        <w:rPr>
          <w:sz w:val="20"/>
          <w:szCs w:val="20"/>
          <w:color w:val="auto"/>
        </w:rPr>
      </w:pPr>
    </w:p>
    <w:p>
      <w:pPr>
        <w:ind w:left="700"/>
        <w:spacing w:after="0" w:line="317" w:lineRule="auto"/>
        <w:rPr>
          <w:sz w:val="20"/>
          <w:szCs w:val="20"/>
          <w:color w:val="auto"/>
        </w:rPr>
      </w:pPr>
      <w:r>
        <w:rPr>
          <w:rFonts w:ascii="Arial" w:cs="Arial" w:eastAsia="Arial" w:hAnsi="Arial"/>
          <w:sz w:val="19"/>
          <w:szCs w:val="19"/>
          <w:color w:val="auto"/>
        </w:rPr>
        <w:t>The Company leases office spaces and research and development facilities under several agreements. These agreements are linked to the change in the Israeli consumer price index and expire in December 2020. In November 2019, the Company signed on additional amendment to the agreements to extend the lease period through December 2023. These agreements are considered as operating leases and presented under operating lease right-of-use assets.</w:t>
      </w:r>
    </w:p>
    <w:p>
      <w:pPr>
        <w:spacing w:after="0" w:line="196" w:lineRule="exact"/>
        <w:rPr>
          <w:sz w:val="20"/>
          <w:szCs w:val="20"/>
          <w:color w:val="auto"/>
        </w:rPr>
      </w:pPr>
    </w:p>
    <w:p>
      <w:pPr>
        <w:ind w:left="700"/>
        <w:spacing w:after="0"/>
        <w:rPr>
          <w:sz w:val="20"/>
          <w:szCs w:val="20"/>
          <w:color w:val="auto"/>
        </w:rPr>
      </w:pPr>
      <w:r>
        <w:rPr>
          <w:rFonts w:ascii="Arial" w:cs="Arial" w:eastAsia="Arial" w:hAnsi="Arial"/>
          <w:sz w:val="22"/>
          <w:szCs w:val="22"/>
          <w:u w:val="single" w:color="auto"/>
          <w:color w:val="auto"/>
        </w:rPr>
        <w:t>Vehicles</w:t>
      </w:r>
    </w:p>
    <w:p>
      <w:pPr>
        <w:spacing w:after="0" w:line="287" w:lineRule="exact"/>
        <w:rPr>
          <w:sz w:val="20"/>
          <w:szCs w:val="20"/>
          <w:color w:val="auto"/>
        </w:rPr>
      </w:pPr>
    </w:p>
    <w:p>
      <w:pPr>
        <w:ind w:left="700"/>
        <w:spacing w:after="0"/>
        <w:rPr>
          <w:sz w:val="20"/>
          <w:szCs w:val="20"/>
          <w:color w:val="auto"/>
        </w:rPr>
      </w:pPr>
      <w:r>
        <w:rPr>
          <w:rFonts w:ascii="Arial" w:cs="Arial" w:eastAsia="Arial" w:hAnsi="Arial"/>
          <w:sz w:val="19"/>
          <w:szCs w:val="19"/>
          <w:color w:val="auto"/>
        </w:rPr>
        <w:t>The Company has entered into operating lease agreements for vehicles used by its employees for a period of 3 years.</w:t>
      </w:r>
    </w:p>
    <w:p>
      <w:pPr>
        <w:spacing w:after="0" w:line="56" w:lineRule="exact"/>
        <w:rPr>
          <w:sz w:val="20"/>
          <w:szCs w:val="20"/>
          <w:color w:val="auto"/>
        </w:rPr>
      </w:pPr>
    </w:p>
    <w:p>
      <w:pPr>
        <w:ind w:left="700"/>
        <w:spacing w:after="0"/>
        <w:rPr>
          <w:sz w:val="20"/>
          <w:szCs w:val="20"/>
          <w:color w:val="auto"/>
        </w:rPr>
      </w:pPr>
      <w:r>
        <w:rPr>
          <w:rFonts w:ascii="Arial" w:cs="Arial" w:eastAsia="Arial" w:hAnsi="Arial"/>
          <w:sz w:val="21"/>
          <w:szCs w:val="21"/>
          <w:color w:val="auto"/>
        </w:rPr>
        <w:t>These contracts are considered as operating leases and presented under operating lease right-of-use assets.</w:t>
      </w:r>
    </w:p>
    <w:p>
      <w:pPr>
        <w:spacing w:after="0" w:line="294" w:lineRule="exact"/>
        <w:rPr>
          <w:sz w:val="20"/>
          <w:szCs w:val="20"/>
          <w:color w:val="auto"/>
        </w:rPr>
      </w:pPr>
    </w:p>
    <w:p>
      <w:pPr>
        <w:ind w:left="700"/>
        <w:spacing w:after="0"/>
        <w:rPr>
          <w:sz w:val="20"/>
          <w:szCs w:val="20"/>
          <w:color w:val="auto"/>
        </w:rPr>
      </w:pPr>
      <w:r>
        <w:rPr>
          <w:rFonts w:ascii="Arial" w:cs="Arial" w:eastAsia="Arial" w:hAnsi="Arial"/>
          <w:sz w:val="22"/>
          <w:szCs w:val="22"/>
          <w:u w:val="single" w:color="auto"/>
          <w:color w:val="auto"/>
        </w:rPr>
        <w:t>Lease Position</w:t>
      </w:r>
    </w:p>
    <w:p>
      <w:pPr>
        <w:spacing w:after="0" w:line="287" w:lineRule="exact"/>
        <w:rPr>
          <w:sz w:val="20"/>
          <w:szCs w:val="20"/>
          <w:color w:val="auto"/>
        </w:rPr>
      </w:pPr>
    </w:p>
    <w:p>
      <w:pPr>
        <w:ind w:left="700"/>
        <w:spacing w:after="0"/>
        <w:rPr>
          <w:sz w:val="20"/>
          <w:szCs w:val="20"/>
          <w:color w:val="auto"/>
        </w:rPr>
      </w:pPr>
      <w:r>
        <w:rPr>
          <w:rFonts w:ascii="Arial" w:cs="Arial" w:eastAsia="Arial" w:hAnsi="Arial"/>
          <w:sz w:val="21"/>
          <w:szCs w:val="21"/>
          <w:color w:val="auto"/>
        </w:rPr>
        <w:t>The table below presents the lease-related assets and liabilities recorded on the consolidated balance sheet:</w:t>
      </w:r>
    </w:p>
    <w:p>
      <w:pPr>
        <w:spacing w:after="0" w:line="288"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7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88"/>
              </w:rPr>
              <w:t>As of</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1100" w:type="dxa"/>
            <w:vAlign w:val="bottom"/>
            <w:gridSpan w:val="3"/>
          </w:tcPr>
          <w:p>
            <w:pPr>
              <w:jc w:val="center"/>
              <w:ind w:right="160"/>
              <w:spacing w:after="0"/>
              <w:rPr>
                <w:sz w:val="20"/>
                <w:szCs w:val="20"/>
                <w:color w:val="auto"/>
              </w:rPr>
            </w:pPr>
            <w:r>
              <w:rPr>
                <w:rFonts w:ascii="Arial" w:cs="Arial" w:eastAsia="Arial" w:hAnsi="Arial"/>
                <w:sz w:val="18"/>
                <w:szCs w:val="18"/>
                <w:b w:val="1"/>
                <w:bCs w:val="1"/>
                <w:color w:val="auto"/>
                <w:w w:val="89"/>
              </w:rPr>
              <w:t>December</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5720" w:type="dxa"/>
            <w:vAlign w:val="bottom"/>
          </w:tcPr>
          <w:p>
            <w:pPr>
              <w:spacing w:after="0"/>
              <w:rPr>
                <w:sz w:val="20"/>
                <w:szCs w:val="20"/>
                <w:color w:val="auto"/>
              </w:rPr>
            </w:pPr>
          </w:p>
        </w:tc>
        <w:tc>
          <w:tcPr>
            <w:tcW w:w="27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91"/>
              </w:rPr>
              <w:t>31, 2019</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b w:val="1"/>
                <w:bCs w:val="1"/>
                <w:color w:val="auto"/>
              </w:rPr>
              <w:t>Operating Leases</w:t>
            </w: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right-of-use assets</w:t>
            </w:r>
          </w:p>
        </w:tc>
        <w:tc>
          <w:tcPr>
            <w:tcW w:w="2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7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2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Current maturities of operating leases</w:t>
            </w:r>
          </w:p>
        </w:tc>
        <w:tc>
          <w:tcPr>
            <w:tcW w:w="2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b w:val="1"/>
                <w:bCs w:val="1"/>
                <w:color w:val="auto"/>
              </w:rPr>
              <w:t>Long-term liabilities</w:t>
            </w: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Non-current operating leases</w:t>
            </w:r>
          </w:p>
        </w:tc>
        <w:tc>
          <w:tcPr>
            <w:tcW w:w="2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72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Remaining Lease Term</w:t>
            </w:r>
          </w:p>
        </w:tc>
        <w:tc>
          <w:tcPr>
            <w:tcW w:w="2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Operating leases</w:t>
            </w: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720" w:type="dxa"/>
            <w:vAlign w:val="bottom"/>
            <w:shd w:val="clear" w:color="auto" w:fill="CCEEFF"/>
          </w:tcPr>
          <w:p>
            <w:pPr>
              <w:spacing w:after="0"/>
              <w:rPr>
                <w:sz w:val="18"/>
                <w:szCs w:val="18"/>
                <w:color w:val="auto"/>
              </w:rPr>
            </w:pPr>
          </w:p>
        </w:tc>
        <w:tc>
          <w:tcPr>
            <w:tcW w:w="2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20" w:type="dxa"/>
            <w:vAlign w:val="bottom"/>
          </w:tcPr>
          <w:p>
            <w:pPr>
              <w:spacing w:after="0"/>
              <w:rPr>
                <w:sz w:val="20"/>
                <w:szCs w:val="20"/>
                <w:color w:val="auto"/>
              </w:rPr>
            </w:pPr>
            <w:r>
              <w:rPr>
                <w:rFonts w:ascii="Arial" w:cs="Arial" w:eastAsia="Arial" w:hAnsi="Arial"/>
                <w:sz w:val="18"/>
                <w:szCs w:val="18"/>
                <w:color w:val="auto"/>
              </w:rPr>
              <w:t>Weighted Average Discount Rate</w:t>
            </w:r>
          </w:p>
        </w:tc>
        <w:tc>
          <w:tcPr>
            <w:tcW w:w="2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leases</w:t>
            </w:r>
          </w:p>
        </w:tc>
        <w:tc>
          <w:tcPr>
            <w:tcW w:w="2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7.44%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24" w:lineRule="exact"/>
        <w:rPr>
          <w:sz w:val="20"/>
          <w:szCs w:val="20"/>
          <w:color w:val="auto"/>
        </w:rPr>
      </w:pPr>
    </w:p>
    <w:p>
      <w:pPr>
        <w:jc w:val="center"/>
        <w:ind w:right="-199"/>
        <w:spacing w:after="0"/>
        <w:rPr>
          <w:sz w:val="20"/>
          <w:szCs w:val="20"/>
          <w:color w:val="auto"/>
        </w:rPr>
      </w:pPr>
      <w:r>
        <w:rPr>
          <w:rFonts w:ascii="Arial" w:cs="Arial" w:eastAsia="Arial" w:hAnsi="Arial"/>
          <w:sz w:val="22"/>
          <w:szCs w:val="22"/>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40"/>
          </w:cols>
          <w:pgMar w:left="320" w:top="396" w:right="539" w:bottom="1440" w:gutter="0" w:footer="0" w:header="0"/>
        </w:sectPr>
      </w:pPr>
    </w:p>
    <w:bookmarkStart w:id="169" w:name="page170"/>
    <w:bookmarkEnd w:id="169"/>
    <w:p>
      <w:pPr>
        <w:jc w:val="center"/>
        <w:ind w:left="360"/>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left="360"/>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left="360"/>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6 — COMMITMENTS </w:t>
      </w:r>
      <w:r>
        <w:rPr>
          <w:rFonts w:ascii="Arial" w:cs="Arial" w:eastAsia="Arial" w:hAnsi="Arial"/>
          <w:sz w:val="22"/>
          <w:szCs w:val="22"/>
          <w:color w:val="auto"/>
        </w:rPr>
        <w:t>(continued):</w:t>
      </w:r>
    </w:p>
    <w:p>
      <w:pPr>
        <w:spacing w:after="0" w:line="293" w:lineRule="exact"/>
        <w:rPr>
          <w:sz w:val="20"/>
          <w:szCs w:val="20"/>
          <w:color w:val="auto"/>
        </w:rPr>
      </w:pPr>
    </w:p>
    <w:p>
      <w:pPr>
        <w:ind w:left="700"/>
        <w:spacing w:after="0"/>
        <w:rPr>
          <w:sz w:val="20"/>
          <w:szCs w:val="20"/>
          <w:color w:val="auto"/>
        </w:rPr>
      </w:pPr>
      <w:r>
        <w:rPr>
          <w:rFonts w:ascii="Arial" w:cs="Arial" w:eastAsia="Arial" w:hAnsi="Arial"/>
          <w:sz w:val="22"/>
          <w:szCs w:val="22"/>
          <w:u w:val="single" w:color="auto"/>
          <w:color w:val="auto"/>
        </w:rPr>
        <w:t>Lease Costs</w:t>
      </w:r>
    </w:p>
    <w:p>
      <w:pPr>
        <w:spacing w:after="0" w:line="287" w:lineRule="exact"/>
        <w:rPr>
          <w:sz w:val="20"/>
          <w:szCs w:val="20"/>
          <w:color w:val="auto"/>
        </w:rPr>
      </w:pPr>
    </w:p>
    <w:p>
      <w:pPr>
        <w:ind w:left="700"/>
        <w:spacing w:after="0"/>
        <w:rPr>
          <w:sz w:val="20"/>
          <w:szCs w:val="20"/>
          <w:color w:val="auto"/>
        </w:rPr>
      </w:pPr>
      <w:r>
        <w:rPr>
          <w:rFonts w:ascii="Arial" w:cs="Arial" w:eastAsia="Arial" w:hAnsi="Arial"/>
          <w:sz w:val="19"/>
          <w:szCs w:val="19"/>
          <w:color w:val="auto"/>
        </w:rPr>
        <w:t>The table below present certain information related to lease costs of operating leases the year ended December 31, 2019:</w:t>
      </w:r>
    </w:p>
    <w:p>
      <w:pPr>
        <w:spacing w:after="0" w:line="311"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Year</w:t>
      </w:r>
    </w:p>
    <w:p>
      <w:pPr>
        <w:spacing w:after="0" w:line="27"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Ended</w:t>
      </w:r>
    </w:p>
    <w:p>
      <w:pPr>
        <w:spacing w:after="0" w:line="9"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December</w:t>
      </w:r>
    </w:p>
    <w:p>
      <w:pPr>
        <w:spacing w:after="0" w:line="9"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5945505</wp:posOffset>
            </wp:positionH>
            <wp:positionV relativeFrom="paragraph">
              <wp:posOffset>5715</wp:posOffset>
            </wp:positionV>
            <wp:extent cx="600075"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7">
                      <a:extLst>
                        <a:ext uri="{28A0092B-C50C-407E-A947-70E740481C1C}"/>
                      </a:extLst>
                    </a:blip>
                    <a:srcRect/>
                    <a:stretch>
                      <a:fillRect/>
                    </a:stretch>
                  </pic:blipFill>
                  <pic:spPr bwMode="auto">
                    <a:xfrm>
                      <a:off x="0" y="0"/>
                      <a:ext cx="600075" cy="17145"/>
                    </a:xfrm>
                    <a:prstGeom prst="rect">
                      <a:avLst/>
                    </a:prstGeom>
                    <a:noFill/>
                  </pic:spPr>
                </pic:pic>
              </a:graphicData>
            </a:graphic>
          </wp:anchor>
        </w:drawing>
      </w:r>
    </w:p>
    <w:p>
      <w:pPr>
        <w:spacing w:after="0" w:line="218" w:lineRule="exact"/>
        <w:rPr>
          <w:sz w:val="20"/>
          <w:szCs w:val="20"/>
          <w:color w:val="auto"/>
        </w:rPr>
      </w:pPr>
    </w:p>
    <w:p>
      <w:pPr>
        <w:ind w:left="860"/>
        <w:spacing w:after="0"/>
        <w:tabs>
          <w:tab w:leader="none" w:pos="9340" w:val="left"/>
          <w:tab w:leader="none" w:pos="10020" w:val="left"/>
        </w:tabs>
        <w:rPr>
          <w:sz w:val="20"/>
          <w:szCs w:val="20"/>
          <w:color w:val="auto"/>
        </w:rPr>
      </w:pPr>
      <w:r>
        <w:rPr>
          <w:rFonts w:ascii="Arial" w:cs="Arial" w:eastAsia="Arial" w:hAnsi="Arial"/>
          <w:sz w:val="18"/>
          <w:szCs w:val="18"/>
          <w:color w:val="auto"/>
        </w:rPr>
        <w:t>Operating lease cost: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643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-121920</wp:posOffset>
            </wp:positionV>
            <wp:extent cx="6060440" cy="17145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8">
                      <a:extLst>
                        <a:ext uri="{28A0092B-C50C-407E-A947-70E740481C1C}"/>
                      </a:extLst>
                    </a:blip>
                    <a:srcRect/>
                    <a:stretch>
                      <a:fillRect/>
                    </a:stretch>
                  </pic:blipFill>
                  <pic:spPr bwMode="auto">
                    <a:xfrm>
                      <a:off x="0" y="0"/>
                      <a:ext cx="6060440" cy="171450"/>
                    </a:xfrm>
                    <a:prstGeom prst="rect">
                      <a:avLst/>
                    </a:prstGeom>
                    <a:noFill/>
                  </pic:spPr>
                </pic:pic>
              </a:graphicData>
            </a:graphic>
          </wp:anchor>
        </w:drawing>
      </w:r>
    </w:p>
    <w:p>
      <w:pPr>
        <w:spacing w:after="0" w:line="319" w:lineRule="exact"/>
        <w:rPr>
          <w:sz w:val="20"/>
          <w:szCs w:val="20"/>
          <w:color w:val="auto"/>
        </w:rPr>
      </w:pPr>
    </w:p>
    <w:p>
      <w:pPr>
        <w:ind w:left="700"/>
        <w:spacing w:after="0"/>
        <w:rPr>
          <w:sz w:val="20"/>
          <w:szCs w:val="20"/>
          <w:color w:val="auto"/>
        </w:rPr>
      </w:pPr>
      <w:r>
        <w:rPr>
          <w:rFonts w:ascii="Arial" w:cs="Arial" w:eastAsia="Arial" w:hAnsi="Arial"/>
          <w:sz w:val="19"/>
          <w:szCs w:val="19"/>
          <w:color w:val="auto"/>
        </w:rPr>
        <w:t>The table below presents supplemental cash flow information related to leases for the year ended December 31, 2019:</w:t>
      </w:r>
    </w:p>
    <w:p>
      <w:pPr>
        <w:spacing w:after="0" w:line="311"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Year</w:t>
      </w:r>
    </w:p>
    <w:p>
      <w:pPr>
        <w:spacing w:after="0" w:line="27"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Ended</w:t>
      </w:r>
    </w:p>
    <w:p>
      <w:pPr>
        <w:spacing w:after="0" w:line="9"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December</w:t>
      </w:r>
    </w:p>
    <w:p>
      <w:pPr>
        <w:spacing w:after="0" w:line="9" w:lineRule="exact"/>
        <w:rPr>
          <w:sz w:val="20"/>
          <w:szCs w:val="20"/>
          <w:color w:val="auto"/>
        </w:rPr>
      </w:pPr>
    </w:p>
    <w:p>
      <w:pPr>
        <w:jc w:val="center"/>
        <w:ind w:left="8400"/>
        <w:spacing w:after="0"/>
        <w:rPr>
          <w:sz w:val="20"/>
          <w:szCs w:val="20"/>
          <w:color w:val="auto"/>
        </w:rPr>
      </w:pPr>
      <w:r>
        <w:rPr>
          <w:rFonts w:ascii="Arial" w:cs="Arial" w:eastAsia="Arial" w:hAnsi="Arial"/>
          <w:sz w:val="18"/>
          <w:szCs w:val="18"/>
          <w:b w:val="1"/>
          <w:bCs w:val="1"/>
          <w:color w:val="auto"/>
        </w:rPr>
        <w:t>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5945505</wp:posOffset>
            </wp:positionH>
            <wp:positionV relativeFrom="paragraph">
              <wp:posOffset>5715</wp:posOffset>
            </wp:positionV>
            <wp:extent cx="600075" cy="171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9">
                      <a:extLst>
                        <a:ext uri="{28A0092B-C50C-407E-A947-70E740481C1C}"/>
                      </a:extLst>
                    </a:blip>
                    <a:srcRect/>
                    <a:stretch>
                      <a:fillRect/>
                    </a:stretch>
                  </pic:blipFill>
                  <pic:spPr bwMode="auto">
                    <a:xfrm>
                      <a:off x="0" y="0"/>
                      <a:ext cx="600075" cy="17145"/>
                    </a:xfrm>
                    <a:prstGeom prst="rect">
                      <a:avLst/>
                    </a:prstGeom>
                    <a:noFill/>
                  </pic:spPr>
                </pic:pic>
              </a:graphicData>
            </a:graphic>
          </wp:anchor>
        </w:drawing>
      </w:r>
    </w:p>
    <w:p>
      <w:pPr>
        <w:spacing w:after="0" w:line="218"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6840" w:type="dxa"/>
            <w:vAlign w:val="bottom"/>
          </w:tcPr>
          <w:p>
            <w:pPr>
              <w:spacing w:after="0"/>
              <w:rPr>
                <w:sz w:val="20"/>
                <w:szCs w:val="20"/>
                <w:color w:val="auto"/>
              </w:rPr>
            </w:pPr>
            <w:r>
              <w:rPr>
                <w:rFonts w:ascii="Arial" w:cs="Arial" w:eastAsia="Arial" w:hAnsi="Arial"/>
                <w:sz w:val="18"/>
                <w:szCs w:val="18"/>
                <w:color w:val="auto"/>
              </w:rPr>
              <w:t>Cash paid for amounts included in the measurement of leases liabilities:</w:t>
            </w:r>
          </w:p>
        </w:tc>
        <w:tc>
          <w:tcPr>
            <w:tcW w:w="2040" w:type="dxa"/>
            <w:vAlign w:val="bottom"/>
          </w:tcPr>
          <w:p>
            <w:pPr>
              <w:spacing w:after="0"/>
              <w:rPr>
                <w:sz w:val="18"/>
                <w:szCs w:val="18"/>
                <w:color w:val="auto"/>
              </w:rPr>
            </w:pPr>
          </w:p>
        </w:tc>
        <w:tc>
          <w:tcPr>
            <w:tcW w:w="560" w:type="dxa"/>
            <w:vAlign w:val="bottom"/>
          </w:tcPr>
          <w:p>
            <w:pPr>
              <w:spacing w:after="0"/>
              <w:rPr>
                <w:sz w:val="18"/>
                <w:szCs w:val="18"/>
                <w:color w:val="auto"/>
              </w:rPr>
            </w:pPr>
          </w:p>
        </w:tc>
      </w:tr>
      <w:tr>
        <w:trPr>
          <w:trHeight w:val="230"/>
        </w:trPr>
        <w:tc>
          <w:tcPr>
            <w:tcW w:w="6840" w:type="dxa"/>
            <w:vAlign w:val="bottom"/>
          </w:tcPr>
          <w:p>
            <w:pPr>
              <w:spacing w:after="0"/>
              <w:rPr>
                <w:sz w:val="20"/>
                <w:szCs w:val="20"/>
                <w:color w:val="auto"/>
              </w:rPr>
            </w:pPr>
            <w:r>
              <w:rPr>
                <w:rFonts w:ascii="Arial" w:cs="Arial" w:eastAsia="Arial" w:hAnsi="Arial"/>
                <w:sz w:val="18"/>
                <w:szCs w:val="18"/>
                <w:color w:val="auto"/>
              </w:rPr>
              <w:t>Operating cash flows from operating leases</w:t>
            </w:r>
          </w:p>
        </w:tc>
        <w:tc>
          <w:tcPr>
            <w:tcW w:w="2040" w:type="dxa"/>
            <w:vAlign w:val="bottom"/>
          </w:tcPr>
          <w:p>
            <w:pPr>
              <w:jc w:val="right"/>
              <w:ind w:right="21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807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544830</wp:posOffset>
            </wp:positionH>
            <wp:positionV relativeFrom="paragraph">
              <wp:posOffset>-273685</wp:posOffset>
            </wp:positionV>
            <wp:extent cx="6060440" cy="13716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0">
                      <a:extLst>
                        <a:ext uri="{28A0092B-C50C-407E-A947-70E740481C1C}"/>
                      </a:extLst>
                    </a:blip>
                    <a:srcRect/>
                    <a:stretch>
                      <a:fillRect/>
                    </a:stretch>
                  </pic:blipFill>
                  <pic:spPr bwMode="auto">
                    <a:xfrm>
                      <a:off x="0" y="0"/>
                      <a:ext cx="6060440" cy="137160"/>
                    </a:xfrm>
                    <a:prstGeom prst="rect">
                      <a:avLst/>
                    </a:prstGeom>
                    <a:noFill/>
                  </pic:spPr>
                </pic:pic>
              </a:graphicData>
            </a:graphic>
          </wp:anchor>
        </w:drawing>
        <w:drawing>
          <wp:anchor simplePos="0" relativeHeight="251657728" behindDoc="1" locked="0" layoutInCell="0" allowOverlap="1">
            <wp:simplePos x="0" y="0"/>
            <wp:positionH relativeFrom="column">
              <wp:posOffset>5945505</wp:posOffset>
            </wp:positionH>
            <wp:positionV relativeFrom="paragraph">
              <wp:posOffset>0</wp:posOffset>
            </wp:positionV>
            <wp:extent cx="600075" cy="171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1">
                      <a:extLst>
                        <a:ext uri="{28A0092B-C50C-407E-A947-70E740481C1C}"/>
                      </a:extLst>
                    </a:blip>
                    <a:srcRect/>
                    <a:stretch>
                      <a:fillRect/>
                    </a:stretch>
                  </pic:blipFill>
                  <pic:spPr bwMode="auto">
                    <a:xfrm>
                      <a:off x="0" y="0"/>
                      <a:ext cx="600075" cy="17145"/>
                    </a:xfrm>
                    <a:prstGeom prst="rect">
                      <a:avLst/>
                    </a:prstGeom>
                    <a:noFill/>
                  </pic:spPr>
                </pic:pic>
              </a:graphicData>
            </a:graphic>
          </wp:anchor>
        </w:drawing>
      </w:r>
    </w:p>
    <w:p>
      <w:pPr>
        <w:spacing w:after="0" w:line="269" w:lineRule="exact"/>
        <w:rPr>
          <w:sz w:val="20"/>
          <w:szCs w:val="20"/>
          <w:color w:val="auto"/>
        </w:rPr>
      </w:pPr>
    </w:p>
    <w:p>
      <w:pPr>
        <w:ind w:left="700"/>
        <w:spacing w:after="0"/>
        <w:rPr>
          <w:sz w:val="20"/>
          <w:szCs w:val="20"/>
          <w:color w:val="auto"/>
        </w:rPr>
      </w:pPr>
      <w:r>
        <w:rPr>
          <w:rFonts w:ascii="Arial" w:cs="Arial" w:eastAsia="Arial" w:hAnsi="Arial"/>
          <w:sz w:val="22"/>
          <w:szCs w:val="22"/>
          <w:u w:val="single" w:color="auto"/>
          <w:color w:val="auto"/>
        </w:rPr>
        <w:t>Undiscounted Cash Flows</w:t>
      </w:r>
    </w:p>
    <w:p>
      <w:pPr>
        <w:spacing w:after="0" w:line="287" w:lineRule="exact"/>
        <w:rPr>
          <w:sz w:val="20"/>
          <w:szCs w:val="20"/>
          <w:color w:val="auto"/>
        </w:rPr>
      </w:pPr>
    </w:p>
    <w:p>
      <w:pPr>
        <w:ind w:left="700"/>
        <w:spacing w:after="0" w:line="276" w:lineRule="auto"/>
        <w:rPr>
          <w:sz w:val="20"/>
          <w:szCs w:val="20"/>
          <w:color w:val="auto"/>
        </w:rPr>
      </w:pPr>
      <w:r>
        <w:rPr>
          <w:rFonts w:ascii="Arial" w:cs="Arial" w:eastAsia="Arial" w:hAnsi="Arial"/>
          <w:sz w:val="22"/>
          <w:szCs w:val="22"/>
          <w:color w:val="auto"/>
        </w:rPr>
        <w:t>The table below reconciles the undiscounted cash flows for each of the first five years and total of the remaining years to the operating lease liabilities recorded on the consolidated balance sheet:</w:t>
      </w:r>
    </w:p>
    <w:p>
      <w:pPr>
        <w:spacing w:after="0" w:line="218"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04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8"/>
              </w:rPr>
              <w:t>Operating</w:t>
            </w:r>
          </w:p>
        </w:tc>
      </w:tr>
      <w:tr>
        <w:trPr>
          <w:trHeight w:val="241"/>
        </w:trPr>
        <w:tc>
          <w:tcPr>
            <w:tcW w:w="2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w w:val="88"/>
              </w:rPr>
              <w:t>Leases</w:t>
            </w: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60"/>
              <w:spacing w:after="0"/>
              <w:rPr>
                <w:sz w:val="20"/>
                <w:szCs w:val="20"/>
                <w:color w:val="auto"/>
              </w:rPr>
            </w:pPr>
            <w:r>
              <w:rPr>
                <w:rFonts w:ascii="Arial" w:cs="Arial" w:eastAsia="Arial" w:hAnsi="Arial"/>
                <w:sz w:val="18"/>
                <w:szCs w:val="18"/>
                <w:color w:val="auto"/>
              </w:rPr>
              <w:t>For the year ended December 31, 2019</w:t>
            </w:r>
          </w:p>
        </w:tc>
        <w:tc>
          <w:tcPr>
            <w:tcW w:w="22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20"/>
              <w:spacing w:after="0"/>
              <w:rPr>
                <w:sz w:val="20"/>
                <w:szCs w:val="20"/>
                <w:color w:val="auto"/>
              </w:rPr>
            </w:pPr>
            <w:r>
              <w:rPr>
                <w:rFonts w:ascii="Arial" w:cs="Arial" w:eastAsia="Arial" w:hAnsi="Arial"/>
                <w:sz w:val="18"/>
                <w:szCs w:val="18"/>
                <w:color w:val="auto"/>
              </w:rPr>
              <w:t>2020</w:t>
            </w:r>
          </w:p>
        </w:tc>
        <w:tc>
          <w:tcPr>
            <w:tcW w:w="2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672</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2021</w:t>
            </w:r>
          </w:p>
        </w:tc>
        <w:tc>
          <w:tcPr>
            <w:tcW w:w="2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564</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20"/>
              <w:spacing w:after="0"/>
              <w:rPr>
                <w:sz w:val="20"/>
                <w:szCs w:val="20"/>
                <w:color w:val="auto"/>
              </w:rPr>
            </w:pPr>
            <w:r>
              <w:rPr>
                <w:rFonts w:ascii="Arial" w:cs="Arial" w:eastAsia="Arial" w:hAnsi="Arial"/>
                <w:sz w:val="18"/>
                <w:szCs w:val="18"/>
                <w:color w:val="auto"/>
              </w:rPr>
              <w:t>2022</w:t>
            </w:r>
          </w:p>
        </w:tc>
        <w:tc>
          <w:tcPr>
            <w:tcW w:w="2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519</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2023</w:t>
            </w:r>
          </w:p>
        </w:tc>
        <w:tc>
          <w:tcPr>
            <w:tcW w:w="2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518</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Total minimum lease payments</w:t>
            </w:r>
          </w:p>
        </w:tc>
        <w:tc>
          <w:tcPr>
            <w:tcW w:w="2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2,273</w:t>
            </w: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2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Less: amount of lease payments representing interest</w:t>
            </w:r>
          </w:p>
        </w:tc>
        <w:tc>
          <w:tcPr>
            <w:tcW w:w="22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(228)</w:t>
            </w:r>
          </w:p>
        </w:tc>
      </w:tr>
      <w:tr>
        <w:trPr>
          <w:trHeight w:val="223"/>
        </w:trPr>
        <w:tc>
          <w:tcPr>
            <w:tcW w:w="20" w:type="dxa"/>
            <w:vAlign w:val="bottom"/>
          </w:tcPr>
          <w:p>
            <w:pPr>
              <w:spacing w:after="0"/>
              <w:rPr>
                <w:sz w:val="19"/>
                <w:szCs w:val="19"/>
                <w:color w:val="auto"/>
              </w:rPr>
            </w:pPr>
          </w:p>
        </w:tc>
        <w:tc>
          <w:tcPr>
            <w:tcW w:w="620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Present value of future minimum lease payments</w:t>
            </w:r>
          </w:p>
        </w:tc>
        <w:tc>
          <w:tcPr>
            <w:tcW w:w="2280" w:type="dxa"/>
            <w:vAlign w:val="bottom"/>
            <w:tcBorders>
              <w:top w:val="single" w:sz="8" w:color="CCEEFF"/>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2,045</w:t>
            </w:r>
          </w:p>
        </w:tc>
        <w:tc>
          <w:tcPr>
            <w:tcW w:w="100" w:type="dxa"/>
            <w:vAlign w:val="bottom"/>
            <w:tcBorders>
              <w:top w:val="single" w:sz="8" w:color="CCEEFF"/>
            </w:tcBorders>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6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Less: Current maturities of operating leases</w:t>
            </w:r>
          </w:p>
        </w:tc>
        <w:tc>
          <w:tcPr>
            <w:tcW w:w="228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Long-term operating leases liabilities</w:t>
            </w:r>
          </w:p>
        </w:tc>
        <w:tc>
          <w:tcPr>
            <w:tcW w:w="22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1,373</w:t>
            </w:r>
          </w:p>
        </w:tc>
        <w:tc>
          <w:tcPr>
            <w:tcW w:w="100" w:type="dxa"/>
            <w:vAlign w:val="bottom"/>
          </w:tcPr>
          <w:p>
            <w:pPr>
              <w:spacing w:after="0"/>
              <w:rPr>
                <w:sz w:val="19"/>
                <w:szCs w:val="19"/>
                <w:color w:val="auto"/>
              </w:rPr>
            </w:pPr>
          </w:p>
        </w:tc>
      </w:tr>
      <w:tr>
        <w:trPr>
          <w:trHeight w:val="223"/>
        </w:trPr>
        <w:tc>
          <w:tcPr>
            <w:tcW w:w="20" w:type="dxa"/>
            <w:vAlign w:val="bottom"/>
          </w:tcPr>
          <w:p>
            <w:pPr>
              <w:spacing w:after="0"/>
              <w:rPr>
                <w:sz w:val="19"/>
                <w:szCs w:val="19"/>
                <w:color w:val="auto"/>
              </w:rPr>
            </w:pPr>
          </w:p>
        </w:tc>
        <w:tc>
          <w:tcPr>
            <w:tcW w:w="6200" w:type="dxa"/>
            <w:vAlign w:val="bottom"/>
            <w:tcBorders>
              <w:bottom w:val="single" w:sz="8" w:color="CCEEFF"/>
            </w:tcBorders>
            <w:shd w:val="clear" w:color="auto" w:fill="CCEEFF"/>
          </w:tcPr>
          <w:p>
            <w:pPr>
              <w:spacing w:after="0"/>
              <w:rPr>
                <w:sz w:val="19"/>
                <w:szCs w:val="19"/>
                <w:color w:val="auto"/>
              </w:rPr>
            </w:pPr>
          </w:p>
        </w:tc>
        <w:tc>
          <w:tcPr>
            <w:tcW w:w="228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2,045</w:t>
            </w:r>
          </w:p>
        </w:tc>
        <w:tc>
          <w:tcPr>
            <w:tcW w:w="100" w:type="dxa"/>
            <w:vAlign w:val="bottom"/>
            <w:tcBorders>
              <w:bottom w:val="single" w:sz="8" w:color="CCEEFF"/>
            </w:tcBorders>
            <w:shd w:val="clear" w:color="auto" w:fill="CCEEFF"/>
          </w:tcPr>
          <w:p>
            <w:pPr>
              <w:spacing w:after="0"/>
              <w:rPr>
                <w:sz w:val="19"/>
                <w:szCs w:val="19"/>
                <w:color w:val="auto"/>
              </w:rPr>
            </w:pPr>
          </w:p>
        </w:tc>
      </w:tr>
    </w:tbl>
    <w:p>
      <w:pPr>
        <w:spacing w:after="0" w:line="200" w:lineRule="exact"/>
        <w:rPr>
          <w:sz w:val="20"/>
          <w:szCs w:val="20"/>
          <w:color w:val="auto"/>
        </w:rPr>
      </w:pPr>
    </w:p>
    <w:p>
      <w:pPr>
        <w:spacing w:after="0" w:line="238" w:lineRule="exact"/>
        <w:rPr>
          <w:sz w:val="20"/>
          <w:szCs w:val="20"/>
          <w:color w:val="auto"/>
        </w:rPr>
      </w:pPr>
    </w:p>
    <w:p>
      <w:pPr>
        <w:jc w:val="center"/>
        <w:ind w:right="-119"/>
        <w:spacing w:after="0"/>
        <w:rPr>
          <w:sz w:val="20"/>
          <w:szCs w:val="20"/>
          <w:color w:val="auto"/>
        </w:rPr>
      </w:pPr>
      <w:r>
        <w:rPr>
          <w:rFonts w:ascii="Arial" w:cs="Arial" w:eastAsia="Arial" w:hAnsi="Arial"/>
          <w:sz w:val="22"/>
          <w:szCs w:val="22"/>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396" w:right="439" w:bottom="1440" w:gutter="0" w:footer="0" w:header="0"/>
        </w:sectPr>
      </w:pPr>
    </w:p>
    <w:bookmarkStart w:id="170" w:name="page171"/>
    <w:bookmarkEnd w:id="170"/>
    <w:p>
      <w:pPr>
        <w:jc w:val="center"/>
        <w:ind w:left="360"/>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left="360"/>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left="360"/>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6 — COMMITMENTS </w:t>
      </w:r>
      <w:r>
        <w:rPr>
          <w:rFonts w:ascii="Arial" w:cs="Arial" w:eastAsia="Arial" w:hAnsi="Arial"/>
          <w:sz w:val="22"/>
          <w:szCs w:val="22"/>
          <w:color w:val="auto"/>
        </w:rPr>
        <w:t>(continued):</w:t>
      </w:r>
    </w:p>
    <w:p>
      <w:pPr>
        <w:spacing w:after="0" w:line="293" w:lineRule="exact"/>
        <w:rPr>
          <w:sz w:val="20"/>
          <w:szCs w:val="20"/>
          <w:color w:val="auto"/>
        </w:rPr>
      </w:pPr>
    </w:p>
    <w:p>
      <w:pPr>
        <w:ind w:left="700" w:right="860"/>
        <w:spacing w:after="0" w:line="276" w:lineRule="auto"/>
        <w:rPr>
          <w:sz w:val="20"/>
          <w:szCs w:val="20"/>
          <w:color w:val="auto"/>
        </w:rPr>
      </w:pPr>
      <w:r>
        <w:rPr>
          <w:rFonts w:ascii="Arial" w:cs="Arial" w:eastAsia="Arial" w:hAnsi="Arial"/>
          <w:sz w:val="22"/>
          <w:szCs w:val="22"/>
          <w:color w:val="auto"/>
        </w:rPr>
        <w:t>Future minimum lease commitments under non-cancelable operating lease agreements as of December 31, 2018 according to ASC 840, are as follows:</w:t>
      </w:r>
    </w:p>
    <w:p>
      <w:pPr>
        <w:spacing w:after="0" w:line="236" w:lineRule="exact"/>
        <w:rPr>
          <w:sz w:val="20"/>
          <w:szCs w:val="20"/>
          <w:color w:val="auto"/>
        </w:rPr>
      </w:pPr>
    </w:p>
    <w:tbl>
      <w:tblPr>
        <w:tblLayout w:type="fixed"/>
        <w:tblInd w:w="8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480" w:type="dxa"/>
            <w:vAlign w:val="bottom"/>
            <w:shd w:val="clear" w:color="auto" w:fill="CCEEFF"/>
          </w:tcPr>
          <w:p>
            <w:pPr>
              <w:spacing w:after="0"/>
              <w:rPr>
                <w:sz w:val="20"/>
                <w:szCs w:val="20"/>
                <w:color w:val="auto"/>
              </w:rPr>
            </w:pPr>
            <w:r>
              <w:rPr>
                <w:rFonts w:ascii="Arial" w:cs="Arial" w:eastAsia="Arial" w:hAnsi="Arial"/>
                <w:sz w:val="18"/>
                <w:szCs w:val="18"/>
                <w:color w:val="auto"/>
              </w:rPr>
              <w:t>2019</w:t>
            </w:r>
          </w:p>
        </w:tc>
        <w:tc>
          <w:tcPr>
            <w:tcW w:w="320" w:type="dxa"/>
            <w:vAlign w:val="bottom"/>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480" w:type="dxa"/>
            <w:vAlign w:val="bottom"/>
          </w:tcPr>
          <w:p>
            <w:pPr>
              <w:spacing w:after="0"/>
              <w:rPr>
                <w:sz w:val="20"/>
                <w:szCs w:val="20"/>
                <w:color w:val="auto"/>
              </w:rPr>
            </w:pPr>
            <w:r>
              <w:rPr>
                <w:rFonts w:ascii="Arial" w:cs="Arial" w:eastAsia="Arial" w:hAnsi="Arial"/>
                <w:sz w:val="18"/>
                <w:szCs w:val="18"/>
                <w:color w:val="auto"/>
              </w:rPr>
              <w:t>2020</w:t>
            </w:r>
          </w:p>
        </w:tc>
        <w:tc>
          <w:tcPr>
            <w:tcW w:w="3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613</w:t>
            </w: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2021</w:t>
            </w:r>
          </w:p>
        </w:tc>
        <w:tc>
          <w:tcPr>
            <w:tcW w:w="320" w:type="dxa"/>
            <w:vAlign w:val="bottom"/>
            <w:tcBorders>
              <w:bottom w:val="single" w:sz="8" w:color="auto"/>
            </w:tcBorders>
            <w:shd w:val="clear" w:color="auto" w:fill="CCEEFF"/>
          </w:tcPr>
          <w:p>
            <w:pPr>
              <w:spacing w:after="0"/>
              <w:rPr>
                <w:sz w:val="19"/>
                <w:szCs w:val="19"/>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8480" w:type="dxa"/>
            <w:vAlign w:val="bottom"/>
          </w:tcPr>
          <w:p>
            <w:pPr>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1,303</w:t>
            </w:r>
          </w:p>
        </w:tc>
        <w:tc>
          <w:tcPr>
            <w:tcW w:w="100" w:type="dxa"/>
            <w:vAlign w:val="bottom"/>
          </w:tcPr>
          <w:p>
            <w:pPr>
              <w:spacing w:after="0"/>
              <w:rPr>
                <w:sz w:val="18"/>
                <w:szCs w:val="18"/>
                <w:color w:val="auto"/>
              </w:rPr>
            </w:pPr>
          </w:p>
        </w:tc>
      </w:tr>
      <w:tr>
        <w:trPr>
          <w:trHeight w:val="21"/>
        </w:trPr>
        <w:tc>
          <w:tcPr>
            <w:tcW w:w="20" w:type="dxa"/>
            <w:vAlign w:val="bottom"/>
          </w:tcPr>
          <w:p>
            <w:pPr>
              <w:spacing w:after="0" w:line="20" w:lineRule="exact"/>
              <w:rPr>
                <w:sz w:val="1"/>
                <w:szCs w:val="1"/>
                <w:color w:val="auto"/>
              </w:rPr>
            </w:pPr>
          </w:p>
        </w:tc>
        <w:tc>
          <w:tcPr>
            <w:tcW w:w="84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ind w:left="680" w:hanging="321"/>
        <w:spacing w:after="0" w:line="257" w:lineRule="auto"/>
        <w:tabs>
          <w:tab w:leader="none" w:pos="680" w:val="left"/>
        </w:tabs>
        <w:numPr>
          <w:ilvl w:val="0"/>
          <w:numId w:val="157"/>
        </w:numPr>
        <w:rPr>
          <w:rFonts w:ascii="Arial" w:cs="Arial" w:eastAsia="Arial" w:hAnsi="Arial"/>
          <w:sz w:val="18"/>
          <w:szCs w:val="18"/>
          <w:b w:val="1"/>
          <w:bCs w:val="1"/>
          <w:color w:val="auto"/>
        </w:rPr>
      </w:pPr>
      <w:r>
        <w:rPr>
          <w:rFonts w:ascii="Arial" w:cs="Arial" w:eastAsia="Arial" w:hAnsi="Arial"/>
          <w:sz w:val="18"/>
          <w:szCs w:val="18"/>
          <w:color w:val="auto"/>
        </w:rPr>
        <w:t>In June 2008, the Company entered into a Master Clinical Trial Services Agreement with a third party, which was later amended in April 2017, to retain its services as a clinical research organization for certain product candidate subject to task work orders to be issued by the Company. During 2018, the Company entered into six additional task orders. As consideration for its services the Company will pay a total amount of approximately $14,360 during the term of the engagement and based on achievement of certain milestones, out of which $9,561 were recognized as an expense until December 31, 2019.</w:t>
      </w:r>
    </w:p>
    <w:p>
      <w:pPr>
        <w:spacing w:after="0" w:line="241" w:lineRule="exact"/>
        <w:rPr>
          <w:rFonts w:ascii="Arial" w:cs="Arial" w:eastAsia="Arial" w:hAnsi="Arial"/>
          <w:sz w:val="18"/>
          <w:szCs w:val="18"/>
          <w:b w:val="1"/>
          <w:bCs w:val="1"/>
          <w:color w:val="auto"/>
        </w:rPr>
      </w:pPr>
    </w:p>
    <w:p>
      <w:pPr>
        <w:jc w:val="both"/>
        <w:ind w:left="680" w:right="220" w:hanging="321"/>
        <w:spacing w:after="0" w:line="311" w:lineRule="auto"/>
        <w:tabs>
          <w:tab w:leader="none" w:pos="680" w:val="left"/>
        </w:tabs>
        <w:numPr>
          <w:ilvl w:val="0"/>
          <w:numId w:val="157"/>
        </w:numPr>
        <w:rPr>
          <w:rFonts w:ascii="Arial" w:cs="Arial" w:eastAsia="Arial" w:hAnsi="Arial"/>
          <w:sz w:val="16"/>
          <w:szCs w:val="16"/>
          <w:b w:val="1"/>
          <w:bCs w:val="1"/>
          <w:color w:val="auto"/>
        </w:rPr>
      </w:pPr>
      <w:r>
        <w:rPr>
          <w:rFonts w:ascii="Arial" w:cs="Arial" w:eastAsia="Arial" w:hAnsi="Arial"/>
          <w:sz w:val="16"/>
          <w:szCs w:val="16"/>
          <w:color w:val="auto"/>
        </w:rPr>
        <w:t>In 2016 through 2019, the Company entered into eight collaboration agreements with two third parties for the development, manufacturing and commercialization of six product candidates (including an agreement assumed by the Company in August 2018, following the transfer of an in-process research and development product candidate from a related party). See detailed information in note 7b.</w:t>
      </w:r>
    </w:p>
    <w:p>
      <w:pPr>
        <w:spacing w:after="0" w:line="202" w:lineRule="exact"/>
        <w:rPr>
          <w:rFonts w:ascii="Arial" w:cs="Arial" w:eastAsia="Arial" w:hAnsi="Arial"/>
          <w:sz w:val="16"/>
          <w:szCs w:val="16"/>
          <w:b w:val="1"/>
          <w:bCs w:val="1"/>
          <w:color w:val="auto"/>
        </w:rPr>
      </w:pPr>
    </w:p>
    <w:p>
      <w:pPr>
        <w:ind w:left="680" w:right="100" w:hanging="321"/>
        <w:spacing w:after="0" w:line="259" w:lineRule="auto"/>
        <w:tabs>
          <w:tab w:leader="none" w:pos="680" w:val="left"/>
        </w:tabs>
        <w:numPr>
          <w:ilvl w:val="0"/>
          <w:numId w:val="157"/>
        </w:numPr>
        <w:rPr>
          <w:rFonts w:ascii="Arial" w:cs="Arial" w:eastAsia="Arial" w:hAnsi="Arial"/>
          <w:sz w:val="18"/>
          <w:szCs w:val="18"/>
          <w:b w:val="1"/>
          <w:bCs w:val="1"/>
          <w:color w:val="auto"/>
        </w:rPr>
      </w:pPr>
      <w:r>
        <w:rPr>
          <w:rFonts w:ascii="Arial" w:cs="Arial" w:eastAsia="Arial" w:hAnsi="Arial"/>
          <w:sz w:val="18"/>
          <w:szCs w:val="18"/>
          <w:color w:val="auto"/>
        </w:rPr>
        <w:t>In October 2017, the Company entered into a Clinical Development Master Services Agreement with a third party, to retain it as clinical research organization for certain product candidate, subject to task work orders to be issued by the Company. As consideration for its services the Company will pay a total amount of approximately $13,779 during the term of the engagement and based on achievement of certain milestones, out of which $7,825 were recognized as an expense until December 31, 2019.</w:t>
      </w:r>
    </w:p>
    <w:p>
      <w:pPr>
        <w:spacing w:after="0" w:line="240" w:lineRule="exact"/>
        <w:rPr>
          <w:rFonts w:ascii="Arial" w:cs="Arial" w:eastAsia="Arial" w:hAnsi="Arial"/>
          <w:sz w:val="18"/>
          <w:szCs w:val="18"/>
          <w:b w:val="1"/>
          <w:bCs w:val="1"/>
          <w:color w:val="auto"/>
        </w:rPr>
      </w:pPr>
    </w:p>
    <w:p>
      <w:pPr>
        <w:jc w:val="both"/>
        <w:ind w:left="680" w:hanging="321"/>
        <w:spacing w:after="0" w:line="259" w:lineRule="auto"/>
        <w:tabs>
          <w:tab w:leader="none" w:pos="680" w:val="left"/>
        </w:tabs>
        <w:numPr>
          <w:ilvl w:val="0"/>
          <w:numId w:val="157"/>
        </w:numPr>
        <w:rPr>
          <w:rFonts w:ascii="Arial" w:cs="Arial" w:eastAsia="Arial" w:hAnsi="Arial"/>
          <w:sz w:val="18"/>
          <w:szCs w:val="18"/>
          <w:b w:val="1"/>
          <w:bCs w:val="1"/>
          <w:color w:val="auto"/>
        </w:rPr>
      </w:pPr>
      <w:r>
        <w:rPr>
          <w:rFonts w:ascii="Arial" w:cs="Arial" w:eastAsia="Arial" w:hAnsi="Arial"/>
          <w:sz w:val="18"/>
          <w:szCs w:val="18"/>
          <w:color w:val="auto"/>
        </w:rPr>
        <w:t>In July 2018, the Company signed on a Master Services Agreement to receive certain clinical research services for certain product candidate subject to task work orders to be issued by the Company. As consideration for the services in the first work order the Company will pay a total amount of approximately $2,234 during the term of the engagement and based on achievement of certain milestones, $957 of which were recognized as an expense until December 31, 2019.</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71" w:name="page172"/>
    <w:bookmarkEnd w:id="171"/>
    <w:p>
      <w:pPr>
        <w:jc w:val="center"/>
        <w:ind w:right="-1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7 — COLLABORATION AGREEMENTS</w:t>
      </w:r>
    </w:p>
    <w:p>
      <w:pPr>
        <w:spacing w:after="0" w:line="287" w:lineRule="exact"/>
        <w:rPr>
          <w:sz w:val="20"/>
          <w:szCs w:val="20"/>
          <w:color w:val="auto"/>
        </w:rPr>
      </w:pPr>
    </w:p>
    <w:p>
      <w:pPr>
        <w:ind w:left="680" w:right="340" w:hanging="321"/>
        <w:spacing w:after="0" w:line="308" w:lineRule="auto"/>
        <w:tabs>
          <w:tab w:leader="none" w:pos="680" w:val="left"/>
        </w:tabs>
        <w:numPr>
          <w:ilvl w:val="0"/>
          <w:numId w:val="158"/>
        </w:numPr>
        <w:rPr>
          <w:rFonts w:ascii="Arial" w:cs="Arial" w:eastAsia="Arial" w:hAnsi="Arial"/>
          <w:sz w:val="17"/>
          <w:szCs w:val="17"/>
          <w:color w:val="auto"/>
        </w:rPr>
      </w:pPr>
      <w:r>
        <w:rPr>
          <w:rFonts w:ascii="Arial" w:cs="Arial" w:eastAsia="Arial" w:hAnsi="Arial"/>
          <w:sz w:val="17"/>
          <w:szCs w:val="17"/>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200" w:lineRule="exact"/>
        <w:rPr>
          <w:rFonts w:ascii="Arial" w:cs="Arial" w:eastAsia="Arial" w:hAnsi="Arial"/>
          <w:sz w:val="17"/>
          <w:szCs w:val="17"/>
          <w:color w:val="auto"/>
        </w:rPr>
      </w:pPr>
    </w:p>
    <w:p>
      <w:pPr>
        <w:ind w:left="680" w:right="100" w:hanging="321"/>
        <w:spacing w:after="0" w:line="257" w:lineRule="auto"/>
        <w:tabs>
          <w:tab w:leader="none" w:pos="68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In 2016 through 2019, the Company entered into several collaboration agreements with two third parties for the development, manufacturing and commercialization of several product candidates. Under the agreements, the third parties are obligated to conduct regulatory, scientific, clinical and technical activities necessary to develop the product and prepare and file ANDA, with the FDA and gain regulatory approval. The Company participates in the development of the product candidates, including participation in joint steering committees and is obligated for sourcing the active pharmaceutical ingredient (API) during the development phase.</w:t>
      </w:r>
    </w:p>
    <w:p>
      <w:pPr>
        <w:spacing w:after="0" w:line="187" w:lineRule="exact"/>
        <w:rPr>
          <w:rFonts w:ascii="Arial" w:cs="Arial" w:eastAsia="Arial" w:hAnsi="Arial"/>
          <w:sz w:val="18"/>
          <w:szCs w:val="18"/>
          <w:color w:val="auto"/>
        </w:rPr>
      </w:pPr>
    </w:p>
    <w:p>
      <w:pPr>
        <w:jc w:val="both"/>
        <w:ind w:left="680" w:right="140"/>
        <w:spacing w:after="0" w:line="311" w:lineRule="auto"/>
        <w:rPr>
          <w:rFonts w:ascii="Arial" w:cs="Arial" w:eastAsia="Arial" w:hAnsi="Arial"/>
          <w:sz w:val="18"/>
          <w:szCs w:val="18"/>
          <w:color w:val="auto"/>
        </w:rPr>
      </w:pPr>
      <w:r>
        <w:rPr>
          <w:rFonts w:ascii="Arial" w:cs="Arial" w:eastAsia="Arial" w:hAnsi="Arial"/>
          <w:sz w:val="16"/>
          <w:szCs w:val="16"/>
          <w:color w:val="auto"/>
        </w:rPr>
        <w:t>Upon FDA approval, the third parties have exclusive rights and are required to use diligent efforts to commercialize these products in territories defined under the agreements, including all required sales, marketing and distributing activities associated with the agreements. The Company is entitled to 50% of the third parties’ gross profits related to the sale of these products, as such term is defined in the agreements.</w:t>
      </w:r>
    </w:p>
    <w:p>
      <w:pPr>
        <w:spacing w:after="0" w:line="148" w:lineRule="exact"/>
        <w:rPr>
          <w:rFonts w:ascii="Arial" w:cs="Arial" w:eastAsia="Arial" w:hAnsi="Arial"/>
          <w:sz w:val="18"/>
          <w:szCs w:val="18"/>
          <w:color w:val="auto"/>
        </w:rPr>
      </w:pPr>
    </w:p>
    <w:p>
      <w:pPr>
        <w:ind w:left="680" w:right="120"/>
        <w:spacing w:after="0" w:line="263" w:lineRule="auto"/>
        <w:rPr>
          <w:rFonts w:ascii="Arial" w:cs="Arial" w:eastAsia="Arial" w:hAnsi="Arial"/>
          <w:sz w:val="18"/>
          <w:szCs w:val="18"/>
          <w:color w:val="auto"/>
        </w:rPr>
      </w:pPr>
      <w:r>
        <w:rPr>
          <w:rFonts w:ascii="Arial" w:cs="Arial" w:eastAsia="Arial" w:hAnsi="Arial"/>
          <w:sz w:val="18"/>
          <w:szCs w:val="18"/>
          <w:color w:val="auto"/>
        </w:rPr>
        <w:t>In February 2019, the Company announced that a third party has received final approval from the FDA for the first generic version of a drug product. During the year ended December 31, 2019 the Company recognized collaboration revenue related to sales of products in the U.S. under this agreement in the amount of $22.8 million.</w:t>
      </w:r>
    </w:p>
    <w:p>
      <w:pPr>
        <w:spacing w:after="0" w:line="183" w:lineRule="exact"/>
        <w:rPr>
          <w:rFonts w:ascii="Arial" w:cs="Arial" w:eastAsia="Arial" w:hAnsi="Arial"/>
          <w:sz w:val="18"/>
          <w:szCs w:val="18"/>
          <w:color w:val="auto"/>
        </w:rPr>
      </w:pPr>
    </w:p>
    <w:p>
      <w:pPr>
        <w:ind w:left="680" w:right="60"/>
        <w:spacing w:after="0" w:line="277" w:lineRule="auto"/>
        <w:rPr>
          <w:rFonts w:ascii="Arial" w:cs="Arial" w:eastAsia="Arial" w:hAnsi="Arial"/>
          <w:sz w:val="18"/>
          <w:szCs w:val="18"/>
          <w:color w:val="auto"/>
        </w:rPr>
      </w:pPr>
      <w:r>
        <w:rPr>
          <w:rFonts w:ascii="Arial" w:cs="Arial" w:eastAsia="Arial" w:hAnsi="Arial"/>
          <w:sz w:val="18"/>
          <w:szCs w:val="18"/>
          <w:color w:val="auto"/>
        </w:rPr>
        <w:t>This Agreement is considered to be within the scope of ASC 808, as the parties are active participants and exposed to the risks and rewards of the collaborative activity.</w:t>
      </w:r>
    </w:p>
    <w:p>
      <w:pPr>
        <w:spacing w:after="0" w:line="170" w:lineRule="exact"/>
        <w:rPr>
          <w:rFonts w:ascii="Arial" w:cs="Arial" w:eastAsia="Arial" w:hAnsi="Arial"/>
          <w:sz w:val="18"/>
          <w:szCs w:val="18"/>
          <w:color w:val="auto"/>
        </w:rPr>
      </w:pPr>
    </w:p>
    <w:p>
      <w:pPr>
        <w:ind w:left="680"/>
        <w:spacing w:after="0"/>
        <w:rPr>
          <w:rFonts w:ascii="Arial" w:cs="Arial" w:eastAsia="Arial" w:hAnsi="Arial"/>
          <w:sz w:val="18"/>
          <w:szCs w:val="18"/>
          <w:color w:val="auto"/>
        </w:rPr>
      </w:pPr>
      <w:r>
        <w:rPr>
          <w:rFonts w:ascii="Arial" w:cs="Arial" w:eastAsia="Arial" w:hAnsi="Arial"/>
          <w:sz w:val="18"/>
          <w:szCs w:val="18"/>
          <w:color w:val="auto"/>
        </w:rPr>
        <w:t>The Company recognizes collaboration revenue when the related sales occur.</w:t>
      </w:r>
    </w:p>
    <w:p>
      <w:pPr>
        <w:spacing w:after="0" w:line="27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8— SHARE CAPITAL</w:t>
      </w:r>
    </w:p>
    <w:p>
      <w:pPr>
        <w:spacing w:after="0" w:line="283" w:lineRule="exact"/>
        <w:rPr>
          <w:sz w:val="20"/>
          <w:szCs w:val="20"/>
          <w:color w:val="auto"/>
        </w:rPr>
      </w:pPr>
    </w:p>
    <w:p>
      <w:pPr>
        <w:ind w:left="680" w:hanging="321"/>
        <w:spacing w:after="0"/>
        <w:tabs>
          <w:tab w:leader="none" w:pos="68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Ordinary shares</w:t>
      </w:r>
    </w:p>
    <w:p>
      <w:pPr>
        <w:spacing w:after="0" w:line="279" w:lineRule="exact"/>
        <w:rPr>
          <w:rFonts w:ascii="Arial" w:cs="Arial" w:eastAsia="Arial" w:hAnsi="Arial"/>
          <w:sz w:val="18"/>
          <w:szCs w:val="18"/>
          <w:b w:val="1"/>
          <w:bCs w:val="1"/>
          <w:color w:val="auto"/>
        </w:rPr>
      </w:pPr>
    </w:p>
    <w:p>
      <w:pPr>
        <w:ind w:left="1000" w:hanging="317"/>
        <w:spacing w:after="0"/>
        <w:tabs>
          <w:tab w:leader="none" w:pos="1000" w:val="left"/>
        </w:tabs>
        <w:numPr>
          <w:ilvl w:val="1"/>
          <w:numId w:val="159"/>
        </w:numPr>
        <w:rPr>
          <w:rFonts w:ascii="Arial" w:cs="Arial" w:eastAsia="Arial" w:hAnsi="Arial"/>
          <w:sz w:val="18"/>
          <w:szCs w:val="18"/>
          <w:color w:val="auto"/>
        </w:rPr>
      </w:pPr>
      <w:r>
        <w:rPr>
          <w:rFonts w:ascii="Arial" w:cs="Arial" w:eastAsia="Arial" w:hAnsi="Arial"/>
          <w:sz w:val="18"/>
          <w:szCs w:val="18"/>
          <w:b w:val="1"/>
          <w:bCs w:val="1"/>
          <w:color w:val="auto"/>
        </w:rPr>
        <w:t>Rights of the Company’s ordinary shares</w:t>
      </w:r>
    </w:p>
    <w:p>
      <w:pPr>
        <w:spacing w:after="0" w:line="229" w:lineRule="exact"/>
        <w:rPr>
          <w:rFonts w:ascii="Arial" w:cs="Arial" w:eastAsia="Arial" w:hAnsi="Arial"/>
          <w:sz w:val="18"/>
          <w:szCs w:val="18"/>
          <w:color w:val="auto"/>
        </w:rPr>
      </w:pPr>
    </w:p>
    <w:p>
      <w:pPr>
        <w:ind w:left="1000" w:right="160"/>
        <w:spacing w:after="0" w:line="308" w:lineRule="auto"/>
        <w:rPr>
          <w:rFonts w:ascii="Arial" w:cs="Arial" w:eastAsia="Arial" w:hAnsi="Arial"/>
          <w:sz w:val="18"/>
          <w:szCs w:val="18"/>
          <w:color w:val="auto"/>
        </w:rPr>
      </w:pPr>
      <w:r>
        <w:rPr>
          <w:rFonts w:ascii="Arial" w:cs="Arial" w:eastAsia="Arial" w:hAnsi="Arial"/>
          <w:sz w:val="17"/>
          <w:szCs w:val="17"/>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200" w:lineRule="exact"/>
        <w:rPr>
          <w:rFonts w:ascii="Arial" w:cs="Arial" w:eastAsia="Arial" w:hAnsi="Arial"/>
          <w:sz w:val="18"/>
          <w:szCs w:val="18"/>
          <w:color w:val="auto"/>
        </w:rPr>
      </w:pPr>
    </w:p>
    <w:p>
      <w:pPr>
        <w:ind w:left="1000" w:hanging="317"/>
        <w:spacing w:after="0"/>
        <w:tabs>
          <w:tab w:leader="none" w:pos="1000" w:val="left"/>
        </w:tabs>
        <w:numPr>
          <w:ilvl w:val="1"/>
          <w:numId w:val="159"/>
        </w:numPr>
        <w:rPr>
          <w:rFonts w:ascii="Arial" w:cs="Arial" w:eastAsia="Arial" w:hAnsi="Arial"/>
          <w:sz w:val="18"/>
          <w:szCs w:val="18"/>
          <w:color w:val="auto"/>
        </w:rPr>
      </w:pPr>
      <w:r>
        <w:rPr>
          <w:rFonts w:ascii="Arial" w:cs="Arial" w:eastAsia="Arial" w:hAnsi="Arial"/>
          <w:sz w:val="18"/>
          <w:szCs w:val="18"/>
          <w:color w:val="auto"/>
        </w:rPr>
        <w:t>On October 2, 2017, the Company increased its authorized share capital to 50,000,000 shares, NIS 0.1 par value.</w:t>
      </w:r>
    </w:p>
    <w:p>
      <w:pPr>
        <w:spacing w:after="0" w:line="279" w:lineRule="exact"/>
        <w:rPr>
          <w:rFonts w:ascii="Arial" w:cs="Arial" w:eastAsia="Arial" w:hAnsi="Arial"/>
          <w:sz w:val="18"/>
          <w:szCs w:val="18"/>
          <w:color w:val="auto"/>
        </w:rPr>
      </w:pPr>
    </w:p>
    <w:p>
      <w:pPr>
        <w:ind w:left="1000" w:hanging="317"/>
        <w:spacing w:after="0" w:line="273" w:lineRule="auto"/>
        <w:tabs>
          <w:tab w:leader="none" w:pos="1000" w:val="left"/>
        </w:tabs>
        <w:numPr>
          <w:ilvl w:val="1"/>
          <w:numId w:val="159"/>
        </w:numPr>
        <w:rPr>
          <w:rFonts w:ascii="Arial" w:cs="Arial" w:eastAsia="Arial" w:hAnsi="Arial"/>
          <w:sz w:val="17"/>
          <w:szCs w:val="17"/>
          <w:color w:val="auto"/>
        </w:rPr>
      </w:pPr>
      <w:r>
        <w:rPr>
          <w:rFonts w:ascii="Arial" w:cs="Arial" w:eastAsia="Arial" w:hAnsi="Arial"/>
          <w:sz w:val="17"/>
          <w:szCs w:val="17"/>
          <w:color w:val="auto"/>
        </w:rPr>
        <w:t>On January 19, 2018, the Company executed a 1-for-1.8 share split of the Company’s shares by way of an issuance of bonus shares for each share. Upon the effectiveness of the share split, (i) 0.8 bonus shares were issued for each outstanding share, (ii) the number of ordinary shares into which each outstanding option to purchase ordinary shares is exercisable was proportionally increased, and (iii) the exercise price of each outstanding option to purchase ordinary shares was proportionately decreased. Unless otherwise indicated, and except for authorized capital, all of the share numbers, loss per share amounts, share prices and option exercise prices in these financial statements have been adjusted, on a retroactive basis, to reflect this 1-for-1.8 share split.</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72" w:name="page173"/>
    <w:bookmarkEnd w:id="172"/>
    <w:p>
      <w:pPr>
        <w:jc w:val="center"/>
        <w:ind w:right="-1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8 — SHARE CAPITAL (</w:t>
      </w:r>
      <w:r>
        <w:rPr>
          <w:rFonts w:ascii="Arial" w:cs="Arial" w:eastAsia="Arial" w:hAnsi="Arial"/>
          <w:sz w:val="22"/>
          <w:szCs w:val="22"/>
          <w:color w:val="auto"/>
        </w:rPr>
        <w:t>continued)</w:t>
      </w:r>
    </w:p>
    <w:p>
      <w:pPr>
        <w:spacing w:after="0" w:line="287" w:lineRule="exact"/>
        <w:rPr>
          <w:sz w:val="20"/>
          <w:szCs w:val="20"/>
          <w:color w:val="auto"/>
        </w:rPr>
      </w:pPr>
    </w:p>
    <w:p>
      <w:pPr>
        <w:ind w:left="1000" w:right="80" w:hanging="317"/>
        <w:spacing w:after="0" w:line="259" w:lineRule="auto"/>
        <w:tabs>
          <w:tab w:leader="none" w:pos="100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In January 2018, the Company completed an IPO on the NASDAQ Stock Market, in which it issued 6,250,000 Ordinary shares at a price per share of $12. During February 2018 the underwriters exercised their green shoe option and purchased additional 937,500 ordinary shares at the same price per share. The net proceeds received from the IPO were approximately $78,800, after deducting underwriting discounts, commissions and other offering expenses in a total amount of approximately $7,450.</w:t>
      </w:r>
    </w:p>
    <w:p>
      <w:pPr>
        <w:spacing w:after="0" w:line="186" w:lineRule="exact"/>
        <w:rPr>
          <w:rFonts w:ascii="Arial" w:cs="Arial" w:eastAsia="Arial" w:hAnsi="Arial"/>
          <w:sz w:val="18"/>
          <w:szCs w:val="18"/>
          <w:color w:val="auto"/>
        </w:rPr>
      </w:pPr>
    </w:p>
    <w:p>
      <w:pPr>
        <w:ind w:left="1000" w:right="160"/>
        <w:spacing w:after="0" w:line="277" w:lineRule="auto"/>
        <w:rPr>
          <w:rFonts w:ascii="Arial" w:cs="Arial" w:eastAsia="Arial" w:hAnsi="Arial"/>
          <w:sz w:val="18"/>
          <w:szCs w:val="18"/>
          <w:color w:val="auto"/>
        </w:rPr>
      </w:pPr>
      <w:r>
        <w:rPr>
          <w:rFonts w:ascii="Arial" w:cs="Arial" w:eastAsia="Arial" w:hAnsi="Arial"/>
          <w:sz w:val="18"/>
          <w:szCs w:val="18"/>
          <w:color w:val="auto"/>
        </w:rPr>
        <w:t>Immediately prior to the closing of the IPO, the outstanding promissory notes received from the Controlling shareholder were automatically converted into Company's shares.</w:t>
      </w:r>
    </w:p>
    <w:p>
      <w:pPr>
        <w:spacing w:after="0" w:line="224" w:lineRule="exact"/>
        <w:rPr>
          <w:rFonts w:ascii="Arial" w:cs="Arial" w:eastAsia="Arial" w:hAnsi="Arial"/>
          <w:sz w:val="18"/>
          <w:szCs w:val="18"/>
          <w:color w:val="auto"/>
        </w:rPr>
      </w:pPr>
    </w:p>
    <w:p>
      <w:pPr>
        <w:ind w:left="1000" w:hanging="317"/>
        <w:spacing w:after="0"/>
        <w:tabs>
          <w:tab w:leader="none" w:pos="100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On August 12, 2019, the Company completed an underwritten follow-on public offering, in which it issued 1,437,500 ordinary</w:t>
      </w:r>
    </w:p>
    <w:p>
      <w:pPr>
        <w:spacing w:after="0" w:line="23" w:lineRule="exact"/>
        <w:rPr>
          <w:rFonts w:ascii="Arial" w:cs="Arial" w:eastAsia="Arial" w:hAnsi="Arial"/>
          <w:sz w:val="18"/>
          <w:szCs w:val="18"/>
          <w:color w:val="auto"/>
        </w:rPr>
      </w:pPr>
    </w:p>
    <w:p>
      <w:pPr>
        <w:ind w:left="1000" w:right="20"/>
        <w:spacing w:after="0" w:line="250" w:lineRule="auto"/>
        <w:rPr>
          <w:rFonts w:ascii="Arial" w:cs="Arial" w:eastAsia="Arial" w:hAnsi="Arial"/>
          <w:sz w:val="18"/>
          <w:szCs w:val="18"/>
          <w:color w:val="auto"/>
        </w:rPr>
      </w:pPr>
      <w:r>
        <w:rPr>
          <w:rFonts w:ascii="Arial" w:cs="Arial" w:eastAsia="Arial" w:hAnsi="Arial"/>
          <w:sz w:val="18"/>
          <w:szCs w:val="18"/>
          <w:color w:val="auto"/>
        </w:rPr>
        <w:t>shares, including the full exercise by the underwriters of their option to purchase 187,500 additional ordinary shares, at a public offering price of $8.00 per ordinary share.</w:t>
      </w:r>
    </w:p>
    <w:p>
      <w:pPr>
        <w:ind w:left="1000"/>
        <w:spacing w:after="0"/>
        <w:rPr>
          <w:rFonts w:ascii="Arial" w:cs="Arial" w:eastAsia="Arial" w:hAnsi="Arial"/>
          <w:sz w:val="18"/>
          <w:szCs w:val="18"/>
          <w:color w:val="auto"/>
        </w:rPr>
      </w:pPr>
      <w:r>
        <w:rPr>
          <w:rFonts w:ascii="Arial" w:cs="Arial" w:eastAsia="Arial" w:hAnsi="Arial"/>
          <w:sz w:val="18"/>
          <w:szCs w:val="18"/>
          <w:color w:val="auto"/>
        </w:rPr>
        <w:t>The total proceeds received from the offering, net of issuance costs, were approximately $10.6 million.</w:t>
      </w:r>
    </w:p>
    <w:p>
      <w:pPr>
        <w:spacing w:after="0" w:line="264" w:lineRule="exact"/>
        <w:rPr>
          <w:rFonts w:ascii="Arial" w:cs="Arial" w:eastAsia="Arial" w:hAnsi="Arial"/>
          <w:sz w:val="18"/>
          <w:szCs w:val="18"/>
          <w:color w:val="auto"/>
        </w:rPr>
      </w:pPr>
    </w:p>
    <w:p>
      <w:pPr>
        <w:ind w:left="1000" w:right="40" w:hanging="317"/>
        <w:spacing w:after="0" w:line="277" w:lineRule="auto"/>
        <w:tabs>
          <w:tab w:leader="none" w:pos="100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See note 12, as to issuance of ordinary shares and warrants, subsequent to December 31, 2019, for a net consideration of approximately $21.5 million.</w:t>
      </w:r>
    </w:p>
    <w:p>
      <w:pPr>
        <w:spacing w:after="0" w:line="224" w:lineRule="exact"/>
        <w:rPr>
          <w:rFonts w:ascii="Arial" w:cs="Arial" w:eastAsia="Arial" w:hAnsi="Arial"/>
          <w:sz w:val="18"/>
          <w:szCs w:val="18"/>
          <w:color w:val="auto"/>
        </w:rPr>
      </w:pPr>
    </w:p>
    <w:p>
      <w:pPr>
        <w:ind w:left="1000" w:right="700" w:hanging="317"/>
        <w:spacing w:after="0" w:line="277" w:lineRule="auto"/>
        <w:tabs>
          <w:tab w:leader="none" w:pos="1000" w:val="left"/>
        </w:tabs>
        <w:numPr>
          <w:ilvl w:val="1"/>
          <w:numId w:val="160"/>
        </w:numPr>
        <w:rPr>
          <w:rFonts w:ascii="Arial" w:cs="Arial" w:eastAsia="Arial" w:hAnsi="Arial"/>
          <w:sz w:val="18"/>
          <w:szCs w:val="18"/>
          <w:color w:val="auto"/>
        </w:rPr>
      </w:pPr>
      <w:r>
        <w:rPr>
          <w:rFonts w:ascii="Arial" w:cs="Arial" w:eastAsia="Arial" w:hAnsi="Arial"/>
          <w:sz w:val="18"/>
          <w:szCs w:val="18"/>
          <w:color w:val="auto"/>
        </w:rPr>
        <w:t>See note 12 as to private placement agreement signed with the Controlling Shareholder, subsequent to December 31, 2019, for a net consideration of approximately $5 million.</w:t>
      </w:r>
    </w:p>
    <w:p>
      <w:pPr>
        <w:spacing w:after="0" w:line="220" w:lineRule="exact"/>
        <w:rPr>
          <w:rFonts w:ascii="Arial" w:cs="Arial" w:eastAsia="Arial" w:hAnsi="Arial"/>
          <w:sz w:val="18"/>
          <w:szCs w:val="18"/>
          <w:color w:val="auto"/>
        </w:rPr>
      </w:pPr>
    </w:p>
    <w:p>
      <w:pPr>
        <w:ind w:left="360"/>
        <w:spacing w:after="0"/>
        <w:rPr>
          <w:rFonts w:ascii="Arial" w:cs="Arial" w:eastAsia="Arial" w:hAnsi="Arial"/>
          <w:sz w:val="18"/>
          <w:szCs w:val="18"/>
          <w:color w:val="auto"/>
        </w:rPr>
      </w:pPr>
      <w:r>
        <w:rPr>
          <w:rFonts w:ascii="Arial" w:cs="Arial" w:eastAsia="Arial" w:hAnsi="Arial"/>
          <w:sz w:val="18"/>
          <w:szCs w:val="18"/>
          <w:b w:val="1"/>
          <w:bCs w:val="1"/>
          <w:color w:val="auto"/>
        </w:rPr>
        <w:t>b.  Share-based compensation:</w:t>
      </w:r>
    </w:p>
    <w:p>
      <w:pPr>
        <w:spacing w:after="0" w:line="279" w:lineRule="exact"/>
        <w:rPr>
          <w:rFonts w:ascii="Arial" w:cs="Arial" w:eastAsia="Arial" w:hAnsi="Arial"/>
          <w:sz w:val="18"/>
          <w:szCs w:val="18"/>
          <w:color w:val="auto"/>
        </w:rPr>
      </w:pPr>
    </w:p>
    <w:p>
      <w:pPr>
        <w:ind w:left="1000" w:hanging="317"/>
        <w:spacing w:after="0"/>
        <w:tabs>
          <w:tab w:leader="none" w:pos="1000" w:val="left"/>
        </w:tabs>
        <w:numPr>
          <w:ilvl w:val="1"/>
          <w:numId w:val="161"/>
        </w:numPr>
        <w:rPr>
          <w:rFonts w:ascii="Arial" w:cs="Arial" w:eastAsia="Arial" w:hAnsi="Arial"/>
          <w:sz w:val="18"/>
          <w:szCs w:val="18"/>
          <w:color w:val="auto"/>
        </w:rPr>
      </w:pPr>
      <w:r>
        <w:rPr>
          <w:rFonts w:ascii="Arial" w:cs="Arial" w:eastAsia="Arial" w:hAnsi="Arial"/>
          <w:sz w:val="18"/>
          <w:szCs w:val="18"/>
          <w:b w:val="1"/>
          <w:bCs w:val="1"/>
          <w:color w:val="auto"/>
        </w:rPr>
        <w:t>Option plan</w:t>
      </w:r>
    </w:p>
    <w:p>
      <w:pPr>
        <w:spacing w:after="0" w:line="289" w:lineRule="exact"/>
        <w:rPr>
          <w:sz w:val="20"/>
          <w:szCs w:val="20"/>
          <w:color w:val="auto"/>
        </w:rPr>
      </w:pPr>
    </w:p>
    <w:p>
      <w:pPr>
        <w:ind w:left="1020"/>
        <w:spacing w:after="0" w:line="311" w:lineRule="auto"/>
        <w:rPr>
          <w:sz w:val="20"/>
          <w:szCs w:val="20"/>
          <w:color w:val="auto"/>
        </w:rPr>
      </w:pPr>
      <w:r>
        <w:rPr>
          <w:rFonts w:ascii="Arial" w:cs="Arial" w:eastAsia="Arial" w:hAnsi="Arial"/>
          <w:sz w:val="19"/>
          <w:szCs w:val="19"/>
          <w:color w:val="auto"/>
        </w:rPr>
        <w:t>In December, 2014, the Company’s Board of Directors approved a Share Incentive Plan (hereafter — the Plan) and reserved a pool of 629,025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 employees, consultants, directors and other service providers.</w:t>
      </w:r>
    </w:p>
    <w:p>
      <w:pPr>
        <w:spacing w:after="0" w:line="204" w:lineRule="exact"/>
        <w:rPr>
          <w:sz w:val="20"/>
          <w:szCs w:val="20"/>
          <w:color w:val="auto"/>
        </w:rPr>
      </w:pPr>
    </w:p>
    <w:p>
      <w:pPr>
        <w:ind w:left="1020" w:right="100"/>
        <w:spacing w:after="0" w:line="327" w:lineRule="auto"/>
        <w:rPr>
          <w:sz w:val="20"/>
          <w:szCs w:val="20"/>
          <w:color w:val="auto"/>
        </w:rPr>
      </w:pPr>
      <w:r>
        <w:rPr>
          <w:rFonts w:ascii="Arial" w:cs="Arial" w:eastAsia="Arial" w:hAnsi="Arial"/>
          <w:sz w:val="19"/>
          <w:szCs w:val="19"/>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 and under Internal revenue Code Section 422.</w:t>
      </w:r>
    </w:p>
    <w:p>
      <w:pPr>
        <w:spacing w:after="0" w:line="187" w:lineRule="exact"/>
        <w:rPr>
          <w:sz w:val="20"/>
          <w:szCs w:val="20"/>
          <w:color w:val="auto"/>
        </w:rPr>
      </w:pPr>
    </w:p>
    <w:p>
      <w:pPr>
        <w:ind w:left="1020" w:right="20"/>
        <w:spacing w:after="0" w:line="262" w:lineRule="auto"/>
        <w:rPr>
          <w:sz w:val="20"/>
          <w:szCs w:val="20"/>
          <w:color w:val="auto"/>
        </w:rPr>
      </w:pPr>
      <w:r>
        <w:rPr>
          <w:rFonts w:ascii="Arial" w:cs="Arial" w:eastAsia="Arial" w:hAnsi="Arial"/>
          <w:sz w:val="22"/>
          <w:szCs w:val="22"/>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comparable peer companies.</w:t>
      </w:r>
    </w:p>
    <w:p>
      <w:pPr>
        <w:spacing w:after="0" w:line="245" w:lineRule="exact"/>
        <w:rPr>
          <w:sz w:val="20"/>
          <w:szCs w:val="20"/>
          <w:color w:val="auto"/>
        </w:rPr>
      </w:pPr>
    </w:p>
    <w:p>
      <w:pPr>
        <w:ind w:left="1020" w:right="220"/>
        <w:spacing w:after="0" w:line="266" w:lineRule="auto"/>
        <w:rPr>
          <w:sz w:val="20"/>
          <w:szCs w:val="20"/>
          <w:color w:val="auto"/>
        </w:rPr>
      </w:pPr>
      <w:r>
        <w:rPr>
          <w:rFonts w:ascii="Arial" w:cs="Arial" w:eastAsia="Arial" w:hAnsi="Arial"/>
          <w:sz w:val="22"/>
          <w:szCs w:val="22"/>
          <w:color w:val="auto"/>
        </w:rPr>
        <w:t>The risk-free interest rate assumption is based on observed interest rates appropriate for the expected term of the options granted in dollar terms. The expected term of the options is estimated based on the simplified method, as its historical experience for options grants as a public company is insufficient.</w:t>
      </w:r>
    </w:p>
    <w:p>
      <w:pPr>
        <w:spacing w:after="0" w:line="239" w:lineRule="exact"/>
        <w:rPr>
          <w:sz w:val="20"/>
          <w:szCs w:val="20"/>
          <w:color w:val="auto"/>
        </w:rPr>
      </w:pPr>
    </w:p>
    <w:p>
      <w:pPr>
        <w:jc w:val="both"/>
        <w:ind w:left="1020" w:right="80"/>
        <w:spacing w:after="0" w:line="266" w:lineRule="auto"/>
        <w:rPr>
          <w:sz w:val="20"/>
          <w:szCs w:val="20"/>
          <w:color w:val="auto"/>
        </w:rPr>
      </w:pPr>
      <w:r>
        <w:rPr>
          <w:rFonts w:ascii="Arial" w:cs="Arial" w:eastAsia="Arial" w:hAnsi="Arial"/>
          <w:sz w:val="22"/>
          <w:szCs w:val="22"/>
          <w:color w:val="auto"/>
        </w:rPr>
        <w:t>In July 2017 and December 2019, the Company’s Board of Directors approved an increase of the ordinary shares that may be issued under the Company’s Plan by reserving an additional amount of 720,975 and 912,230 ordinary shares, respectively</w:t>
      </w:r>
    </w:p>
    <w:p>
      <w:pPr>
        <w:spacing w:after="0" w:line="239"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As of December 31, 2019, 958,102 ordinary shares remain available for future grants under the Plan.</w:t>
      </w:r>
    </w:p>
    <w:p>
      <w:pPr>
        <w:sectPr>
          <w:pgSz w:w="11900" w:h="16838" w:orient="portrait"/>
          <w:cols w:equalWidth="0" w:num="1">
            <w:col w:w="11240"/>
          </w:cols>
          <w:pgMar w:left="320" w:top="126" w:right="339" w:bottom="1440" w:gutter="0" w:footer="0" w:header="0"/>
        </w:sect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type w:val="continuous"/>
        </w:sectPr>
      </w:pPr>
    </w:p>
    <w:bookmarkStart w:id="173" w:name="page174"/>
    <w:bookmarkEnd w:id="173"/>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8 — SHARE CAPITAL (</w:t>
      </w:r>
      <w:r>
        <w:rPr>
          <w:rFonts w:ascii="Arial" w:cs="Arial" w:eastAsia="Arial" w:hAnsi="Arial"/>
          <w:sz w:val="22"/>
          <w:szCs w:val="22"/>
          <w:color w:val="auto"/>
        </w:rPr>
        <w:t>continued)</w:t>
      </w:r>
    </w:p>
    <w:p>
      <w:pPr>
        <w:spacing w:after="0" w:line="283" w:lineRule="exact"/>
        <w:rPr>
          <w:sz w:val="20"/>
          <w:szCs w:val="20"/>
          <w:color w:val="auto"/>
        </w:rPr>
      </w:pPr>
    </w:p>
    <w:p>
      <w:pPr>
        <w:ind w:left="1000" w:hanging="317"/>
        <w:spacing w:after="0"/>
        <w:tabs>
          <w:tab w:leader="none" w:pos="1000" w:val="left"/>
        </w:tabs>
        <w:numPr>
          <w:ilvl w:val="0"/>
          <w:numId w:val="162"/>
        </w:numPr>
        <w:rPr>
          <w:rFonts w:ascii="Arial" w:cs="Arial" w:eastAsia="Arial" w:hAnsi="Arial"/>
          <w:sz w:val="18"/>
          <w:szCs w:val="18"/>
          <w:color w:val="auto"/>
        </w:rPr>
      </w:pPr>
      <w:r>
        <w:rPr>
          <w:rFonts w:ascii="Arial" w:cs="Arial" w:eastAsia="Arial" w:hAnsi="Arial"/>
          <w:sz w:val="18"/>
          <w:szCs w:val="18"/>
          <w:b w:val="1"/>
          <w:bCs w:val="1"/>
          <w:color w:val="auto"/>
        </w:rPr>
        <w:t>Options grants</w:t>
      </w:r>
    </w:p>
    <w:p>
      <w:pPr>
        <w:spacing w:after="0" w:line="283" w:lineRule="exact"/>
        <w:rPr>
          <w:rFonts w:ascii="Arial" w:cs="Arial" w:eastAsia="Arial" w:hAnsi="Arial"/>
          <w:sz w:val="18"/>
          <w:szCs w:val="18"/>
          <w:color w:val="auto"/>
        </w:rPr>
      </w:pPr>
    </w:p>
    <w:p>
      <w:pPr>
        <w:ind w:left="1000"/>
        <w:spacing w:after="0"/>
        <w:rPr>
          <w:rFonts w:ascii="Arial" w:cs="Arial" w:eastAsia="Arial" w:hAnsi="Arial"/>
          <w:sz w:val="18"/>
          <w:szCs w:val="18"/>
          <w:color w:val="auto"/>
        </w:rPr>
      </w:pPr>
      <w:r>
        <w:rPr>
          <w:rFonts w:ascii="Arial" w:cs="Arial" w:eastAsia="Arial" w:hAnsi="Arial"/>
          <w:sz w:val="18"/>
          <w:szCs w:val="18"/>
          <w:color w:val="auto"/>
        </w:rPr>
        <w:t>a.  Option granted to employees and directors</w:t>
      </w:r>
    </w:p>
    <w:p>
      <w:pPr>
        <w:spacing w:after="0" w:line="279" w:lineRule="exact"/>
        <w:rPr>
          <w:rFonts w:ascii="Arial" w:cs="Arial" w:eastAsia="Arial" w:hAnsi="Arial"/>
          <w:sz w:val="18"/>
          <w:szCs w:val="18"/>
          <w:color w:val="auto"/>
        </w:rPr>
      </w:pPr>
    </w:p>
    <w:p>
      <w:pPr>
        <w:ind w:left="1740" w:right="320" w:hanging="369"/>
        <w:spacing w:after="0" w:line="263" w:lineRule="auto"/>
        <w:tabs>
          <w:tab w:leader="none" w:pos="174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March 2018, the board of directors approved and recommended the Company shareholders to approve a grant of 105,471 options to the Company CEO to purchase ordinary shares at an exercise price of $11.21 per share. The Company's shareholders approved the grant in May 2018.</w:t>
      </w:r>
    </w:p>
    <w:p>
      <w:pPr>
        <w:spacing w:after="0" w:line="237" w:lineRule="exact"/>
        <w:rPr>
          <w:rFonts w:ascii="Arial" w:cs="Arial" w:eastAsia="Arial" w:hAnsi="Arial"/>
          <w:sz w:val="18"/>
          <w:szCs w:val="18"/>
          <w:color w:val="auto"/>
        </w:rPr>
      </w:pPr>
    </w:p>
    <w:p>
      <w:pPr>
        <w:ind w:left="1740" w:right="20" w:hanging="369"/>
        <w:spacing w:after="0" w:line="277" w:lineRule="auto"/>
        <w:tabs>
          <w:tab w:leader="none" w:pos="174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March 2018, the Company granted a total of 20,138 options to two employees to purchase ordinary shares at an exercise price of $11.21 per share.</w:t>
      </w:r>
    </w:p>
    <w:p>
      <w:pPr>
        <w:spacing w:after="0" w:line="224" w:lineRule="exact"/>
        <w:rPr>
          <w:rFonts w:ascii="Arial" w:cs="Arial" w:eastAsia="Arial" w:hAnsi="Arial"/>
          <w:sz w:val="18"/>
          <w:szCs w:val="18"/>
          <w:color w:val="auto"/>
        </w:rPr>
      </w:pPr>
    </w:p>
    <w:p>
      <w:pPr>
        <w:ind w:left="1740" w:right="160" w:hanging="369"/>
        <w:spacing w:after="0" w:line="277" w:lineRule="auto"/>
        <w:tabs>
          <w:tab w:leader="none" w:pos="174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August 2018, the Company granted a total of 10,069 options to an Executive Officer to purchase ordinary shares at an exercise price of $6.78 per share.</w:t>
      </w:r>
    </w:p>
    <w:p>
      <w:pPr>
        <w:spacing w:after="0" w:line="224" w:lineRule="exact"/>
        <w:rPr>
          <w:rFonts w:ascii="Arial" w:cs="Arial" w:eastAsia="Arial" w:hAnsi="Arial"/>
          <w:sz w:val="18"/>
          <w:szCs w:val="18"/>
          <w:color w:val="auto"/>
        </w:rPr>
      </w:pPr>
    </w:p>
    <w:p>
      <w:pPr>
        <w:ind w:left="1740" w:right="200" w:hanging="369"/>
        <w:spacing w:after="0" w:line="277" w:lineRule="auto"/>
        <w:tabs>
          <w:tab w:leader="none" w:pos="174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January 2019, the Company granted a total of 80,000 options to an executive officer to purchase ordinary shares at an exercise price of $5.95 per share.</w:t>
      </w:r>
    </w:p>
    <w:p>
      <w:pPr>
        <w:spacing w:after="0" w:line="224" w:lineRule="exact"/>
        <w:rPr>
          <w:rFonts w:ascii="Arial" w:cs="Arial" w:eastAsia="Arial" w:hAnsi="Arial"/>
          <w:sz w:val="18"/>
          <w:szCs w:val="18"/>
          <w:color w:val="auto"/>
        </w:rPr>
      </w:pPr>
    </w:p>
    <w:p>
      <w:pPr>
        <w:ind w:left="1740" w:right="20" w:hanging="369"/>
        <w:spacing w:after="0" w:line="277" w:lineRule="auto"/>
        <w:tabs>
          <w:tab w:leader="none" w:pos="174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May 2019, the Company granted a total of 9,000 options to several employees to purchase ordinary shares at an exercise price of $7.32 per share.</w:t>
      </w:r>
    </w:p>
    <w:p>
      <w:pPr>
        <w:spacing w:after="0" w:line="224" w:lineRule="exact"/>
        <w:rPr>
          <w:rFonts w:ascii="Arial" w:cs="Arial" w:eastAsia="Arial" w:hAnsi="Arial"/>
          <w:sz w:val="18"/>
          <w:szCs w:val="18"/>
          <w:color w:val="auto"/>
        </w:rPr>
      </w:pPr>
    </w:p>
    <w:p>
      <w:pPr>
        <w:ind w:left="1740" w:right="200" w:hanging="369"/>
        <w:spacing w:after="0" w:line="277" w:lineRule="auto"/>
        <w:tabs>
          <w:tab w:leader="none" w:pos="1740" w:val="left"/>
        </w:tabs>
        <w:numPr>
          <w:ilvl w:val="2"/>
          <w:numId w:val="162"/>
        </w:numPr>
        <w:rPr>
          <w:rFonts w:ascii="Arial" w:cs="Arial" w:eastAsia="Arial" w:hAnsi="Arial"/>
          <w:sz w:val="18"/>
          <w:szCs w:val="18"/>
          <w:color w:val="auto"/>
        </w:rPr>
      </w:pPr>
      <w:r>
        <w:rPr>
          <w:rFonts w:ascii="Arial" w:cs="Arial" w:eastAsia="Arial" w:hAnsi="Arial"/>
          <w:sz w:val="18"/>
          <w:szCs w:val="18"/>
          <w:color w:val="auto"/>
        </w:rPr>
        <w:t>In December 2019, the Company granted a total of 6,300 options to several employees to purchase ordinary shares at an exercise price of $8.32 per share.</w:t>
      </w:r>
    </w:p>
    <w:p>
      <w:pPr>
        <w:spacing w:after="0" w:line="231" w:lineRule="exact"/>
        <w:rPr>
          <w:sz w:val="20"/>
          <w:szCs w:val="20"/>
          <w:color w:val="auto"/>
        </w:rPr>
      </w:pPr>
    </w:p>
    <w:p>
      <w:pPr>
        <w:ind w:left="1380" w:right="220"/>
        <w:spacing w:after="0" w:line="266" w:lineRule="auto"/>
        <w:rPr>
          <w:sz w:val="20"/>
          <w:szCs w:val="20"/>
          <w:color w:val="auto"/>
        </w:rPr>
      </w:pPr>
      <w:r>
        <w:rPr>
          <w:rFonts w:ascii="Arial" w:cs="Arial" w:eastAsia="Arial" w:hAnsi="Arial"/>
          <w:sz w:val="22"/>
          <w:szCs w:val="22"/>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239" w:lineRule="exact"/>
        <w:rPr>
          <w:sz w:val="20"/>
          <w:szCs w:val="20"/>
          <w:color w:val="auto"/>
        </w:rPr>
      </w:pPr>
    </w:p>
    <w:p>
      <w:pPr>
        <w:ind w:left="1380" w:right="520"/>
        <w:spacing w:after="0" w:line="358" w:lineRule="auto"/>
        <w:rPr>
          <w:sz w:val="20"/>
          <w:szCs w:val="20"/>
          <w:color w:val="auto"/>
        </w:rPr>
      </w:pPr>
      <w:r>
        <w:rPr>
          <w:rFonts w:ascii="Arial" w:cs="Arial" w:eastAsia="Arial" w:hAnsi="Arial"/>
          <w:sz w:val="19"/>
          <w:szCs w:val="19"/>
          <w:color w:val="auto"/>
        </w:rPr>
        <w:t>The fair value of options granted to employees and directors in 2017, 2018 and 2019 were $9,841, $878 and $485, respectively. The underlying data used for computing the fair value of the options are as follows:</w:t>
      </w:r>
    </w:p>
    <w:p>
      <w:pPr>
        <w:spacing w:after="0" w:line="148" w:lineRule="exact"/>
        <w:rPr>
          <w:sz w:val="20"/>
          <w:szCs w:val="20"/>
          <w:color w:val="auto"/>
        </w:rPr>
      </w:pPr>
    </w:p>
    <w:tbl>
      <w:tblPr>
        <w:tblLayout w:type="fixed"/>
        <w:tblInd w:w="1240" w:type="dxa"/>
        <w:tblCellMar>
          <w:top w:w="0" w:type="dxa"/>
          <w:left w:w="0" w:type="dxa"/>
          <w:bottom w:w="0" w:type="dxa"/>
          <w:right w:w="0" w:type="dxa"/>
        </w:tblCellMar>
      </w:tblPr>
      <w:tr>
        <w:trPr>
          <w:trHeight w:val="241"/>
        </w:trPr>
        <w:tc>
          <w:tcPr>
            <w:tcW w:w="3660" w:type="dxa"/>
            <w:vAlign w:val="bottom"/>
          </w:tcPr>
          <w:p>
            <w:pPr>
              <w:spacing w:after="0"/>
              <w:rPr>
                <w:sz w:val="20"/>
                <w:szCs w:val="20"/>
                <w:color w:val="auto"/>
              </w:rPr>
            </w:pPr>
          </w:p>
        </w:tc>
        <w:tc>
          <w:tcPr>
            <w:tcW w:w="1980" w:type="dxa"/>
            <w:vAlign w:val="bottom"/>
          </w:tcPr>
          <w:p>
            <w:pPr>
              <w:jc w:val="center"/>
              <w:spacing w:after="0"/>
              <w:rPr>
                <w:sz w:val="20"/>
                <w:szCs w:val="20"/>
                <w:color w:val="auto"/>
              </w:rPr>
            </w:pPr>
            <w:r>
              <w:rPr>
                <w:rFonts w:ascii="Arial" w:cs="Arial" w:eastAsia="Arial" w:hAnsi="Arial"/>
                <w:sz w:val="18"/>
                <w:szCs w:val="18"/>
                <w:b w:val="1"/>
                <w:bCs w:val="1"/>
                <w:color w:val="auto"/>
                <w:w w:val="89"/>
              </w:rPr>
              <w:t>2017</w:t>
            </w:r>
          </w:p>
        </w:tc>
        <w:tc>
          <w:tcPr>
            <w:tcW w:w="2140" w:type="dxa"/>
            <w:vAlign w:val="bottom"/>
            <w:gridSpan w:val="2"/>
          </w:tcPr>
          <w:p>
            <w:pPr>
              <w:jc w:val="center"/>
              <w:ind w:left="50"/>
              <w:spacing w:after="0"/>
              <w:rPr>
                <w:sz w:val="20"/>
                <w:szCs w:val="20"/>
                <w:color w:val="auto"/>
              </w:rPr>
            </w:pPr>
            <w:r>
              <w:rPr>
                <w:rFonts w:ascii="Arial" w:cs="Arial" w:eastAsia="Arial" w:hAnsi="Arial"/>
                <w:sz w:val="18"/>
                <w:szCs w:val="18"/>
                <w:b w:val="1"/>
                <w:bCs w:val="1"/>
                <w:color w:val="auto"/>
                <w:w w:val="89"/>
              </w:rPr>
              <w:t>2018</w:t>
            </w:r>
          </w:p>
        </w:tc>
        <w:tc>
          <w:tcPr>
            <w:tcW w:w="2080" w:type="dxa"/>
            <w:vAlign w:val="bottom"/>
            <w:gridSpan w:val="2"/>
          </w:tcPr>
          <w:p>
            <w:pPr>
              <w:jc w:val="center"/>
              <w:ind w:left="30"/>
              <w:spacing w:after="0"/>
              <w:rPr>
                <w:sz w:val="20"/>
                <w:szCs w:val="20"/>
                <w:color w:val="auto"/>
              </w:rPr>
            </w:pPr>
            <w:r>
              <w:rPr>
                <w:rFonts w:ascii="Arial" w:cs="Arial" w:eastAsia="Arial" w:hAnsi="Arial"/>
                <w:sz w:val="18"/>
                <w:szCs w:val="18"/>
                <w:b w:val="1"/>
                <w:bCs w:val="1"/>
                <w:color w:val="auto"/>
                <w:w w:val="89"/>
              </w:rPr>
              <w:t>2019</w:t>
            </w:r>
          </w:p>
        </w:tc>
        <w:tc>
          <w:tcPr>
            <w:tcW w:w="140" w:type="dxa"/>
            <w:vAlign w:val="bottom"/>
          </w:tcPr>
          <w:p>
            <w:pPr>
              <w:spacing w:after="0"/>
              <w:rPr>
                <w:sz w:val="20"/>
                <w:szCs w:val="20"/>
                <w:color w:val="auto"/>
              </w:rPr>
            </w:pPr>
          </w:p>
        </w:tc>
      </w:tr>
      <w:tr>
        <w:trPr>
          <w:trHeight w:val="256"/>
        </w:trPr>
        <w:tc>
          <w:tcPr>
            <w:tcW w:w="3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Value of one ordinary share</w:t>
            </w:r>
          </w:p>
        </w:tc>
        <w:tc>
          <w:tcPr>
            <w:tcW w:w="19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$20.47-$24.37</w:t>
            </w:r>
          </w:p>
        </w:tc>
        <w:tc>
          <w:tcPr>
            <w:tcW w:w="140" w:type="dxa"/>
            <w:vAlign w:val="bottom"/>
            <w:tcBorders>
              <w:bottom w:val="single" w:sz="8" w:color="CCEEFF"/>
            </w:tcBorders>
            <w:shd w:val="clear" w:color="auto" w:fill="CCEEFF"/>
          </w:tcPr>
          <w:p>
            <w:pPr>
              <w:spacing w:after="0"/>
              <w:rPr>
                <w:sz w:val="22"/>
                <w:szCs w:val="22"/>
                <w:color w:val="auto"/>
              </w:rPr>
            </w:pPr>
          </w:p>
        </w:tc>
        <w:tc>
          <w:tcPr>
            <w:tcW w:w="20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$6.24-$10.40</w:t>
            </w:r>
          </w:p>
        </w:tc>
        <w:tc>
          <w:tcPr>
            <w:tcW w:w="120" w:type="dxa"/>
            <w:vAlign w:val="bottom"/>
            <w:tcBorders>
              <w:bottom w:val="single" w:sz="8" w:color="CCEEFF"/>
            </w:tcBorders>
            <w:shd w:val="clear" w:color="auto" w:fill="CCEEFF"/>
          </w:tcPr>
          <w:p>
            <w:pPr>
              <w:spacing w:after="0"/>
              <w:rPr>
                <w:sz w:val="22"/>
                <w:szCs w:val="22"/>
                <w:color w:val="auto"/>
              </w:rPr>
            </w:pPr>
          </w:p>
        </w:tc>
        <w:tc>
          <w:tcPr>
            <w:tcW w:w="1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$6.08-$8.59</w:t>
            </w:r>
          </w:p>
        </w:tc>
        <w:tc>
          <w:tcPr>
            <w:tcW w:w="140" w:type="dxa"/>
            <w:vAlign w:val="bottom"/>
            <w:tcBorders>
              <w:bottom w:val="single" w:sz="8" w:color="CCEEFF"/>
            </w:tcBorders>
            <w:shd w:val="clear" w:color="auto" w:fill="CCEEFF"/>
          </w:tcPr>
          <w:p>
            <w:pPr>
              <w:spacing w:after="0"/>
              <w:rPr>
                <w:sz w:val="22"/>
                <w:szCs w:val="22"/>
                <w:color w:val="auto"/>
              </w:rPr>
            </w:pPr>
          </w:p>
        </w:tc>
      </w:tr>
      <w:tr>
        <w:trPr>
          <w:trHeight w:val="210"/>
        </w:trPr>
        <w:tc>
          <w:tcPr>
            <w:tcW w:w="3660" w:type="dxa"/>
            <w:vAlign w:val="bottom"/>
          </w:tcPr>
          <w:p>
            <w:pPr>
              <w:ind w:left="20"/>
              <w:spacing w:after="0"/>
              <w:rPr>
                <w:sz w:val="20"/>
                <w:szCs w:val="20"/>
                <w:color w:val="auto"/>
              </w:rPr>
            </w:pPr>
            <w:r>
              <w:rPr>
                <w:rFonts w:ascii="Arial" w:cs="Arial" w:eastAsia="Arial" w:hAnsi="Arial"/>
                <w:sz w:val="18"/>
                <w:szCs w:val="18"/>
                <w:color w:val="auto"/>
              </w:rPr>
              <w:t>Dividend yield</w:t>
            </w:r>
          </w:p>
        </w:tc>
        <w:tc>
          <w:tcPr>
            <w:tcW w:w="1980" w:type="dxa"/>
            <w:vAlign w:val="bottom"/>
          </w:tcPr>
          <w:p>
            <w:pPr>
              <w:jc w:val="center"/>
              <w:spacing w:after="0"/>
              <w:rPr>
                <w:sz w:val="20"/>
                <w:szCs w:val="20"/>
                <w:color w:val="auto"/>
              </w:rPr>
            </w:pPr>
            <w:r>
              <w:rPr>
                <w:rFonts w:ascii="Arial" w:cs="Arial" w:eastAsia="Arial" w:hAnsi="Arial"/>
                <w:sz w:val="18"/>
                <w:szCs w:val="18"/>
                <w:color w:val="auto"/>
                <w:w w:val="92"/>
              </w:rPr>
              <w:t>0%</w:t>
            </w:r>
          </w:p>
        </w:tc>
        <w:tc>
          <w:tcPr>
            <w:tcW w:w="2140" w:type="dxa"/>
            <w:vAlign w:val="bottom"/>
            <w:gridSpan w:val="2"/>
          </w:tcPr>
          <w:p>
            <w:pPr>
              <w:jc w:val="center"/>
              <w:ind w:left="50"/>
              <w:spacing w:after="0"/>
              <w:rPr>
                <w:sz w:val="20"/>
                <w:szCs w:val="20"/>
                <w:color w:val="auto"/>
              </w:rPr>
            </w:pPr>
            <w:r>
              <w:rPr>
                <w:rFonts w:ascii="Arial" w:cs="Arial" w:eastAsia="Arial" w:hAnsi="Arial"/>
                <w:sz w:val="18"/>
                <w:szCs w:val="18"/>
                <w:color w:val="auto"/>
                <w:w w:val="92"/>
              </w:rPr>
              <w:t>0%</w:t>
            </w:r>
          </w:p>
        </w:tc>
        <w:tc>
          <w:tcPr>
            <w:tcW w:w="2080" w:type="dxa"/>
            <w:vAlign w:val="bottom"/>
            <w:gridSpan w:val="2"/>
          </w:tcPr>
          <w:p>
            <w:pPr>
              <w:jc w:val="center"/>
              <w:ind w:left="30"/>
              <w:spacing w:after="0"/>
              <w:rPr>
                <w:sz w:val="20"/>
                <w:szCs w:val="20"/>
                <w:color w:val="auto"/>
              </w:rPr>
            </w:pPr>
            <w:r>
              <w:rPr>
                <w:rFonts w:ascii="Arial" w:cs="Arial" w:eastAsia="Arial" w:hAnsi="Arial"/>
                <w:sz w:val="18"/>
                <w:szCs w:val="18"/>
                <w:color w:val="auto"/>
                <w:w w:val="92"/>
              </w:rPr>
              <w:t>0%</w:t>
            </w:r>
          </w:p>
        </w:tc>
        <w:tc>
          <w:tcPr>
            <w:tcW w:w="140" w:type="dxa"/>
            <w:vAlign w:val="bottom"/>
          </w:tcPr>
          <w:p>
            <w:pPr>
              <w:spacing w:after="0"/>
              <w:rPr>
                <w:sz w:val="18"/>
                <w:szCs w:val="18"/>
                <w:color w:val="auto"/>
              </w:rPr>
            </w:pPr>
          </w:p>
        </w:tc>
      </w:tr>
      <w:tr>
        <w:trPr>
          <w:trHeight w:val="20"/>
        </w:trPr>
        <w:tc>
          <w:tcPr>
            <w:tcW w:w="3660" w:type="dxa"/>
            <w:vAlign w:val="bottom"/>
          </w:tcPr>
          <w:p>
            <w:pPr>
              <w:spacing w:after="0" w:line="20" w:lineRule="exact"/>
              <w:rPr>
                <w:sz w:val="1"/>
                <w:szCs w:val="1"/>
                <w:color w:val="auto"/>
              </w:rPr>
            </w:pPr>
          </w:p>
        </w:tc>
        <w:tc>
          <w:tcPr>
            <w:tcW w:w="1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volatility</w:t>
            </w:r>
          </w:p>
        </w:tc>
        <w:tc>
          <w:tcPr>
            <w:tcW w:w="1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72.91%-78.71%</w:t>
            </w:r>
          </w:p>
        </w:tc>
        <w:tc>
          <w:tcPr>
            <w:tcW w:w="14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70.43 %-73.35%</w:t>
            </w:r>
          </w:p>
        </w:tc>
        <w:tc>
          <w:tcPr>
            <w:tcW w:w="12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74.87%-77.83 %</w:t>
            </w:r>
          </w:p>
        </w:tc>
        <w:tc>
          <w:tcPr>
            <w:tcW w:w="140" w:type="dxa"/>
            <w:vAlign w:val="bottom"/>
            <w:tcBorders>
              <w:bottom w:val="single" w:sz="8" w:color="CCEEFF"/>
            </w:tcBorders>
            <w:shd w:val="clear" w:color="auto" w:fill="CCEEFF"/>
          </w:tcPr>
          <w:p>
            <w:pPr>
              <w:spacing w:after="0"/>
              <w:rPr>
                <w:sz w:val="21"/>
                <w:szCs w:val="21"/>
                <w:color w:val="auto"/>
              </w:rPr>
            </w:pPr>
          </w:p>
        </w:tc>
      </w:tr>
      <w:tr>
        <w:trPr>
          <w:trHeight w:val="210"/>
        </w:trPr>
        <w:tc>
          <w:tcPr>
            <w:tcW w:w="3660" w:type="dxa"/>
            <w:vAlign w:val="bottom"/>
          </w:tcPr>
          <w:p>
            <w:pPr>
              <w:ind w:left="20"/>
              <w:spacing w:after="0"/>
              <w:rPr>
                <w:sz w:val="20"/>
                <w:szCs w:val="20"/>
                <w:color w:val="auto"/>
              </w:rPr>
            </w:pPr>
            <w:r>
              <w:rPr>
                <w:rFonts w:ascii="Arial" w:cs="Arial" w:eastAsia="Arial" w:hAnsi="Arial"/>
                <w:sz w:val="18"/>
                <w:szCs w:val="18"/>
                <w:color w:val="auto"/>
              </w:rPr>
              <w:t>Risk-free interest rate</w:t>
            </w:r>
          </w:p>
        </w:tc>
        <w:tc>
          <w:tcPr>
            <w:tcW w:w="1980" w:type="dxa"/>
            <w:vAlign w:val="bottom"/>
          </w:tcPr>
          <w:p>
            <w:pPr>
              <w:jc w:val="center"/>
              <w:spacing w:after="0"/>
              <w:rPr>
                <w:sz w:val="20"/>
                <w:szCs w:val="20"/>
                <w:color w:val="auto"/>
              </w:rPr>
            </w:pPr>
            <w:r>
              <w:rPr>
                <w:rFonts w:ascii="Arial" w:cs="Arial" w:eastAsia="Arial" w:hAnsi="Arial"/>
                <w:sz w:val="18"/>
                <w:szCs w:val="18"/>
                <w:color w:val="auto"/>
                <w:w w:val="90"/>
              </w:rPr>
              <w:t>1.57%-2.23%</w:t>
            </w:r>
          </w:p>
        </w:tc>
        <w:tc>
          <w:tcPr>
            <w:tcW w:w="2140" w:type="dxa"/>
            <w:vAlign w:val="bottom"/>
            <w:gridSpan w:val="2"/>
          </w:tcPr>
          <w:p>
            <w:pPr>
              <w:jc w:val="center"/>
              <w:ind w:left="50"/>
              <w:spacing w:after="0"/>
              <w:rPr>
                <w:sz w:val="20"/>
                <w:szCs w:val="20"/>
                <w:color w:val="auto"/>
              </w:rPr>
            </w:pPr>
            <w:r>
              <w:rPr>
                <w:rFonts w:ascii="Arial" w:cs="Arial" w:eastAsia="Arial" w:hAnsi="Arial"/>
                <w:sz w:val="18"/>
                <w:szCs w:val="18"/>
                <w:color w:val="auto"/>
                <w:w w:val="92"/>
              </w:rPr>
              <w:t>2.67%-2.83%</w:t>
            </w:r>
          </w:p>
        </w:tc>
        <w:tc>
          <w:tcPr>
            <w:tcW w:w="2080" w:type="dxa"/>
            <w:vAlign w:val="bottom"/>
            <w:gridSpan w:val="2"/>
          </w:tcPr>
          <w:p>
            <w:pPr>
              <w:jc w:val="center"/>
              <w:ind w:left="50"/>
              <w:spacing w:after="0"/>
              <w:rPr>
                <w:sz w:val="20"/>
                <w:szCs w:val="20"/>
                <w:color w:val="auto"/>
              </w:rPr>
            </w:pPr>
            <w:r>
              <w:rPr>
                <w:rFonts w:ascii="Arial" w:cs="Arial" w:eastAsia="Arial" w:hAnsi="Arial"/>
                <w:sz w:val="18"/>
                <w:szCs w:val="18"/>
                <w:color w:val="auto"/>
                <w:w w:val="90"/>
              </w:rPr>
              <w:t>1.82%-2.75%</w:t>
            </w:r>
          </w:p>
        </w:tc>
        <w:tc>
          <w:tcPr>
            <w:tcW w:w="140" w:type="dxa"/>
            <w:vAlign w:val="bottom"/>
          </w:tcPr>
          <w:p>
            <w:pPr>
              <w:spacing w:after="0"/>
              <w:rPr>
                <w:sz w:val="18"/>
                <w:szCs w:val="18"/>
                <w:color w:val="auto"/>
              </w:rPr>
            </w:pPr>
          </w:p>
        </w:tc>
      </w:tr>
      <w:tr>
        <w:trPr>
          <w:trHeight w:val="20"/>
        </w:trPr>
        <w:tc>
          <w:tcPr>
            <w:tcW w:w="3660" w:type="dxa"/>
            <w:vAlign w:val="bottom"/>
          </w:tcPr>
          <w:p>
            <w:pPr>
              <w:spacing w:after="0" w:line="20" w:lineRule="exact"/>
              <w:rPr>
                <w:sz w:val="1"/>
                <w:szCs w:val="1"/>
                <w:color w:val="auto"/>
              </w:rPr>
            </w:pPr>
          </w:p>
        </w:tc>
        <w:tc>
          <w:tcPr>
            <w:tcW w:w="1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50"/>
        </w:trPr>
        <w:tc>
          <w:tcPr>
            <w:tcW w:w="3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Expected term</w:t>
            </w:r>
          </w:p>
        </w:tc>
        <w:tc>
          <w:tcPr>
            <w:tcW w:w="198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8"/>
                <w:szCs w:val="18"/>
                <w:color w:val="auto"/>
              </w:rPr>
              <w:t>5-7 years</w:t>
            </w:r>
          </w:p>
        </w:tc>
        <w:tc>
          <w:tcPr>
            <w:tcW w:w="140" w:type="dxa"/>
            <w:vAlign w:val="bottom"/>
            <w:tcBorders>
              <w:bottom w:val="single" w:sz="8" w:color="CCEEFF"/>
            </w:tcBorders>
            <w:shd w:val="clear" w:color="auto" w:fill="CCEEFF"/>
          </w:tcPr>
          <w:p>
            <w:pPr>
              <w:spacing w:after="0"/>
              <w:rPr>
                <w:sz w:val="21"/>
                <w:szCs w:val="21"/>
                <w:color w:val="auto"/>
              </w:rPr>
            </w:pPr>
          </w:p>
        </w:tc>
        <w:tc>
          <w:tcPr>
            <w:tcW w:w="2000" w:type="dxa"/>
            <w:vAlign w:val="bottom"/>
            <w:tcBorders>
              <w:bottom w:val="single" w:sz="8" w:color="auto"/>
            </w:tcBorders>
            <w:shd w:val="clear" w:color="auto" w:fill="CCEEFF"/>
          </w:tcPr>
          <w:p>
            <w:pPr>
              <w:ind w:left="560"/>
              <w:spacing w:after="0"/>
              <w:rPr>
                <w:sz w:val="20"/>
                <w:szCs w:val="20"/>
                <w:color w:val="auto"/>
              </w:rPr>
            </w:pPr>
            <w:r>
              <w:rPr>
                <w:rFonts w:ascii="Arial" w:cs="Arial" w:eastAsia="Arial" w:hAnsi="Arial"/>
                <w:sz w:val="18"/>
                <w:szCs w:val="18"/>
                <w:color w:val="auto"/>
              </w:rPr>
              <w:t>5.50-7 years</w:t>
            </w:r>
          </w:p>
        </w:tc>
        <w:tc>
          <w:tcPr>
            <w:tcW w:w="120" w:type="dxa"/>
            <w:vAlign w:val="bottom"/>
            <w:tcBorders>
              <w:bottom w:val="single" w:sz="8" w:color="CCEEFF"/>
            </w:tcBorders>
            <w:shd w:val="clear" w:color="auto" w:fill="CCEEFF"/>
          </w:tcPr>
          <w:p>
            <w:pPr>
              <w:spacing w:after="0"/>
              <w:rPr>
                <w:sz w:val="21"/>
                <w:szCs w:val="21"/>
                <w:color w:val="auto"/>
              </w:rPr>
            </w:pPr>
          </w:p>
        </w:tc>
        <w:tc>
          <w:tcPr>
            <w:tcW w:w="1960" w:type="dxa"/>
            <w:vAlign w:val="bottom"/>
            <w:tcBorders>
              <w:bottom w:val="single" w:sz="8" w:color="auto"/>
            </w:tcBorders>
            <w:shd w:val="clear" w:color="auto" w:fill="CCEEFF"/>
          </w:tcPr>
          <w:p>
            <w:pPr>
              <w:ind w:left="620"/>
              <w:spacing w:after="0"/>
              <w:rPr>
                <w:sz w:val="20"/>
                <w:szCs w:val="20"/>
                <w:color w:val="auto"/>
              </w:rPr>
            </w:pPr>
            <w:r>
              <w:rPr>
                <w:rFonts w:ascii="Arial" w:cs="Arial" w:eastAsia="Arial" w:hAnsi="Arial"/>
                <w:sz w:val="18"/>
                <w:szCs w:val="18"/>
                <w:color w:val="auto"/>
              </w:rPr>
              <w:t>6.11 years</w:t>
            </w:r>
          </w:p>
        </w:tc>
        <w:tc>
          <w:tcPr>
            <w:tcW w:w="140" w:type="dxa"/>
            <w:vAlign w:val="bottom"/>
            <w:tcBorders>
              <w:bottom w:val="single" w:sz="8" w:color="CCEEFF"/>
            </w:tcBorders>
            <w:shd w:val="clear" w:color="auto" w:fill="CCEEFF"/>
          </w:tcPr>
          <w:p>
            <w:pPr>
              <w:spacing w:after="0"/>
              <w:rPr>
                <w:sz w:val="21"/>
                <w:szCs w:val="21"/>
                <w:color w:val="auto"/>
              </w:rPr>
            </w:pPr>
          </w:p>
        </w:tc>
      </w:tr>
    </w:tbl>
    <w:p>
      <w:pPr>
        <w:spacing w:after="0" w:line="262" w:lineRule="exact"/>
        <w:rPr>
          <w:sz w:val="20"/>
          <w:szCs w:val="20"/>
          <w:color w:val="auto"/>
        </w:rPr>
      </w:pPr>
    </w:p>
    <w:p>
      <w:pPr>
        <w:ind w:left="1380" w:right="760"/>
        <w:spacing w:after="0" w:line="276" w:lineRule="auto"/>
        <w:rPr>
          <w:sz w:val="20"/>
          <w:szCs w:val="20"/>
          <w:color w:val="auto"/>
        </w:rPr>
      </w:pPr>
      <w:r>
        <w:rPr>
          <w:rFonts w:ascii="Arial" w:cs="Arial" w:eastAsia="Arial" w:hAnsi="Arial"/>
          <w:sz w:val="22"/>
          <w:szCs w:val="22"/>
          <w:color w:val="auto"/>
        </w:rPr>
        <w:t>The total unrecognized compensation cost of employee options at December 31, 2019 is $1,260, which is expected to be recognized over a period of 3.96 years.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74" w:name="page175"/>
    <w:bookmarkEnd w:id="174"/>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8 — SHARE CAPITAL (</w:t>
      </w:r>
      <w:r>
        <w:rPr>
          <w:rFonts w:ascii="Arial" w:cs="Arial" w:eastAsia="Arial" w:hAnsi="Arial"/>
          <w:sz w:val="22"/>
          <w:szCs w:val="22"/>
          <w:color w:val="auto"/>
        </w:rPr>
        <w:t>continued)</w:t>
      </w:r>
    </w:p>
    <w:p>
      <w:pPr>
        <w:spacing w:after="0" w:line="293" w:lineRule="exact"/>
        <w:rPr>
          <w:sz w:val="20"/>
          <w:szCs w:val="20"/>
          <w:color w:val="auto"/>
        </w:rPr>
      </w:pPr>
    </w:p>
    <w:p>
      <w:pPr>
        <w:ind w:left="1380"/>
        <w:spacing w:after="0"/>
        <w:rPr>
          <w:sz w:val="20"/>
          <w:szCs w:val="20"/>
          <w:color w:val="auto"/>
        </w:rPr>
      </w:pPr>
      <w:r>
        <w:rPr>
          <w:rFonts w:ascii="Arial" w:cs="Arial" w:eastAsia="Arial" w:hAnsi="Arial"/>
          <w:sz w:val="19"/>
          <w:szCs w:val="19"/>
          <w:color w:val="auto"/>
        </w:rPr>
        <w:t>The following table summarizes the number of options granted to employees under the Plan for the years ended</w:t>
      </w:r>
    </w:p>
    <w:p>
      <w:pPr>
        <w:spacing w:after="0" w:line="56"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December 31, 2017, 2018 and 2019, and related information:</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260" w:type="dxa"/>
            <w:vAlign w:val="bottom"/>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3320" w:type="dxa"/>
            <w:vAlign w:val="bottom"/>
            <w:tcBorders>
              <w:bottom w:val="single" w:sz="8" w:color="auto"/>
            </w:tcBorders>
            <w:gridSpan w:val="7"/>
          </w:tcPr>
          <w:p>
            <w:pPr>
              <w:ind w:left="540"/>
              <w:spacing w:after="0"/>
              <w:rPr>
                <w:sz w:val="20"/>
                <w:szCs w:val="20"/>
                <w:color w:val="auto"/>
              </w:rPr>
            </w:pPr>
            <w:r>
              <w:rPr>
                <w:rFonts w:ascii="Arial" w:cs="Arial" w:eastAsia="Arial" w:hAnsi="Arial"/>
                <w:sz w:val="18"/>
                <w:szCs w:val="18"/>
                <w:b w:val="1"/>
                <w:bCs w:val="1"/>
                <w:color w:val="auto"/>
              </w:rPr>
              <w:t>Year ended December 31</w:t>
            </w:r>
          </w:p>
        </w:tc>
        <w:tc>
          <w:tcPr>
            <w:tcW w:w="9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126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2017</w:t>
            </w: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2018</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2019</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1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100" w:type="dxa"/>
            <w:vAlign w:val="bottom"/>
          </w:tcPr>
          <w:p>
            <w:pPr>
              <w:spacing w:after="0"/>
              <w:rPr>
                <w:sz w:val="17"/>
                <w:szCs w:val="17"/>
                <w:color w:val="auto"/>
              </w:rPr>
            </w:pPr>
          </w:p>
        </w:tc>
      </w:tr>
      <w:tr>
        <w:trPr>
          <w:trHeight w:val="216"/>
        </w:trPr>
        <w:tc>
          <w:tcPr>
            <w:tcW w:w="1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Weighted</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average</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8"/>
              </w:rPr>
              <w:t>Weighted</w:t>
            </w: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average</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8"/>
              </w:rPr>
              <w:t>Weighted</w:t>
            </w:r>
          </w:p>
        </w:tc>
        <w:tc>
          <w:tcPr>
            <w:tcW w:w="10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average</w:t>
            </w:r>
          </w:p>
        </w:tc>
      </w:tr>
      <w:tr>
        <w:trPr>
          <w:trHeight w:val="216"/>
        </w:trPr>
        <w:tc>
          <w:tcPr>
            <w:tcW w:w="1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average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remaining</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remaining</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average</w:t>
            </w:r>
          </w:p>
        </w:tc>
        <w:tc>
          <w:tcPr>
            <w:tcW w:w="10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remaining</w:t>
            </w:r>
          </w:p>
        </w:tc>
      </w:tr>
      <w:tr>
        <w:trPr>
          <w:trHeight w:val="216"/>
        </w:trPr>
        <w:tc>
          <w:tcPr>
            <w:tcW w:w="1260" w:type="dxa"/>
            <w:vAlign w:val="bottom"/>
          </w:tcPr>
          <w:p>
            <w:pPr>
              <w:spacing w:after="0"/>
              <w:rPr>
                <w:sz w:val="18"/>
                <w:szCs w:val="18"/>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5"/>
              </w:rPr>
              <w:t>Number of</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3"/>
              </w:rPr>
              <w:t>exercise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3"/>
              </w:rPr>
              <w:t>Number of</w:t>
            </w:r>
          </w:p>
        </w:tc>
        <w:tc>
          <w:tcPr>
            <w:tcW w:w="10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3"/>
              </w:rPr>
              <w:t>Number of</w:t>
            </w:r>
          </w:p>
        </w:tc>
        <w:tc>
          <w:tcPr>
            <w:tcW w:w="120" w:type="dxa"/>
            <w:vAlign w:val="bottom"/>
          </w:tcPr>
          <w:p>
            <w:pPr>
              <w:spacing w:after="0"/>
              <w:rPr>
                <w:sz w:val="18"/>
                <w:szCs w:val="18"/>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3"/>
              </w:rPr>
              <w:t>exercise</w:t>
            </w:r>
          </w:p>
        </w:tc>
        <w:tc>
          <w:tcPr>
            <w:tcW w:w="10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contractual</w:t>
            </w:r>
          </w:p>
        </w:tc>
      </w:tr>
      <w:tr>
        <w:trPr>
          <w:trHeight w:val="241"/>
        </w:trPr>
        <w:tc>
          <w:tcPr>
            <w:tcW w:w="1260" w:type="dxa"/>
            <w:vAlign w:val="bottom"/>
          </w:tcPr>
          <w:p>
            <w:pPr>
              <w:spacing w:after="0"/>
              <w:rPr>
                <w:sz w:val="20"/>
                <w:szCs w:val="20"/>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options</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price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00" w:type="dxa"/>
            <w:vAlign w:val="bottom"/>
          </w:tcPr>
          <w:p>
            <w:pPr>
              <w:spacing w:after="0"/>
              <w:rPr>
                <w:sz w:val="20"/>
                <w:szCs w:val="20"/>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options</w:t>
            </w:r>
          </w:p>
        </w:tc>
        <w:tc>
          <w:tcPr>
            <w:tcW w:w="120" w:type="dxa"/>
            <w:vAlign w:val="bottom"/>
          </w:tcPr>
          <w:p>
            <w:pPr>
              <w:spacing w:after="0"/>
              <w:rPr>
                <w:sz w:val="20"/>
                <w:szCs w:val="20"/>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price</w:t>
            </w:r>
          </w:p>
        </w:tc>
        <w:tc>
          <w:tcPr>
            <w:tcW w:w="10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life</w:t>
            </w:r>
          </w:p>
        </w:tc>
      </w:tr>
      <w:tr>
        <w:trPr>
          <w:trHeight w:val="202"/>
        </w:trPr>
        <w:tc>
          <w:tcPr>
            <w:tcW w:w="1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outstanding</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the</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beginning of</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the year</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402,955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1.59</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8.55</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849,780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3.45</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8.63</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938,090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4.47</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7.89</w:t>
            </w: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Granted</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468,572</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4.99</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9.52</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135,678</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10.88</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9.41</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95,300</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6.24</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9.17</w:t>
            </w:r>
          </w:p>
        </w:tc>
      </w:tr>
      <w:tr>
        <w:trPr>
          <w:trHeight w:val="216"/>
        </w:trPr>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(27,399)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1.59</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Expired</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(1,350)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5.57</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(563)</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5.57</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1260" w:type="dxa"/>
            <w:vAlign w:val="bottom"/>
            <w:shd w:val="clear" w:color="auto" w:fill="CCEEFF"/>
          </w:tcPr>
          <w:p>
            <w:pPr>
              <w:spacing w:after="0"/>
              <w:rPr>
                <w:sz w:val="20"/>
                <w:szCs w:val="20"/>
                <w:color w:val="auto"/>
              </w:rPr>
            </w:pPr>
            <w:r>
              <w:rPr>
                <w:rFonts w:ascii="Arial" w:cs="Arial" w:eastAsia="Arial" w:hAnsi="Arial"/>
                <w:sz w:val="18"/>
                <w:szCs w:val="18"/>
                <w:color w:val="auto"/>
              </w:rPr>
              <w:t>Forfeited</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(21,747)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2.25</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7.87</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(18,619)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8.62</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(1,238)</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5.57</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1260" w:type="dxa"/>
            <w:vAlign w:val="bottom"/>
            <w:tcBorders>
              <w:top w:val="single" w:sz="8" w:color="CCEEFF"/>
            </w:tcBorders>
          </w:tcPr>
          <w:p>
            <w:pPr>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tcPr>
          <w:p>
            <w:pPr>
              <w:spacing w:after="0"/>
              <w:rPr>
                <w:sz w:val="17"/>
                <w:szCs w:val="17"/>
                <w:color w:val="auto"/>
              </w:rPr>
            </w:pPr>
          </w:p>
        </w:tc>
        <w:tc>
          <w:tcPr>
            <w:tcW w:w="160" w:type="dxa"/>
            <w:vAlign w:val="bottom"/>
            <w:tcBorders>
              <w:top w:val="single" w:sz="8" w:color="CCEEFF"/>
            </w:tcBorders>
          </w:tcPr>
          <w:p>
            <w:pPr>
              <w:spacing w:after="0"/>
              <w:rPr>
                <w:sz w:val="17"/>
                <w:szCs w:val="17"/>
                <w:color w:val="auto"/>
              </w:rPr>
            </w:pPr>
          </w:p>
        </w:tc>
        <w:tc>
          <w:tcPr>
            <w:tcW w:w="8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24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0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220" w:type="dxa"/>
            <w:vAlign w:val="bottom"/>
            <w:tcBorders>
              <w:top w:val="single" w:sz="8" w:color="CCEEFF"/>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00" w:type="dxa"/>
            <w:vAlign w:val="bottom"/>
            <w:tcBorders>
              <w:top w:val="single" w:sz="8" w:color="CCEEFF"/>
            </w:tcBorders>
          </w:tcPr>
          <w:p>
            <w:pPr>
              <w:spacing w:after="0"/>
              <w:rPr>
                <w:sz w:val="17"/>
                <w:szCs w:val="17"/>
                <w:color w:val="auto"/>
              </w:rPr>
            </w:pPr>
          </w:p>
        </w:tc>
      </w:tr>
      <w:tr>
        <w:trPr>
          <w:trHeight w:val="216"/>
        </w:trPr>
        <w:tc>
          <w:tcPr>
            <w:tcW w:w="1260" w:type="dxa"/>
            <w:vAlign w:val="bottom"/>
          </w:tcPr>
          <w:p>
            <w:pPr>
              <w:ind w:left="180"/>
              <w:spacing w:after="0"/>
              <w:rPr>
                <w:sz w:val="20"/>
                <w:szCs w:val="20"/>
                <w:color w:val="auto"/>
              </w:rPr>
            </w:pPr>
            <w:r>
              <w:rPr>
                <w:rFonts w:ascii="Arial" w:cs="Arial" w:eastAsia="Arial" w:hAnsi="Arial"/>
                <w:sz w:val="18"/>
                <w:szCs w:val="18"/>
                <w:color w:val="auto"/>
              </w:rPr>
              <w:t>outstanding</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260" w:type="dxa"/>
            <w:vAlign w:val="bottom"/>
          </w:tcPr>
          <w:p>
            <w:pPr>
              <w:ind w:left="180"/>
              <w:spacing w:after="0"/>
              <w:rPr>
                <w:sz w:val="20"/>
                <w:szCs w:val="20"/>
                <w:color w:val="auto"/>
              </w:rPr>
            </w:pPr>
            <w:r>
              <w:rPr>
                <w:rFonts w:ascii="Arial" w:cs="Arial" w:eastAsia="Arial" w:hAnsi="Arial"/>
                <w:sz w:val="18"/>
                <w:szCs w:val="18"/>
                <w:color w:val="auto"/>
              </w:rPr>
              <w:t>at the end of</w:t>
            </w: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1260" w:type="dxa"/>
            <w:vAlign w:val="bottom"/>
          </w:tcPr>
          <w:p>
            <w:pPr>
              <w:ind w:left="180"/>
              <w:spacing w:after="0"/>
              <w:rPr>
                <w:sz w:val="20"/>
                <w:szCs w:val="20"/>
                <w:color w:val="auto"/>
              </w:rPr>
            </w:pPr>
            <w:r>
              <w:rPr>
                <w:rFonts w:ascii="Arial" w:cs="Arial" w:eastAsia="Arial" w:hAnsi="Arial"/>
                <w:sz w:val="18"/>
                <w:szCs w:val="18"/>
                <w:color w:val="auto"/>
              </w:rPr>
              <w:t>the year</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849,780</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3.45</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8.63</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938,090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4.47</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7.89</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1,031,591</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4.74</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7.25</w:t>
            </w:r>
          </w:p>
        </w:tc>
      </w:tr>
      <w:tr>
        <w:trPr>
          <w:trHeight w:val="20"/>
        </w:trPr>
        <w:tc>
          <w:tcPr>
            <w:tcW w:w="126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5"/>
        </w:trPr>
        <w:tc>
          <w:tcPr>
            <w:tcW w:w="126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Options</w:t>
            </w:r>
          </w:p>
        </w:tc>
        <w:tc>
          <w:tcPr>
            <w:tcW w:w="9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exercisable</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the end of</w:t>
            </w: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51"/>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the year</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297,420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1.59</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7.49</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519,084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2.53</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6.74</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683,979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3.60</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6.56</w:t>
            </w:r>
          </w:p>
        </w:tc>
      </w:tr>
      <w:tr>
        <w:trPr>
          <w:trHeight w:val="20"/>
        </w:trPr>
        <w:tc>
          <w:tcPr>
            <w:tcW w:w="1260" w:type="dxa"/>
            <w:vAlign w:val="bottom"/>
            <w:tcBorders>
              <w:top w:val="single" w:sz="8" w:color="CCEEFF"/>
            </w:tcBorders>
            <w:shd w:val="clear" w:color="auto" w:fill="CCEEFF"/>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8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bl>
    <w:p>
      <w:pPr>
        <w:spacing w:after="0" w:line="256" w:lineRule="exact"/>
        <w:rPr>
          <w:sz w:val="20"/>
          <w:szCs w:val="20"/>
          <w:color w:val="auto"/>
        </w:rPr>
      </w:pPr>
    </w:p>
    <w:p>
      <w:pPr>
        <w:ind w:left="1340" w:hanging="333"/>
        <w:spacing w:after="0"/>
        <w:tabs>
          <w:tab w:leader="none" w:pos="134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Option granted to non-employees</w:t>
      </w:r>
    </w:p>
    <w:p>
      <w:pPr>
        <w:spacing w:after="0" w:line="285" w:lineRule="exact"/>
        <w:rPr>
          <w:sz w:val="20"/>
          <w:szCs w:val="20"/>
          <w:color w:val="auto"/>
        </w:rPr>
      </w:pPr>
    </w:p>
    <w:p>
      <w:pPr>
        <w:ind w:left="1340" w:right="140"/>
        <w:spacing w:after="0" w:line="276" w:lineRule="auto"/>
        <w:rPr>
          <w:sz w:val="20"/>
          <w:szCs w:val="20"/>
          <w:color w:val="auto"/>
        </w:rPr>
      </w:pPr>
      <w:r>
        <w:rPr>
          <w:rFonts w:ascii="Arial" w:cs="Arial" w:eastAsia="Arial" w:hAnsi="Arial"/>
          <w:sz w:val="22"/>
          <w:szCs w:val="22"/>
          <w:color w:val="auto"/>
        </w:rPr>
        <w:t>In March 2018, the Company granted a total of 76,895 options to several consultants to purchase ordinary shares at an exercise price of $11.21 per share.</w:t>
      </w:r>
    </w:p>
    <w:p>
      <w:pPr>
        <w:spacing w:after="0" w:line="228" w:lineRule="exact"/>
        <w:rPr>
          <w:sz w:val="20"/>
          <w:szCs w:val="20"/>
          <w:color w:val="auto"/>
        </w:rPr>
      </w:pPr>
    </w:p>
    <w:p>
      <w:pPr>
        <w:ind w:left="1340" w:right="240"/>
        <w:spacing w:after="0" w:line="266" w:lineRule="auto"/>
        <w:rPr>
          <w:sz w:val="20"/>
          <w:szCs w:val="20"/>
          <w:color w:val="auto"/>
        </w:rPr>
      </w:pPr>
      <w:r>
        <w:rPr>
          <w:rFonts w:ascii="Arial" w:cs="Arial" w:eastAsia="Arial" w:hAnsi="Arial"/>
          <w:sz w:val="22"/>
          <w:szCs w:val="22"/>
          <w:color w:val="auto"/>
        </w:rPr>
        <w:t>The options vest over a period of 4 years; 25% of the options vest on the first anniversary of the vesting commencement date (as described in each agreement) and the rest vest quarterly over the following three years. The options expire on the tenth anniversary of their grant date.</w:t>
      </w:r>
    </w:p>
    <w:p>
      <w:pPr>
        <w:spacing w:after="0" w:line="239" w:lineRule="exact"/>
        <w:rPr>
          <w:sz w:val="20"/>
          <w:szCs w:val="20"/>
          <w:color w:val="auto"/>
        </w:rPr>
      </w:pPr>
    </w:p>
    <w:p>
      <w:pPr>
        <w:ind w:left="1340" w:right="300"/>
        <w:spacing w:after="0" w:line="276" w:lineRule="auto"/>
        <w:rPr>
          <w:sz w:val="20"/>
          <w:szCs w:val="20"/>
          <w:color w:val="auto"/>
        </w:rPr>
      </w:pPr>
      <w:r>
        <w:rPr>
          <w:rFonts w:ascii="Arial" w:cs="Arial" w:eastAsia="Arial" w:hAnsi="Arial"/>
          <w:sz w:val="22"/>
          <w:szCs w:val="22"/>
          <w:color w:val="auto"/>
        </w:rPr>
        <w:t>The fair value of options granted to non-employees in 2018 was $648. The underlying data used for computing the fair value of the options are as follows:</w:t>
      </w:r>
    </w:p>
    <w:p>
      <w:pPr>
        <w:spacing w:after="0" w:line="218" w:lineRule="exact"/>
        <w:rPr>
          <w:sz w:val="20"/>
          <w:szCs w:val="20"/>
          <w:color w:val="auto"/>
        </w:rPr>
      </w:pPr>
    </w:p>
    <w:tbl>
      <w:tblPr>
        <w:tblLayout w:type="fixed"/>
        <w:tblInd w:w="114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9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2018</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4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Value of one ordinary share</w:t>
            </w:r>
          </w:p>
        </w:tc>
        <w:tc>
          <w:tcPr>
            <w:tcW w:w="29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10.40</w:t>
            </w:r>
          </w:p>
        </w:tc>
        <w:tc>
          <w:tcPr>
            <w:tcW w:w="1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Dividend yield</w:t>
            </w:r>
          </w:p>
        </w:tc>
        <w:tc>
          <w:tcPr>
            <w:tcW w:w="2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29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79.07%</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940" w:type="dxa"/>
            <w:vAlign w:val="bottom"/>
            <w:tcBorders>
              <w:top w:val="single" w:sz="8" w:color="CCEEFF"/>
            </w:tcBorders>
            <w:shd w:val="clear" w:color="auto" w:fill="CCEEFF"/>
          </w:tcPr>
          <w:p>
            <w:pPr>
              <w:spacing w:after="0" w:line="20" w:lineRule="exact"/>
              <w:rPr>
                <w:sz w:val="1"/>
                <w:szCs w:val="1"/>
                <w:color w:val="auto"/>
              </w:rPr>
            </w:pPr>
          </w:p>
        </w:tc>
        <w:tc>
          <w:tcPr>
            <w:tcW w:w="296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Risk-free interest rate</w:t>
            </w:r>
          </w:p>
        </w:tc>
        <w:tc>
          <w:tcPr>
            <w:tcW w:w="29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2.86%</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5"/>
        </w:trPr>
        <w:tc>
          <w:tcPr>
            <w:tcW w:w="20" w:type="dxa"/>
            <w:vAlign w:val="bottom"/>
            <w:vMerge w:val="continue"/>
          </w:tcPr>
          <w:p>
            <w:pPr>
              <w:spacing w:after="0"/>
              <w:rPr>
                <w:sz w:val="16"/>
                <w:szCs w:val="16"/>
                <w:color w:val="auto"/>
              </w:rPr>
            </w:pPr>
          </w:p>
        </w:tc>
        <w:tc>
          <w:tcPr>
            <w:tcW w:w="494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rPr>
              <w:t>Expected term</w:t>
            </w:r>
          </w:p>
        </w:tc>
        <w:tc>
          <w:tcPr>
            <w:tcW w:w="29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line="195" w:lineRule="exact"/>
              <w:rPr>
                <w:sz w:val="20"/>
                <w:szCs w:val="20"/>
                <w:color w:val="auto"/>
              </w:rPr>
            </w:pPr>
            <w:r>
              <w:rPr>
                <w:rFonts w:ascii="Arial" w:cs="Arial" w:eastAsia="Arial" w:hAnsi="Arial"/>
                <w:sz w:val="18"/>
                <w:szCs w:val="18"/>
                <w:color w:val="auto"/>
              </w:rPr>
              <w:t>10</w:t>
            </w: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71"/>
        </w:trPr>
        <w:tc>
          <w:tcPr>
            <w:tcW w:w="20" w:type="dxa"/>
            <w:vAlign w:val="bottom"/>
          </w:tcPr>
          <w:p>
            <w:pPr>
              <w:spacing w:after="0"/>
              <w:rPr>
                <w:sz w:val="23"/>
                <w:szCs w:val="23"/>
                <w:color w:val="auto"/>
              </w:rPr>
            </w:pPr>
          </w:p>
        </w:tc>
        <w:tc>
          <w:tcPr>
            <w:tcW w:w="4940" w:type="dxa"/>
            <w:vAlign w:val="bottom"/>
            <w:tcBorders>
              <w:bottom w:val="single" w:sz="8" w:color="CCEEFF"/>
            </w:tcBorders>
            <w:shd w:val="clear" w:color="auto" w:fill="CCEEFF"/>
          </w:tcPr>
          <w:p>
            <w:pPr>
              <w:spacing w:after="0"/>
              <w:rPr>
                <w:sz w:val="23"/>
                <w:szCs w:val="23"/>
                <w:color w:val="auto"/>
              </w:rPr>
            </w:pPr>
          </w:p>
        </w:tc>
        <w:tc>
          <w:tcPr>
            <w:tcW w:w="296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years</w:t>
            </w:r>
          </w:p>
        </w:tc>
        <w:tc>
          <w:tcPr>
            <w:tcW w:w="16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bl>
    <w:p>
      <w:pPr>
        <w:spacing w:after="0" w:line="262" w:lineRule="exact"/>
        <w:rPr>
          <w:sz w:val="20"/>
          <w:szCs w:val="20"/>
          <w:color w:val="auto"/>
        </w:rPr>
      </w:pPr>
    </w:p>
    <w:p>
      <w:pPr>
        <w:ind w:left="1340" w:right="480"/>
        <w:spacing w:after="0" w:line="276" w:lineRule="auto"/>
        <w:rPr>
          <w:sz w:val="20"/>
          <w:szCs w:val="20"/>
          <w:color w:val="auto"/>
        </w:rPr>
      </w:pPr>
      <w:r>
        <w:rPr>
          <w:rFonts w:ascii="Arial" w:cs="Arial" w:eastAsia="Arial" w:hAnsi="Arial"/>
          <w:sz w:val="22"/>
          <w:szCs w:val="22"/>
          <w:color w:val="auto"/>
        </w:rPr>
        <w:t>The total unrecognized compensation cost of non-employees options at December 31, 2019 is $105, which is expected to be recognized over a period of 2.23 years.</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75" w:name="page176"/>
    <w:bookmarkEnd w:id="175"/>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NOTE 8 — SHARE CAPITAL </w:t>
      </w:r>
      <w:r>
        <w:rPr>
          <w:rFonts w:ascii="Arial" w:cs="Arial" w:eastAsia="Arial" w:hAnsi="Arial"/>
          <w:sz w:val="22"/>
          <w:szCs w:val="22"/>
          <w:color w:val="auto"/>
        </w:rPr>
        <w:t>(continued)</w:t>
      </w:r>
    </w:p>
    <w:p>
      <w:pPr>
        <w:spacing w:after="0" w:line="293" w:lineRule="exact"/>
        <w:rPr>
          <w:sz w:val="20"/>
          <w:szCs w:val="20"/>
          <w:color w:val="auto"/>
        </w:rPr>
      </w:pPr>
    </w:p>
    <w:p>
      <w:pPr>
        <w:ind w:left="1340" w:right="500"/>
        <w:spacing w:after="0" w:line="276" w:lineRule="auto"/>
        <w:rPr>
          <w:sz w:val="20"/>
          <w:szCs w:val="20"/>
          <w:color w:val="auto"/>
        </w:rPr>
      </w:pPr>
      <w:r>
        <w:rPr>
          <w:rFonts w:ascii="Arial" w:cs="Arial" w:eastAsia="Arial" w:hAnsi="Arial"/>
          <w:sz w:val="22"/>
          <w:szCs w:val="22"/>
          <w:color w:val="auto"/>
        </w:rPr>
        <w:t>The following table summarizes the number of options granted to non-employees under the Plan for the year ended December 31, 2017, 2018 and 2019, and related information:</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260" w:type="dxa"/>
            <w:vAlign w:val="bottom"/>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3320" w:type="dxa"/>
            <w:vAlign w:val="bottom"/>
            <w:tcBorders>
              <w:bottom w:val="single" w:sz="8" w:color="auto"/>
            </w:tcBorders>
            <w:gridSpan w:val="7"/>
          </w:tcPr>
          <w:p>
            <w:pPr>
              <w:ind w:left="540"/>
              <w:spacing w:after="0"/>
              <w:rPr>
                <w:sz w:val="20"/>
                <w:szCs w:val="20"/>
                <w:color w:val="auto"/>
              </w:rPr>
            </w:pPr>
            <w:r>
              <w:rPr>
                <w:rFonts w:ascii="Arial" w:cs="Arial" w:eastAsia="Arial" w:hAnsi="Arial"/>
                <w:sz w:val="18"/>
                <w:szCs w:val="18"/>
                <w:b w:val="1"/>
                <w:bCs w:val="1"/>
                <w:color w:val="auto"/>
              </w:rPr>
              <w:t>Year ended December 31</w:t>
            </w:r>
          </w:p>
        </w:tc>
        <w:tc>
          <w:tcPr>
            <w:tcW w:w="9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126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2017</w:t>
            </w: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2018</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2019</w:t>
            </w: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8"/>
        </w:trPr>
        <w:tc>
          <w:tcPr>
            <w:tcW w:w="1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88"/>
              </w:rPr>
              <w:t>Weighted</w:t>
            </w: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1"/>
              </w:rPr>
              <w:t>Weighted</w:t>
            </w:r>
          </w:p>
        </w:tc>
        <w:tc>
          <w:tcPr>
            <w:tcW w:w="100" w:type="dxa"/>
            <w:vAlign w:val="bottom"/>
          </w:tcPr>
          <w:p>
            <w:pPr>
              <w:spacing w:after="0"/>
              <w:rPr>
                <w:sz w:val="17"/>
                <w:szCs w:val="17"/>
                <w:color w:val="auto"/>
              </w:rPr>
            </w:pPr>
          </w:p>
        </w:tc>
      </w:tr>
      <w:tr>
        <w:trPr>
          <w:trHeight w:val="216"/>
        </w:trPr>
        <w:tc>
          <w:tcPr>
            <w:tcW w:w="1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Weighted</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average</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8"/>
              </w:rPr>
              <w:t>Weighted</w:t>
            </w: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average</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8"/>
              </w:rPr>
              <w:t>Weighted</w:t>
            </w:r>
          </w:p>
        </w:tc>
        <w:tc>
          <w:tcPr>
            <w:tcW w:w="10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average</w:t>
            </w:r>
          </w:p>
        </w:tc>
      </w:tr>
      <w:tr>
        <w:trPr>
          <w:trHeight w:val="216"/>
        </w:trPr>
        <w:tc>
          <w:tcPr>
            <w:tcW w:w="1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average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remaining</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8"/>
              </w:rPr>
              <w:t>average</w:t>
            </w: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remaining</w:t>
            </w: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8"/>
              </w:rPr>
              <w:t>average</w:t>
            </w:r>
          </w:p>
        </w:tc>
        <w:tc>
          <w:tcPr>
            <w:tcW w:w="10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remaining</w:t>
            </w:r>
          </w:p>
        </w:tc>
      </w:tr>
      <w:tr>
        <w:trPr>
          <w:trHeight w:val="216"/>
        </w:trPr>
        <w:tc>
          <w:tcPr>
            <w:tcW w:w="1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w w:val="95"/>
              </w:rPr>
              <w:t>Number of</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3"/>
              </w:rPr>
              <w:t>exercise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contractual</w:t>
            </w: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Number of</w:t>
            </w:r>
          </w:p>
        </w:tc>
        <w:tc>
          <w:tcPr>
            <w:tcW w:w="100" w:type="dxa"/>
            <w:vAlign w:val="bottom"/>
          </w:tcPr>
          <w:p>
            <w:pPr>
              <w:spacing w:after="0"/>
              <w:rPr>
                <w:sz w:val="18"/>
                <w:szCs w:val="18"/>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3"/>
              </w:rPr>
              <w:t>exercise</w:t>
            </w:r>
          </w:p>
        </w:tc>
        <w:tc>
          <w:tcPr>
            <w:tcW w:w="11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8"/>
              </w:rPr>
              <w:t>contractual</w:t>
            </w: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Number of</w:t>
            </w:r>
          </w:p>
        </w:tc>
        <w:tc>
          <w:tcPr>
            <w:tcW w:w="120" w:type="dxa"/>
            <w:vAlign w:val="bottom"/>
          </w:tcPr>
          <w:p>
            <w:pPr>
              <w:spacing w:after="0"/>
              <w:rPr>
                <w:sz w:val="18"/>
                <w:szCs w:val="18"/>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3"/>
              </w:rPr>
              <w:t>exercise</w:t>
            </w:r>
          </w:p>
        </w:tc>
        <w:tc>
          <w:tcPr>
            <w:tcW w:w="10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contractual</w:t>
            </w:r>
          </w:p>
        </w:tc>
      </w:tr>
      <w:tr>
        <w:trPr>
          <w:trHeight w:val="241"/>
        </w:trPr>
        <w:tc>
          <w:tcPr>
            <w:tcW w:w="1260" w:type="dxa"/>
            <w:vAlign w:val="bottom"/>
          </w:tcPr>
          <w:p>
            <w:pPr>
              <w:spacing w:after="0"/>
              <w:rPr>
                <w:sz w:val="20"/>
                <w:szCs w:val="20"/>
                <w:color w:val="auto"/>
              </w:rPr>
            </w:pPr>
          </w:p>
        </w:tc>
        <w:tc>
          <w:tcPr>
            <w:tcW w:w="920" w:type="dxa"/>
            <w:vAlign w:val="bottom"/>
          </w:tcPr>
          <w:p>
            <w:pPr>
              <w:jc w:val="right"/>
              <w:ind w:right="90"/>
              <w:spacing w:after="0"/>
              <w:rPr>
                <w:sz w:val="20"/>
                <w:szCs w:val="20"/>
                <w:color w:val="auto"/>
              </w:rPr>
            </w:pPr>
            <w:r>
              <w:rPr>
                <w:rFonts w:ascii="Arial" w:cs="Arial" w:eastAsia="Arial" w:hAnsi="Arial"/>
                <w:sz w:val="18"/>
                <w:szCs w:val="18"/>
                <w:b w:val="1"/>
                <w:bCs w:val="1"/>
                <w:color w:val="auto"/>
              </w:rPr>
              <w:t>options</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price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6"/>
              </w:rPr>
              <w:t>options</w:t>
            </w:r>
          </w:p>
        </w:tc>
        <w:tc>
          <w:tcPr>
            <w:tcW w:w="100" w:type="dxa"/>
            <w:vAlign w:val="bottom"/>
          </w:tcPr>
          <w:p>
            <w:pPr>
              <w:spacing w:after="0"/>
              <w:rPr>
                <w:sz w:val="20"/>
                <w:szCs w:val="20"/>
                <w:color w:val="auto"/>
              </w:rPr>
            </w:pPr>
          </w:p>
        </w:tc>
        <w:tc>
          <w:tcPr>
            <w:tcW w:w="10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price</w:t>
            </w:r>
          </w:p>
        </w:tc>
        <w:tc>
          <w:tcPr>
            <w:tcW w:w="11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life</w:t>
            </w: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6"/>
              </w:rPr>
              <w:t>options</w:t>
            </w:r>
          </w:p>
        </w:tc>
        <w:tc>
          <w:tcPr>
            <w:tcW w:w="120" w:type="dxa"/>
            <w:vAlign w:val="bottom"/>
          </w:tcPr>
          <w:p>
            <w:pPr>
              <w:spacing w:after="0"/>
              <w:rPr>
                <w:sz w:val="20"/>
                <w:szCs w:val="20"/>
                <w:color w:val="auto"/>
              </w:rPr>
            </w:pPr>
          </w:p>
        </w:tc>
        <w:tc>
          <w:tcPr>
            <w:tcW w:w="9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price</w:t>
            </w:r>
          </w:p>
        </w:tc>
        <w:tc>
          <w:tcPr>
            <w:tcW w:w="10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life</w:t>
            </w:r>
          </w:p>
        </w:tc>
      </w:tr>
      <w:tr>
        <w:trPr>
          <w:trHeight w:val="202"/>
        </w:trPr>
        <w:tc>
          <w:tcPr>
            <w:tcW w:w="1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outstanding</w:t>
            </w:r>
          </w:p>
        </w:tc>
        <w:tc>
          <w:tcPr>
            <w:tcW w:w="9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the</w:t>
            </w:r>
          </w:p>
        </w:tc>
        <w:tc>
          <w:tcPr>
            <w:tcW w:w="9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beginning of</w:t>
            </w:r>
          </w:p>
        </w:tc>
        <w:tc>
          <w:tcPr>
            <w:tcW w:w="9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0"/>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the year</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121,680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5.12</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9.54</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198,575</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7.48</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8.81</w:t>
            </w:r>
          </w:p>
        </w:tc>
      </w:tr>
      <w:tr>
        <w:trPr>
          <w:trHeight w:val="223"/>
        </w:trPr>
        <w:tc>
          <w:tcPr>
            <w:tcW w:w="1260" w:type="dxa"/>
            <w:vAlign w:val="bottom"/>
          </w:tcPr>
          <w:p>
            <w:pPr>
              <w:spacing w:after="0"/>
              <w:rPr>
                <w:sz w:val="20"/>
                <w:szCs w:val="20"/>
                <w:color w:val="auto"/>
              </w:rPr>
            </w:pPr>
            <w:r>
              <w:rPr>
                <w:rFonts w:ascii="Arial" w:cs="Arial" w:eastAsia="Arial" w:hAnsi="Arial"/>
                <w:sz w:val="18"/>
                <w:szCs w:val="18"/>
                <w:color w:val="auto"/>
              </w:rPr>
              <w:t>Granted</w:t>
            </w:r>
          </w:p>
        </w:tc>
        <w:tc>
          <w:tcPr>
            <w:tcW w:w="920" w:type="dxa"/>
            <w:vAlign w:val="bottom"/>
          </w:tcPr>
          <w:p>
            <w:pPr>
              <w:jc w:val="right"/>
              <w:spacing w:after="0"/>
              <w:rPr>
                <w:sz w:val="20"/>
                <w:szCs w:val="20"/>
                <w:color w:val="auto"/>
              </w:rPr>
            </w:pPr>
            <w:r>
              <w:rPr>
                <w:rFonts w:ascii="Arial" w:cs="Arial" w:eastAsia="Arial" w:hAnsi="Arial"/>
                <w:sz w:val="18"/>
                <w:szCs w:val="18"/>
                <w:color w:val="auto"/>
              </w:rPr>
              <w:t>121,680</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5.12</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9.54</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76,895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11.21</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9.24</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1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2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outstanding</w:t>
            </w:r>
          </w:p>
        </w:tc>
        <w:tc>
          <w:tcPr>
            <w:tcW w:w="9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the end of</w:t>
            </w:r>
          </w:p>
        </w:tc>
        <w:tc>
          <w:tcPr>
            <w:tcW w:w="9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71"/>
        </w:trPr>
        <w:tc>
          <w:tcPr>
            <w:tcW w:w="1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the year</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121,680</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5.12</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9.54</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198,575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7.48</w:t>
            </w:r>
          </w:p>
        </w:tc>
        <w:tc>
          <w:tcPr>
            <w:tcW w:w="11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8.81</w:t>
            </w: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198,575</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7.48</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7.84</w:t>
            </w:r>
          </w:p>
        </w:tc>
      </w:tr>
      <w:tr>
        <w:trPr>
          <w:trHeight w:val="195"/>
        </w:trPr>
        <w:tc>
          <w:tcPr>
            <w:tcW w:w="1260" w:type="dxa"/>
            <w:vAlign w:val="bottom"/>
            <w:tcBorders>
              <w:top w:val="single" w:sz="8" w:color="CCEEFF"/>
            </w:tcBorders>
          </w:tcPr>
          <w:p>
            <w:pPr>
              <w:spacing w:after="0" w:line="195" w:lineRule="exact"/>
              <w:rPr>
                <w:sz w:val="20"/>
                <w:szCs w:val="20"/>
                <w:color w:val="auto"/>
              </w:rPr>
            </w:pPr>
            <w:r>
              <w:rPr>
                <w:rFonts w:ascii="Arial" w:cs="Arial" w:eastAsia="Arial" w:hAnsi="Arial"/>
                <w:sz w:val="18"/>
                <w:szCs w:val="18"/>
                <w:color w:val="auto"/>
              </w:rPr>
              <w:t>Options</w:t>
            </w:r>
          </w:p>
        </w:tc>
        <w:tc>
          <w:tcPr>
            <w:tcW w:w="92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82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00" w:type="dxa"/>
            <w:vAlign w:val="bottom"/>
            <w:tcBorders>
              <w:top w:val="single" w:sz="8" w:color="CCEEFF"/>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r>
      <w:tr>
        <w:trPr>
          <w:trHeight w:val="216"/>
        </w:trPr>
        <w:tc>
          <w:tcPr>
            <w:tcW w:w="1260" w:type="dxa"/>
            <w:vAlign w:val="bottom"/>
          </w:tcPr>
          <w:p>
            <w:pPr>
              <w:ind w:left="180"/>
              <w:spacing w:after="0"/>
              <w:rPr>
                <w:sz w:val="20"/>
                <w:szCs w:val="20"/>
                <w:color w:val="auto"/>
              </w:rPr>
            </w:pPr>
            <w:r>
              <w:rPr>
                <w:rFonts w:ascii="Arial" w:cs="Arial" w:eastAsia="Arial" w:hAnsi="Arial"/>
                <w:sz w:val="18"/>
                <w:szCs w:val="18"/>
                <w:color w:val="auto"/>
              </w:rPr>
              <w:t>exercisable</w:t>
            </w: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1260" w:type="dxa"/>
            <w:vAlign w:val="bottom"/>
          </w:tcPr>
          <w:p>
            <w:pPr>
              <w:ind w:left="180"/>
              <w:spacing w:after="0"/>
              <w:rPr>
                <w:sz w:val="20"/>
                <w:szCs w:val="20"/>
                <w:color w:val="auto"/>
              </w:rPr>
            </w:pPr>
            <w:r>
              <w:rPr>
                <w:rFonts w:ascii="Arial" w:cs="Arial" w:eastAsia="Arial" w:hAnsi="Arial"/>
                <w:sz w:val="18"/>
                <w:szCs w:val="18"/>
                <w:color w:val="auto"/>
              </w:rPr>
              <w:t>at the end of</w:t>
            </w: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1260" w:type="dxa"/>
            <w:vAlign w:val="bottom"/>
          </w:tcPr>
          <w:p>
            <w:pPr>
              <w:ind w:left="180"/>
              <w:spacing w:after="0"/>
              <w:rPr>
                <w:sz w:val="20"/>
                <w:szCs w:val="20"/>
                <w:color w:val="auto"/>
              </w:rPr>
            </w:pPr>
            <w:r>
              <w:rPr>
                <w:rFonts w:ascii="Arial" w:cs="Arial" w:eastAsia="Arial" w:hAnsi="Arial"/>
                <w:sz w:val="18"/>
                <w:szCs w:val="18"/>
                <w:color w:val="auto"/>
              </w:rPr>
              <w:t>the year</w:t>
            </w:r>
          </w:p>
        </w:tc>
        <w:tc>
          <w:tcPr>
            <w:tcW w:w="920" w:type="dxa"/>
            <w:vAlign w:val="bottom"/>
          </w:tcPr>
          <w:p>
            <w:pPr>
              <w:jc w:val="right"/>
              <w:spacing w:after="0"/>
              <w:rPr>
                <w:sz w:val="20"/>
                <w:szCs w:val="20"/>
                <w:color w:val="auto"/>
              </w:rPr>
            </w:pPr>
            <w:r>
              <w:rPr>
                <w:rFonts w:ascii="Arial" w:cs="Arial" w:eastAsia="Arial" w:hAnsi="Arial"/>
                <w:sz w:val="18"/>
                <w:szCs w:val="18"/>
                <w:color w:val="auto"/>
              </w:rPr>
              <w:t>7,614</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1.59</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9.54</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44,793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4.59</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8.54</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96,588</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6.97</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7.78</w:t>
            </w:r>
          </w:p>
        </w:tc>
      </w:tr>
      <w:tr>
        <w:trPr>
          <w:trHeight w:val="20"/>
        </w:trPr>
        <w:tc>
          <w:tcPr>
            <w:tcW w:w="126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ind w:left="1340" w:right="80" w:hanging="333"/>
        <w:spacing w:after="0" w:line="277" w:lineRule="auto"/>
        <w:tabs>
          <w:tab w:leader="none" w:pos="134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The aggregate intrinsic value of the total outstanding and of total exercisable options as of December 31, 2019 is approximately $14,832 and $10,250, respectively.</w:t>
      </w:r>
    </w:p>
    <w:p>
      <w:pPr>
        <w:spacing w:after="0" w:line="224" w:lineRule="exact"/>
        <w:rPr>
          <w:rFonts w:ascii="Arial" w:cs="Arial" w:eastAsia="Arial" w:hAnsi="Arial"/>
          <w:sz w:val="18"/>
          <w:szCs w:val="18"/>
          <w:color w:val="auto"/>
        </w:rPr>
      </w:pPr>
    </w:p>
    <w:p>
      <w:pPr>
        <w:ind w:left="1340" w:hanging="320"/>
        <w:spacing w:after="0"/>
        <w:tabs>
          <w:tab w:leader="none" w:pos="1340" w:val="left"/>
        </w:tabs>
        <w:numPr>
          <w:ilvl w:val="1"/>
          <w:numId w:val="164"/>
        </w:numPr>
        <w:rPr>
          <w:rFonts w:ascii="Arial" w:cs="Arial" w:eastAsia="Arial" w:hAnsi="Arial"/>
          <w:sz w:val="18"/>
          <w:szCs w:val="18"/>
          <w:color w:val="auto"/>
        </w:rPr>
      </w:pPr>
      <w:r>
        <w:rPr>
          <w:rFonts w:ascii="Arial" w:cs="Arial" w:eastAsia="Arial" w:hAnsi="Arial"/>
          <w:sz w:val="18"/>
          <w:szCs w:val="18"/>
          <w:color w:val="auto"/>
        </w:rPr>
        <w:t>Restricted Shares granted to Directors</w:t>
      </w:r>
    </w:p>
    <w:p>
      <w:pPr>
        <w:spacing w:after="0" w:line="225" w:lineRule="exact"/>
        <w:rPr>
          <w:rFonts w:ascii="Arial" w:cs="Arial" w:eastAsia="Arial" w:hAnsi="Arial"/>
          <w:sz w:val="18"/>
          <w:szCs w:val="18"/>
          <w:color w:val="auto"/>
        </w:rPr>
      </w:pPr>
    </w:p>
    <w:p>
      <w:pPr>
        <w:ind w:left="1340" w:right="100"/>
        <w:spacing w:after="0" w:line="259" w:lineRule="auto"/>
        <w:rPr>
          <w:rFonts w:ascii="Arial" w:cs="Arial" w:eastAsia="Arial" w:hAnsi="Arial"/>
          <w:sz w:val="18"/>
          <w:szCs w:val="18"/>
          <w:color w:val="auto"/>
        </w:rPr>
      </w:pPr>
      <w:r>
        <w:rPr>
          <w:rFonts w:ascii="Arial" w:cs="Arial" w:eastAsia="Arial" w:hAnsi="Arial"/>
          <w:sz w:val="18"/>
          <w:szCs w:val="18"/>
          <w:color w:val="auto"/>
        </w:rPr>
        <w:t>In February 2018 and September 2018, the board of directors approved and recommended the Company shareholders to approve a total grant of 46,000 and 11,500 restricted share units (RSUs), respectively, to its independent and external directors that vest annually in equal portions over a three-year period. The fair value of shares as of the date of grant was $495 and $105 respectively. As of December 31, 2019, 15,332 RSUs were vested.</w:t>
      </w:r>
    </w:p>
    <w:p>
      <w:pPr>
        <w:spacing w:after="0" w:line="240" w:lineRule="exact"/>
        <w:rPr>
          <w:rFonts w:ascii="Arial" w:cs="Arial" w:eastAsia="Arial" w:hAnsi="Arial"/>
          <w:sz w:val="18"/>
          <w:szCs w:val="18"/>
          <w:color w:val="auto"/>
        </w:rPr>
      </w:pPr>
    </w:p>
    <w:p>
      <w:pPr>
        <w:ind w:left="1260" w:hanging="240"/>
        <w:spacing w:after="0"/>
        <w:tabs>
          <w:tab w:leader="none" w:pos="1260" w:val="left"/>
        </w:tabs>
        <w:numPr>
          <w:ilvl w:val="1"/>
          <w:numId w:val="164"/>
        </w:numPr>
        <w:rPr>
          <w:rFonts w:ascii="Arial" w:cs="Arial" w:eastAsia="Arial" w:hAnsi="Arial"/>
          <w:sz w:val="18"/>
          <w:szCs w:val="18"/>
          <w:color w:val="auto"/>
        </w:rPr>
      </w:pPr>
      <w:r>
        <w:rPr>
          <w:rFonts w:ascii="Arial" w:cs="Arial" w:eastAsia="Arial" w:hAnsi="Arial"/>
          <w:sz w:val="18"/>
          <w:szCs w:val="18"/>
          <w:color w:val="auto"/>
        </w:rPr>
        <w:t>The following table illustrates the effect of share-based compensation on the statements of operations:</w:t>
      </w:r>
    </w:p>
    <w:p>
      <w:pPr>
        <w:spacing w:after="0" w:line="275" w:lineRule="exact"/>
        <w:rPr>
          <w:sz w:val="20"/>
          <w:szCs w:val="20"/>
          <w:color w:val="auto"/>
        </w:rPr>
      </w:pPr>
    </w:p>
    <w:tbl>
      <w:tblPr>
        <w:tblLayout w:type="fixed"/>
        <w:tblInd w:w="1240" w:type="dxa"/>
        <w:tblCellMar>
          <w:top w:w="0" w:type="dxa"/>
          <w:left w:w="0" w:type="dxa"/>
          <w:bottom w:w="0" w:type="dxa"/>
          <w:right w:w="0" w:type="dxa"/>
        </w:tblCellMar>
      </w:tblPr>
      <w:tr>
        <w:trPr>
          <w:trHeight w:val="216"/>
        </w:trPr>
        <w:tc>
          <w:tcPr>
            <w:tcW w:w="6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gridSpan w:val="3"/>
          </w:tcPr>
          <w:p>
            <w:pPr>
              <w:jc w:val="center"/>
              <w:ind w:right="240"/>
              <w:spacing w:after="0"/>
              <w:rPr>
                <w:sz w:val="20"/>
                <w:szCs w:val="20"/>
                <w:color w:val="auto"/>
              </w:rPr>
            </w:pPr>
            <w:r>
              <w:rPr>
                <w:rFonts w:ascii="Arial" w:cs="Arial" w:eastAsia="Arial" w:hAnsi="Arial"/>
                <w:sz w:val="18"/>
                <w:szCs w:val="18"/>
                <w:b w:val="1"/>
                <w:bCs w:val="1"/>
                <w:color w:val="auto"/>
                <w:w w:val="88"/>
              </w:rPr>
              <w:t>Year ended</w:t>
            </w: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65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8"/>
                <w:szCs w:val="18"/>
                <w:b w:val="1"/>
                <w:bCs w:val="1"/>
                <w:color w:val="auto"/>
                <w:w w:val="90"/>
              </w:rPr>
              <w:t>December 31</w:t>
            </w:r>
          </w:p>
        </w:tc>
        <w:tc>
          <w:tcPr>
            <w:tcW w:w="20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5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2017</w:t>
            </w:r>
          </w:p>
        </w:tc>
        <w:tc>
          <w:tcPr>
            <w:tcW w:w="2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2018</w:t>
            </w:r>
          </w:p>
        </w:tc>
        <w:tc>
          <w:tcPr>
            <w:tcW w:w="1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65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Research and development expenses</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1,932</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2,708</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1,028</w:t>
            </w:r>
          </w:p>
        </w:tc>
        <w:tc>
          <w:tcPr>
            <w:tcW w:w="100" w:type="dxa"/>
            <w:vAlign w:val="bottom"/>
            <w:shd w:val="clear" w:color="auto" w:fill="CCEEFF"/>
          </w:tcPr>
          <w:p>
            <w:pPr>
              <w:spacing w:after="0"/>
              <w:rPr>
                <w:sz w:val="18"/>
                <w:szCs w:val="18"/>
                <w:color w:val="auto"/>
              </w:rPr>
            </w:pPr>
          </w:p>
        </w:tc>
      </w:tr>
      <w:tr>
        <w:trPr>
          <w:trHeight w:val="223"/>
        </w:trPr>
        <w:tc>
          <w:tcPr>
            <w:tcW w:w="6520" w:type="dxa"/>
            <w:vAlign w:val="bottom"/>
          </w:tcPr>
          <w:p>
            <w:pPr>
              <w:ind w:left="20"/>
              <w:spacing w:after="0"/>
              <w:rPr>
                <w:sz w:val="20"/>
                <w:szCs w:val="20"/>
                <w:color w:val="auto"/>
              </w:rPr>
            </w:pPr>
            <w:r>
              <w:rPr>
                <w:rFonts w:ascii="Arial" w:cs="Arial" w:eastAsia="Arial" w:hAnsi="Arial"/>
                <w:sz w:val="18"/>
                <w:szCs w:val="18"/>
                <w:color w:val="auto"/>
              </w:rPr>
              <w:t>General and administrative expenses</w:t>
            </w: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2,042</w:t>
            </w:r>
          </w:p>
        </w:tc>
        <w:tc>
          <w:tcPr>
            <w:tcW w:w="4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8"/>
                <w:szCs w:val="18"/>
                <w:color w:val="auto"/>
              </w:rPr>
              <w:t>1,946</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1,524</w:t>
            </w:r>
          </w:p>
        </w:tc>
      </w:tr>
      <w:tr>
        <w:trPr>
          <w:trHeight w:val="256"/>
        </w:trPr>
        <w:tc>
          <w:tcPr>
            <w:tcW w:w="65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3,974</w:t>
            </w:r>
          </w:p>
        </w:tc>
        <w:tc>
          <w:tcPr>
            <w:tcW w:w="2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4,654</w:t>
            </w:r>
          </w:p>
        </w:tc>
        <w:tc>
          <w:tcPr>
            <w:tcW w:w="18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2,552</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76" w:name="page177"/>
    <w:bookmarkEnd w:id="176"/>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 xml:space="preserve">NOTES TO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9 — TAXES ON INCOME</w:t>
      </w:r>
    </w:p>
    <w:p>
      <w:pPr>
        <w:spacing w:after="0" w:line="283" w:lineRule="exact"/>
        <w:rPr>
          <w:sz w:val="20"/>
          <w:szCs w:val="20"/>
          <w:color w:val="auto"/>
        </w:rPr>
      </w:pPr>
    </w:p>
    <w:p>
      <w:pPr>
        <w:ind w:left="680" w:hanging="321"/>
        <w:spacing w:after="0"/>
        <w:tabs>
          <w:tab w:leader="none" w:pos="680" w:val="left"/>
        </w:tabs>
        <w:numPr>
          <w:ilvl w:val="0"/>
          <w:numId w:val="165"/>
        </w:numPr>
        <w:rPr>
          <w:rFonts w:ascii="Arial" w:cs="Arial" w:eastAsia="Arial" w:hAnsi="Arial"/>
          <w:sz w:val="18"/>
          <w:szCs w:val="18"/>
          <w:b w:val="1"/>
          <w:bCs w:val="1"/>
          <w:color w:val="auto"/>
        </w:rPr>
      </w:pPr>
      <w:r>
        <w:rPr>
          <w:rFonts w:ascii="Arial" w:cs="Arial" w:eastAsia="Arial" w:hAnsi="Arial"/>
          <w:sz w:val="18"/>
          <w:szCs w:val="18"/>
          <w:b w:val="1"/>
          <w:bCs w:val="1"/>
          <w:color w:val="auto"/>
        </w:rPr>
        <w:t>Tax rates in Israel</w:t>
      </w:r>
    </w:p>
    <w:p>
      <w:pPr>
        <w:spacing w:after="0" w:line="289" w:lineRule="exact"/>
        <w:rPr>
          <w:sz w:val="20"/>
          <w:szCs w:val="20"/>
          <w:color w:val="auto"/>
        </w:rPr>
      </w:pPr>
    </w:p>
    <w:p>
      <w:pPr>
        <w:ind w:left="700" w:right="60"/>
        <w:spacing w:after="0" w:line="266" w:lineRule="auto"/>
        <w:rPr>
          <w:sz w:val="20"/>
          <w:szCs w:val="20"/>
          <w:color w:val="auto"/>
        </w:rPr>
      </w:pPr>
      <w:r>
        <w:rPr>
          <w:rFonts w:ascii="Arial" w:cs="Arial" w:eastAsia="Arial" w:hAnsi="Arial"/>
          <w:sz w:val="22"/>
          <w:szCs w:val="22"/>
          <w:color w:val="auto"/>
        </w:rPr>
        <w:t>In December 2016, a tax legislation was enacted in Israel, reducing the corporate tax rate to 24% for 2017 and to 23% for 2018 and thereafter. There is no impact on the financial statements of the Company as a result of the changes in the Israeli corporate tax rate.</w:t>
      </w:r>
    </w:p>
    <w:p>
      <w:pPr>
        <w:spacing w:after="0" w:line="239" w:lineRule="exact"/>
        <w:rPr>
          <w:sz w:val="20"/>
          <w:szCs w:val="20"/>
          <w:color w:val="auto"/>
        </w:rPr>
      </w:pPr>
    </w:p>
    <w:p>
      <w:pPr>
        <w:ind w:left="700"/>
        <w:spacing w:after="0"/>
        <w:rPr>
          <w:sz w:val="20"/>
          <w:szCs w:val="20"/>
          <w:color w:val="auto"/>
        </w:rPr>
      </w:pPr>
      <w:r>
        <w:rPr>
          <w:rFonts w:ascii="Arial" w:cs="Arial" w:eastAsia="Arial" w:hAnsi="Arial"/>
          <w:sz w:val="22"/>
          <w:szCs w:val="22"/>
          <w:color w:val="auto"/>
        </w:rPr>
        <w:t>Capital gain is subject to capital gain tax according to the corporate tax rate in the year the assets are sold.</w:t>
      </w:r>
    </w:p>
    <w:p>
      <w:pPr>
        <w:spacing w:after="0" w:line="277"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b.</w:t>
      </w:r>
      <w:r>
        <w:rPr>
          <w:sz w:val="20"/>
          <w:szCs w:val="20"/>
          <w:color w:val="auto"/>
        </w:rPr>
        <w:tab/>
      </w:r>
      <w:r>
        <w:rPr>
          <w:rFonts w:ascii="Arial" w:cs="Arial" w:eastAsia="Arial" w:hAnsi="Arial"/>
          <w:sz w:val="16"/>
          <w:szCs w:val="16"/>
          <w:b w:val="1"/>
          <w:bCs w:val="1"/>
          <w:color w:val="auto"/>
        </w:rPr>
        <w:t>Tax rates for the U.S Subsidiary</w:t>
      </w:r>
    </w:p>
    <w:p>
      <w:pPr>
        <w:spacing w:after="0" w:line="289" w:lineRule="exact"/>
        <w:rPr>
          <w:sz w:val="20"/>
          <w:szCs w:val="20"/>
          <w:color w:val="auto"/>
        </w:rPr>
      </w:pPr>
    </w:p>
    <w:p>
      <w:pPr>
        <w:ind w:left="700" w:right="440"/>
        <w:spacing w:after="0" w:line="276" w:lineRule="auto"/>
        <w:rPr>
          <w:sz w:val="20"/>
          <w:szCs w:val="20"/>
          <w:color w:val="auto"/>
        </w:rPr>
      </w:pPr>
      <w:r>
        <w:rPr>
          <w:rFonts w:ascii="Arial" w:cs="Arial" w:eastAsia="Arial" w:hAnsi="Arial"/>
          <w:sz w:val="22"/>
          <w:szCs w:val="22"/>
          <w:color w:val="auto"/>
        </w:rPr>
        <w:t>The subsidiary is taxed according to U.S. tax laws. The Company’s income is taxed in the United States at the rate of 21%.</w:t>
      </w:r>
    </w:p>
    <w:p>
      <w:pPr>
        <w:spacing w:after="0" w:line="218" w:lineRule="exact"/>
        <w:rPr>
          <w:sz w:val="20"/>
          <w:szCs w:val="20"/>
          <w:color w:val="auto"/>
        </w:rPr>
      </w:pPr>
    </w:p>
    <w:p>
      <w:pPr>
        <w:ind w:left="680" w:hanging="321"/>
        <w:spacing w:after="0"/>
        <w:tabs>
          <w:tab w:leader="none" w:pos="680" w:val="left"/>
        </w:tabs>
        <w:numPr>
          <w:ilvl w:val="0"/>
          <w:numId w:val="166"/>
        </w:numPr>
        <w:rPr>
          <w:rFonts w:ascii="Arial" w:cs="Arial" w:eastAsia="Arial" w:hAnsi="Arial"/>
          <w:sz w:val="18"/>
          <w:szCs w:val="18"/>
          <w:b w:val="1"/>
          <w:bCs w:val="1"/>
          <w:color w:val="auto"/>
        </w:rPr>
      </w:pPr>
      <w:r>
        <w:rPr>
          <w:rFonts w:ascii="Arial" w:cs="Arial" w:eastAsia="Arial" w:hAnsi="Arial"/>
          <w:sz w:val="18"/>
          <w:szCs w:val="18"/>
          <w:b w:val="1"/>
          <w:bCs w:val="1"/>
          <w:color w:val="auto"/>
        </w:rPr>
        <w:t>Tax benefits under the Law for the Encouragement of Capital Investments, 1959 (the “Investment Law”)</w:t>
      </w:r>
    </w:p>
    <w:p>
      <w:pPr>
        <w:spacing w:after="0" w:line="289" w:lineRule="exact"/>
        <w:rPr>
          <w:sz w:val="20"/>
          <w:szCs w:val="20"/>
          <w:color w:val="auto"/>
        </w:rPr>
      </w:pPr>
    </w:p>
    <w:p>
      <w:pPr>
        <w:ind w:left="700" w:right="360"/>
        <w:spacing w:after="0" w:line="266" w:lineRule="auto"/>
        <w:rPr>
          <w:sz w:val="20"/>
          <w:szCs w:val="20"/>
          <w:color w:val="auto"/>
        </w:rPr>
      </w:pPr>
      <w:r>
        <w:rPr>
          <w:rFonts w:ascii="Arial" w:cs="Arial" w:eastAsia="Arial" w:hAnsi="Arial"/>
          <w:sz w:val="22"/>
          <w:szCs w:val="22"/>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239" w:lineRule="exact"/>
        <w:rPr>
          <w:sz w:val="20"/>
          <w:szCs w:val="20"/>
          <w:color w:val="auto"/>
        </w:rPr>
      </w:pPr>
    </w:p>
    <w:p>
      <w:pPr>
        <w:ind w:left="700"/>
        <w:spacing w:after="0" w:line="279" w:lineRule="auto"/>
        <w:rPr>
          <w:sz w:val="20"/>
          <w:szCs w:val="20"/>
          <w:color w:val="auto"/>
        </w:rPr>
      </w:pPr>
      <w:r>
        <w:rPr>
          <w:rFonts w:ascii="Arial" w:cs="Arial" w:eastAsia="Arial" w:hAnsi="Arial"/>
          <w:sz w:val="21"/>
          <w:szCs w:val="21"/>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227" w:lineRule="exact"/>
        <w:rPr>
          <w:sz w:val="20"/>
          <w:szCs w:val="20"/>
          <w:color w:val="auto"/>
        </w:rPr>
      </w:pPr>
    </w:p>
    <w:p>
      <w:pPr>
        <w:ind w:left="700" w:right="560"/>
        <w:spacing w:after="0" w:line="301" w:lineRule="auto"/>
        <w:rPr>
          <w:sz w:val="20"/>
          <w:szCs w:val="20"/>
          <w:color w:val="auto"/>
        </w:rPr>
      </w:pPr>
      <w:r>
        <w:rPr>
          <w:rFonts w:ascii="Arial" w:cs="Arial" w:eastAsia="Arial" w:hAnsi="Arial"/>
          <w:sz w:val="21"/>
          <w:szCs w:val="21"/>
          <w:color w:val="auto"/>
        </w:rPr>
        <w:t>The period of tax benefits, as described above, is limited to 12 years from the beginning of the Benefited Enterprise election year (2012). As of December 31, 2019, the period of benefits has not yet commenced.</w:t>
      </w:r>
    </w:p>
    <w:p>
      <w:pPr>
        <w:spacing w:after="0" w:line="204" w:lineRule="exact"/>
        <w:rPr>
          <w:sz w:val="20"/>
          <w:szCs w:val="20"/>
          <w:color w:val="auto"/>
        </w:rPr>
      </w:pPr>
    </w:p>
    <w:p>
      <w:pPr>
        <w:ind w:left="700" w:right="40"/>
        <w:spacing w:after="0" w:line="266" w:lineRule="auto"/>
        <w:rPr>
          <w:sz w:val="20"/>
          <w:szCs w:val="20"/>
          <w:color w:val="auto"/>
        </w:rPr>
      </w:pPr>
      <w:r>
        <w:rPr>
          <w:rFonts w:ascii="Arial" w:cs="Arial" w:eastAsia="Arial" w:hAnsi="Arial"/>
          <w:sz w:val="22"/>
          <w:szCs w:val="22"/>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239" w:lineRule="exact"/>
        <w:rPr>
          <w:sz w:val="20"/>
          <w:szCs w:val="20"/>
          <w:color w:val="auto"/>
        </w:rPr>
      </w:pPr>
    </w:p>
    <w:p>
      <w:pPr>
        <w:ind w:left="700" w:right="140"/>
        <w:spacing w:after="0" w:line="276" w:lineRule="auto"/>
        <w:rPr>
          <w:sz w:val="20"/>
          <w:szCs w:val="20"/>
          <w:color w:val="auto"/>
        </w:rPr>
      </w:pPr>
      <w:r>
        <w:rPr>
          <w:rFonts w:ascii="Arial" w:cs="Arial" w:eastAsia="Arial" w:hAnsi="Arial"/>
          <w:sz w:val="22"/>
          <w:szCs w:val="22"/>
          <w:color w:val="auto"/>
        </w:rPr>
        <w:t>Entitlement to the above benefits is conditioned upon the Company fulfilling the conditions stipulated by the Investment Law and regulations published thereunder.</w:t>
      </w:r>
    </w:p>
    <w:p>
      <w:pPr>
        <w:spacing w:after="0" w:line="228" w:lineRule="exact"/>
        <w:rPr>
          <w:sz w:val="20"/>
          <w:szCs w:val="20"/>
          <w:color w:val="auto"/>
        </w:rPr>
      </w:pPr>
    </w:p>
    <w:p>
      <w:pPr>
        <w:ind w:left="700"/>
        <w:spacing w:after="0" w:line="266" w:lineRule="auto"/>
        <w:rPr>
          <w:sz w:val="20"/>
          <w:szCs w:val="20"/>
          <w:color w:val="auto"/>
        </w:rPr>
      </w:pPr>
      <w:r>
        <w:rPr>
          <w:rFonts w:ascii="Arial" w:cs="Arial" w:eastAsia="Arial" w:hAnsi="Arial"/>
          <w:sz w:val="22"/>
          <w:szCs w:val="22"/>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239" w:lineRule="exact"/>
        <w:rPr>
          <w:sz w:val="20"/>
          <w:szCs w:val="20"/>
          <w:color w:val="auto"/>
        </w:rPr>
      </w:pPr>
    </w:p>
    <w:p>
      <w:pPr>
        <w:ind w:left="700" w:right="300"/>
        <w:spacing w:after="0" w:line="358" w:lineRule="auto"/>
        <w:rPr>
          <w:sz w:val="20"/>
          <w:szCs w:val="20"/>
          <w:color w:val="auto"/>
        </w:rPr>
      </w:pPr>
      <w:r>
        <w:rPr>
          <w:rFonts w:ascii="Arial" w:cs="Arial" w:eastAsia="Arial" w:hAnsi="Arial"/>
          <w:sz w:val="19"/>
          <w:szCs w:val="19"/>
          <w:color w:val="auto"/>
        </w:rPr>
        <w:t>The Investment Law was amended as part of the Economic Policy Law for the years 2011 – 2012 (the “Amendment”), which became effective on January 1, 2011 and was further amended in August 2013 and January 2017.</w:t>
      </w:r>
    </w:p>
    <w:p>
      <w:pPr>
        <w:spacing w:after="0" w:line="158" w:lineRule="exact"/>
        <w:rPr>
          <w:sz w:val="20"/>
          <w:szCs w:val="20"/>
          <w:color w:val="auto"/>
        </w:rPr>
      </w:pPr>
    </w:p>
    <w:p>
      <w:pPr>
        <w:ind w:left="700"/>
        <w:spacing w:after="0" w:line="304" w:lineRule="auto"/>
        <w:rPr>
          <w:sz w:val="20"/>
          <w:szCs w:val="20"/>
          <w:color w:val="auto"/>
        </w:rPr>
      </w:pPr>
      <w:r>
        <w:rPr>
          <w:rFonts w:ascii="Arial" w:cs="Arial" w:eastAsia="Arial" w:hAnsi="Arial"/>
          <w:sz w:val="19"/>
          <w:szCs w:val="19"/>
          <w:color w:val="auto"/>
        </w:rPr>
        <w:t>Under the 2017 Amendment, and provided the conditions stipulated therein are met, income derived by Preferred Companies from ‘Preferred Technological Enterprises’ (“PTE”) (as defined in the 2017 Amendment), would be subject to reduced corporate tax rates of 7.5% in Development Zone “A” and 12% elsewhere, or 6% in case of a ‘Special Preferred Technological Enterprise’ (“SPTE”) as defined in the 2017 Amendment) regardless of the company’s geographical location within Israel. A Preferred Company distributing dividends from income derived from its PTE or SPTE, would subject the recipient to a 20% tax (or lower, if so provided under an applicable tax treaty). The 2017 Amendment further provides that, in certain circumstances, a dividend distributed to a corporate shareholder who is not an Israeli resident for tax purposes would be subject to a 4% tax (inter alia, if the amount of foreign investors in the distributing company exceeds 90%). Such taxes would generally be withheld at source by the distributing company.</w:t>
      </w:r>
    </w:p>
    <w:p>
      <w:pPr>
        <w:sectPr>
          <w:pgSz w:w="11900" w:h="16838" w:orient="portrait"/>
          <w:cols w:equalWidth="0" w:num="1">
            <w:col w:w="11240"/>
          </w:cols>
          <w:pgMar w:left="320" w:top="126" w:right="339" w:bottom="485" w:gutter="0" w:footer="0" w:header="0"/>
        </w:sect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485" w:gutter="0" w:footer="0" w:header="0"/>
          <w:type w:val="continuous"/>
        </w:sectPr>
      </w:pPr>
    </w:p>
    <w:bookmarkStart w:id="177" w:name="page178"/>
    <w:bookmarkEnd w:id="177"/>
    <w:p>
      <w:pPr>
        <w:jc w:val="center"/>
        <w:ind w:right="-39"/>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 xml:space="preserve">NOTES TO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9 — TAXES ON INCOME (</w:t>
      </w:r>
      <w:r>
        <w:rPr>
          <w:rFonts w:ascii="Arial" w:cs="Arial" w:eastAsia="Arial" w:hAnsi="Arial"/>
          <w:sz w:val="22"/>
          <w:szCs w:val="22"/>
          <w:color w:val="auto"/>
        </w:rPr>
        <w:t>continued)</w:t>
      </w:r>
    </w:p>
    <w:p>
      <w:pPr>
        <w:spacing w:after="0" w:line="293" w:lineRule="exact"/>
        <w:rPr>
          <w:sz w:val="20"/>
          <w:szCs w:val="20"/>
          <w:color w:val="auto"/>
        </w:rPr>
      </w:pPr>
    </w:p>
    <w:p>
      <w:pPr>
        <w:ind w:left="700" w:right="80"/>
        <w:spacing w:after="0" w:line="300" w:lineRule="auto"/>
        <w:rPr>
          <w:sz w:val="20"/>
          <w:szCs w:val="20"/>
          <w:color w:val="auto"/>
        </w:rPr>
      </w:pPr>
      <w:r>
        <w:rPr>
          <w:rFonts w:ascii="Arial" w:cs="Arial" w:eastAsia="Arial" w:hAnsi="Arial"/>
          <w:sz w:val="19"/>
          <w:szCs w:val="19"/>
          <w:color w:val="auto"/>
        </w:rPr>
        <w:t>On June 14, 2017, the Encouragement of Capital Investments Regulations (Preferred Technology Income and Capital Profits for a Technological Enterprise), 2017 (the “Regulations”) were published, which adopted Action 5 under the base erosion and profit shifting (“BEPS”) regulations. The Regulations describe, inter alia, the mechanism used to determine the calculation of the benefits under the PTE and under the SPTE Regime and determine certain requirements relating to documentation of intellectual property for the purpose of the PTE. According to these provisions, a company that complies with the terms under the PTE regime may be entitled to certain tax benefits with respect to income generated during the company’s regular course of business and derived from the preferred intangible asset (as determined in the Investments Law), excluding income derived from intangible assets used for marketing and income attributed to production activity. In the event that intangible assets used for marketing purposes generate over 10% of the PTE’s income, the relevant portion, calculated using a transfer pricing study, would be subject to regular corporate income tax. If such income does not exceed 10%, the PTE will not be required to exclude the marketing income from the PTE’s total income. The Regulations set a presumption of direct production expenses plus 10% with respect to income related to production, which can be countered by the results of a supporting transfer pricing study. Tax rates applicable to such production income expenses will be similar to the tax rates under the Preferred Enterprise regime, to the extent such income would be considered as eligible. In order to calculate the preferred income, the PTE is required to take into account the income and the research and development expenses that are attributed to each single preferred intangible asset. Nevertheless, it should be noted that the transitional provisions allow companies to take into account the income and research and development expenses attributed to all of the preferred intangible assets they have.</w:t>
      </w:r>
    </w:p>
    <w:p>
      <w:pPr>
        <w:spacing w:after="0" w:line="214" w:lineRule="exact"/>
        <w:rPr>
          <w:sz w:val="20"/>
          <w:szCs w:val="20"/>
          <w:color w:val="auto"/>
        </w:rPr>
      </w:pPr>
    </w:p>
    <w:p>
      <w:pPr>
        <w:ind w:left="700" w:right="40"/>
        <w:spacing w:after="0" w:line="317" w:lineRule="auto"/>
        <w:rPr>
          <w:sz w:val="20"/>
          <w:szCs w:val="20"/>
          <w:color w:val="auto"/>
        </w:rPr>
      </w:pPr>
      <w:r>
        <w:rPr>
          <w:rFonts w:ascii="Arial" w:cs="Arial" w:eastAsia="Arial" w:hAnsi="Arial"/>
          <w:sz w:val="19"/>
          <w:szCs w:val="19"/>
          <w:color w:val="auto"/>
        </w:rPr>
        <w:t>Under the transitional provisions of the law, a company is allowed to continue to enjoy the tax benefits available under the law prior to its amendment until the end of the period of benefits, as defined in the law. In each year during the period of benefits as a Benefited Enterprise, the Company will be able to opt for application of the amendment, thereby making available the tax rates discussed above. The Company’s election to apply the amendment is irrecoverable.</w:t>
      </w:r>
    </w:p>
    <w:p>
      <w:pPr>
        <w:spacing w:after="0" w:line="196" w:lineRule="exact"/>
        <w:rPr>
          <w:sz w:val="20"/>
          <w:szCs w:val="20"/>
          <w:color w:val="auto"/>
        </w:rPr>
      </w:pPr>
    </w:p>
    <w:p>
      <w:pPr>
        <w:ind w:left="700"/>
        <w:spacing w:after="0"/>
        <w:rPr>
          <w:sz w:val="20"/>
          <w:szCs w:val="20"/>
          <w:color w:val="auto"/>
        </w:rPr>
      </w:pPr>
      <w:r>
        <w:rPr>
          <w:rFonts w:ascii="Arial" w:cs="Arial" w:eastAsia="Arial" w:hAnsi="Arial"/>
          <w:sz w:val="21"/>
          <w:szCs w:val="21"/>
          <w:color w:val="auto"/>
        </w:rPr>
        <w:t>As of December 31, 2019, the Company’s management decided not to adopt the application of the Amendment.</w:t>
      </w:r>
    </w:p>
    <w:p>
      <w:pPr>
        <w:spacing w:after="0" w:line="299" w:lineRule="exact"/>
        <w:rPr>
          <w:sz w:val="20"/>
          <w:szCs w:val="20"/>
          <w:color w:val="auto"/>
        </w:rPr>
      </w:pPr>
    </w:p>
    <w:p>
      <w:pPr>
        <w:ind w:left="700"/>
        <w:spacing w:after="0" w:line="276" w:lineRule="auto"/>
        <w:rPr>
          <w:sz w:val="20"/>
          <w:szCs w:val="20"/>
          <w:color w:val="auto"/>
        </w:rPr>
      </w:pPr>
      <w:r>
        <w:rPr>
          <w:rFonts w:ascii="Arial" w:cs="Arial" w:eastAsia="Arial" w:hAnsi="Arial"/>
          <w:sz w:val="22"/>
          <w:szCs w:val="22"/>
          <w:color w:val="auto"/>
        </w:rPr>
        <w:t>There is no assurance that future taxable income of the Company will qualify as Benefited or Preferred income or that the benefits described above will be available to the Company in the future.</w:t>
      </w:r>
    </w:p>
    <w:p>
      <w:pPr>
        <w:spacing w:after="0" w:line="218" w:lineRule="exact"/>
        <w:rPr>
          <w:sz w:val="20"/>
          <w:szCs w:val="20"/>
          <w:color w:val="auto"/>
        </w:rPr>
      </w:pPr>
    </w:p>
    <w:p>
      <w:pPr>
        <w:ind w:left="360"/>
        <w:spacing w:after="0"/>
        <w:tabs>
          <w:tab w:leader="none" w:pos="660" w:val="left"/>
        </w:tabs>
        <w:rPr>
          <w:sz w:val="20"/>
          <w:szCs w:val="20"/>
          <w:color w:val="auto"/>
        </w:rPr>
      </w:pPr>
      <w:r>
        <w:rPr>
          <w:rFonts w:ascii="Arial" w:cs="Arial" w:eastAsia="Arial" w:hAnsi="Arial"/>
          <w:sz w:val="18"/>
          <w:szCs w:val="18"/>
          <w:b w:val="1"/>
          <w:bCs w:val="1"/>
          <w:color w:val="auto"/>
        </w:rPr>
        <w:t>d.</w:t>
      </w:r>
      <w:r>
        <w:rPr>
          <w:sz w:val="20"/>
          <w:szCs w:val="20"/>
          <w:color w:val="auto"/>
        </w:rPr>
        <w:tab/>
      </w:r>
      <w:r>
        <w:rPr>
          <w:rFonts w:ascii="Arial" w:cs="Arial" w:eastAsia="Arial" w:hAnsi="Arial"/>
          <w:sz w:val="13"/>
          <w:szCs w:val="13"/>
          <w:b w:val="1"/>
          <w:bCs w:val="1"/>
          <w:color w:val="auto"/>
        </w:rPr>
        <w:t>Tax assessments</w:t>
      </w:r>
    </w:p>
    <w:p>
      <w:pPr>
        <w:spacing w:after="0" w:line="289" w:lineRule="exact"/>
        <w:rPr>
          <w:sz w:val="20"/>
          <w:szCs w:val="20"/>
          <w:color w:val="auto"/>
        </w:rPr>
      </w:pPr>
    </w:p>
    <w:p>
      <w:pPr>
        <w:ind w:left="700"/>
        <w:spacing w:after="0"/>
        <w:rPr>
          <w:sz w:val="20"/>
          <w:szCs w:val="20"/>
          <w:color w:val="auto"/>
        </w:rPr>
      </w:pPr>
      <w:r>
        <w:rPr>
          <w:rFonts w:ascii="Arial" w:cs="Arial" w:eastAsia="Arial" w:hAnsi="Arial"/>
          <w:sz w:val="22"/>
          <w:szCs w:val="22"/>
          <w:color w:val="auto"/>
        </w:rPr>
        <w:t>Tax assessments filed by the Company through the year 2014 are considered to be final.</w:t>
      </w:r>
    </w:p>
    <w:p>
      <w:pPr>
        <w:spacing w:after="0" w:line="200" w:lineRule="exact"/>
        <w:rPr>
          <w:sz w:val="20"/>
          <w:szCs w:val="20"/>
          <w:color w:val="auto"/>
        </w:rPr>
      </w:pPr>
    </w:p>
    <w:p>
      <w:pPr>
        <w:spacing w:after="0" w:line="263"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26" w:right="359" w:bottom="1440" w:gutter="0" w:footer="0" w:header="0"/>
        </w:sectPr>
      </w:pPr>
    </w:p>
    <w:bookmarkStart w:id="178" w:name="page179"/>
    <w:bookmarkEnd w:id="178"/>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9 — TAXES ON INCOME (</w:t>
      </w:r>
      <w:r>
        <w:rPr>
          <w:rFonts w:ascii="Arial" w:cs="Arial" w:eastAsia="Arial" w:hAnsi="Arial"/>
          <w:sz w:val="22"/>
          <w:szCs w:val="22"/>
          <w:color w:val="auto"/>
        </w:rPr>
        <w:t>continued)</w:t>
      </w:r>
    </w:p>
    <w:p>
      <w:pPr>
        <w:spacing w:after="0" w:line="283" w:lineRule="exact"/>
        <w:rPr>
          <w:sz w:val="20"/>
          <w:szCs w:val="20"/>
          <w:color w:val="auto"/>
        </w:rPr>
      </w:pPr>
    </w:p>
    <w:p>
      <w:pPr>
        <w:ind w:left="680" w:hanging="321"/>
        <w:spacing w:after="0"/>
        <w:tabs>
          <w:tab w:leader="none" w:pos="680" w:val="left"/>
        </w:tabs>
        <w:numPr>
          <w:ilvl w:val="0"/>
          <w:numId w:val="167"/>
        </w:numPr>
        <w:rPr>
          <w:rFonts w:ascii="Arial" w:cs="Arial" w:eastAsia="Arial" w:hAnsi="Arial"/>
          <w:sz w:val="18"/>
          <w:szCs w:val="18"/>
          <w:b w:val="1"/>
          <w:bCs w:val="1"/>
          <w:color w:val="auto"/>
        </w:rPr>
      </w:pPr>
      <w:r>
        <w:rPr>
          <w:rFonts w:ascii="Arial" w:cs="Arial" w:eastAsia="Arial" w:hAnsi="Arial"/>
          <w:sz w:val="18"/>
          <w:szCs w:val="18"/>
          <w:b w:val="1"/>
          <w:bCs w:val="1"/>
          <w:color w:val="auto"/>
        </w:rPr>
        <w:t>Losses for tax purposes carried forward to future years</w:t>
      </w:r>
    </w:p>
    <w:p>
      <w:pPr>
        <w:spacing w:after="0" w:line="289" w:lineRule="exact"/>
        <w:rPr>
          <w:sz w:val="20"/>
          <w:szCs w:val="20"/>
          <w:color w:val="auto"/>
        </w:rPr>
      </w:pPr>
    </w:p>
    <w:p>
      <w:pPr>
        <w:ind w:left="700" w:right="500"/>
        <w:spacing w:after="0" w:line="276" w:lineRule="auto"/>
        <w:rPr>
          <w:sz w:val="20"/>
          <w:szCs w:val="20"/>
          <w:color w:val="auto"/>
        </w:rPr>
      </w:pPr>
      <w:r>
        <w:rPr>
          <w:rFonts w:ascii="Arial" w:cs="Arial" w:eastAsia="Arial" w:hAnsi="Arial"/>
          <w:sz w:val="22"/>
          <w:szCs w:val="22"/>
          <w:color w:val="auto"/>
        </w:rPr>
        <w:t>As of December 31, 2019, the Company had approximately $112.5 million of net carry forward tax losses which are available to reduce future taxable income with no limited period of use.</w:t>
      </w:r>
    </w:p>
    <w:p>
      <w:pPr>
        <w:spacing w:after="0" w:line="218" w:lineRule="exact"/>
        <w:rPr>
          <w:sz w:val="20"/>
          <w:szCs w:val="20"/>
          <w:color w:val="auto"/>
        </w:rPr>
      </w:pPr>
    </w:p>
    <w:tbl>
      <w:tblPr>
        <w:tblLayout w:type="fixed"/>
        <w:tblInd w:w="360" w:type="dxa"/>
        <w:tblCellMar>
          <w:top w:w="0" w:type="dxa"/>
          <w:left w:w="0" w:type="dxa"/>
          <w:bottom w:w="0" w:type="dxa"/>
          <w:right w:w="0" w:type="dxa"/>
        </w:tblCellMar>
      </w:tblPr>
      <w:tr>
        <w:trPr>
          <w:trHeight w:val="234"/>
        </w:trPr>
        <w:tc>
          <w:tcPr>
            <w:tcW w:w="8520" w:type="dxa"/>
            <w:vAlign w:val="bottom"/>
            <w:gridSpan w:val="2"/>
          </w:tcPr>
          <w:p>
            <w:pPr>
              <w:spacing w:after="0"/>
              <w:rPr>
                <w:sz w:val="20"/>
                <w:szCs w:val="20"/>
                <w:color w:val="auto"/>
              </w:rPr>
            </w:pPr>
            <w:r>
              <w:rPr>
                <w:rFonts w:ascii="Arial" w:cs="Arial" w:eastAsia="Arial" w:hAnsi="Arial"/>
                <w:sz w:val="18"/>
                <w:szCs w:val="18"/>
                <w:b w:val="1"/>
                <w:bCs w:val="1"/>
                <w:color w:val="auto"/>
              </w:rPr>
              <w:t>f.  Deferred income taxes:</w:t>
            </w: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3"/>
        </w:trPr>
        <w:tc>
          <w:tcPr>
            <w:tcW w:w="56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140" w:type="dxa"/>
            <w:vAlign w:val="bottom"/>
            <w:gridSpan w:val="5"/>
          </w:tcPr>
          <w:p>
            <w:pPr>
              <w:jc w:val="right"/>
              <w:ind w:right="72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560" w:type="dxa"/>
            <w:vAlign w:val="bottom"/>
          </w:tcPr>
          <w:p>
            <w:pPr>
              <w:spacing w:after="0"/>
              <w:rPr>
                <w:sz w:val="19"/>
                <w:szCs w:val="19"/>
                <w:color w:val="auto"/>
              </w:rPr>
            </w:pPr>
          </w:p>
        </w:tc>
        <w:tc>
          <w:tcPr>
            <w:tcW w:w="79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22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7960" w:type="dxa"/>
            <w:vAlign w:val="bottom"/>
            <w:shd w:val="clear" w:color="auto" w:fill="CCEEFF"/>
          </w:tcPr>
          <w:p>
            <w:pPr>
              <w:spacing w:after="0"/>
              <w:rPr>
                <w:sz w:val="20"/>
                <w:szCs w:val="20"/>
                <w:color w:val="auto"/>
              </w:rPr>
            </w:pPr>
            <w:r>
              <w:rPr>
                <w:rFonts w:ascii="Arial" w:cs="Arial" w:eastAsia="Arial" w:hAnsi="Arial"/>
                <w:sz w:val="18"/>
                <w:szCs w:val="18"/>
                <w:color w:val="auto"/>
              </w:rPr>
              <w:t>In respect of:</w:t>
            </w: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7960" w:type="dxa"/>
            <w:vAlign w:val="bottom"/>
          </w:tcPr>
          <w:p>
            <w:pPr>
              <w:spacing w:after="0"/>
              <w:rPr>
                <w:sz w:val="20"/>
                <w:szCs w:val="20"/>
                <w:color w:val="auto"/>
              </w:rPr>
            </w:pPr>
            <w:r>
              <w:rPr>
                <w:rFonts w:ascii="Arial" w:cs="Arial" w:eastAsia="Arial" w:hAnsi="Arial"/>
                <w:sz w:val="18"/>
                <w:szCs w:val="18"/>
                <w:color w:val="auto"/>
              </w:rPr>
              <w:t>Net operating loss carry forward</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19,670</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25,879</w:t>
            </w: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796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 expenses</w:t>
            </w: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5,094</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7,842</w:t>
            </w: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7960" w:type="dxa"/>
            <w:vAlign w:val="bottom"/>
          </w:tcPr>
          <w:p>
            <w:pPr>
              <w:spacing w:after="0"/>
              <w:rPr>
                <w:sz w:val="20"/>
                <w:szCs w:val="20"/>
                <w:color w:val="auto"/>
              </w:rPr>
            </w:pPr>
            <w:r>
              <w:rPr>
                <w:rFonts w:ascii="Arial" w:cs="Arial" w:eastAsia="Arial" w:hAnsi="Arial"/>
                <w:sz w:val="18"/>
                <w:szCs w:val="18"/>
                <w:color w:val="auto"/>
              </w:rPr>
              <w:t>Other</w:t>
            </w: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1,402</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1,226</w:t>
            </w: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7960" w:type="dxa"/>
            <w:vAlign w:val="bottom"/>
            <w:shd w:val="clear" w:color="auto" w:fill="CCEEFF"/>
          </w:tcPr>
          <w:p>
            <w:pPr>
              <w:spacing w:after="0"/>
              <w:rPr>
                <w:sz w:val="20"/>
                <w:szCs w:val="20"/>
                <w:color w:val="auto"/>
              </w:rPr>
            </w:pPr>
            <w:r>
              <w:rPr>
                <w:rFonts w:ascii="Arial" w:cs="Arial" w:eastAsia="Arial" w:hAnsi="Arial"/>
                <w:sz w:val="18"/>
                <w:szCs w:val="18"/>
                <w:color w:val="auto"/>
              </w:rPr>
              <w:t>Less – valuation allowance</w:t>
            </w:r>
          </w:p>
        </w:tc>
        <w:tc>
          <w:tcPr>
            <w:tcW w:w="2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(26,166)</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(34,947)</w:t>
            </w:r>
          </w:p>
        </w:tc>
        <w:tc>
          <w:tcPr>
            <w:tcW w:w="0" w:type="dxa"/>
            <w:vAlign w:val="bottom"/>
          </w:tcPr>
          <w:p>
            <w:pPr>
              <w:spacing w:after="0"/>
              <w:rPr>
                <w:sz w:val="1"/>
                <w:szCs w:val="1"/>
                <w:color w:val="auto"/>
              </w:rPr>
            </w:pPr>
          </w:p>
        </w:tc>
      </w:tr>
      <w:tr>
        <w:trPr>
          <w:trHeight w:val="27"/>
        </w:trPr>
        <w:tc>
          <w:tcPr>
            <w:tcW w:w="560" w:type="dxa"/>
            <w:vAlign w:val="bottom"/>
            <w:vMerge w:val="restart"/>
          </w:tcPr>
          <w:p>
            <w:pPr>
              <w:spacing w:after="0"/>
              <w:rPr>
                <w:sz w:val="2"/>
                <w:szCs w:val="2"/>
                <w:color w:val="auto"/>
              </w:rPr>
            </w:pPr>
          </w:p>
        </w:tc>
        <w:tc>
          <w:tcPr>
            <w:tcW w:w="796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60" w:type="dxa"/>
            <w:vAlign w:val="bottom"/>
            <w:vMerge w:val="continue"/>
          </w:tcPr>
          <w:p>
            <w:pPr>
              <w:spacing w:after="0"/>
              <w:rPr>
                <w:sz w:val="18"/>
                <w:szCs w:val="18"/>
                <w:color w:val="auto"/>
              </w:rPr>
            </w:pPr>
          </w:p>
        </w:tc>
        <w:tc>
          <w:tcPr>
            <w:tcW w:w="7960" w:type="dxa"/>
            <w:vAlign w:val="bottom"/>
          </w:tcPr>
          <w:p>
            <w:pPr>
              <w:spacing w:after="0"/>
              <w:rPr>
                <w:sz w:val="20"/>
                <w:szCs w:val="20"/>
                <w:color w:val="auto"/>
              </w:rPr>
            </w:pPr>
            <w:r>
              <w:rPr>
                <w:rFonts w:ascii="Arial" w:cs="Arial" w:eastAsia="Arial" w:hAnsi="Arial"/>
                <w:sz w:val="18"/>
                <w:szCs w:val="18"/>
                <w:color w:val="auto"/>
              </w:rPr>
              <w:t>Net deferred tax assets</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79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52" w:lineRule="exact"/>
        <w:rPr>
          <w:sz w:val="20"/>
          <w:szCs w:val="20"/>
          <w:color w:val="auto"/>
        </w:rPr>
      </w:pPr>
    </w:p>
    <w:p>
      <w:pPr>
        <w:ind w:left="680" w:hanging="321"/>
        <w:spacing w:after="0"/>
        <w:tabs>
          <w:tab w:leader="none" w:pos="680" w:val="left"/>
        </w:tabs>
        <w:numPr>
          <w:ilvl w:val="0"/>
          <w:numId w:val="168"/>
        </w:numPr>
        <w:rPr>
          <w:rFonts w:ascii="Arial" w:cs="Arial" w:eastAsia="Arial" w:hAnsi="Arial"/>
          <w:sz w:val="18"/>
          <w:szCs w:val="18"/>
          <w:b w:val="1"/>
          <w:bCs w:val="1"/>
          <w:color w:val="auto"/>
        </w:rPr>
      </w:pPr>
      <w:r>
        <w:rPr>
          <w:rFonts w:ascii="Arial" w:cs="Arial" w:eastAsia="Arial" w:hAnsi="Arial"/>
          <w:sz w:val="18"/>
          <w:szCs w:val="18"/>
          <w:b w:val="1"/>
          <w:bCs w:val="1"/>
          <w:color w:val="auto"/>
        </w:rPr>
        <w:t>Reconciliation of theoretical tax expenses to actual expenses</w:t>
      </w:r>
    </w:p>
    <w:p>
      <w:pPr>
        <w:spacing w:after="0" w:line="289" w:lineRule="exact"/>
        <w:rPr>
          <w:sz w:val="20"/>
          <w:szCs w:val="20"/>
          <w:color w:val="auto"/>
        </w:rPr>
      </w:pPr>
    </w:p>
    <w:p>
      <w:pPr>
        <w:jc w:val="both"/>
        <w:ind w:left="700" w:right="140"/>
        <w:spacing w:after="0" w:line="266" w:lineRule="auto"/>
        <w:rPr>
          <w:sz w:val="20"/>
          <w:szCs w:val="20"/>
          <w:color w:val="auto"/>
        </w:rPr>
      </w:pPr>
      <w:r>
        <w:rPr>
          <w:rFonts w:ascii="Arial" w:cs="Arial" w:eastAsia="Arial" w:hAnsi="Arial"/>
          <w:sz w:val="22"/>
          <w:szCs w:val="22"/>
          <w:color w:val="auto"/>
        </w:rPr>
        <w:t>Actual tax expenses are in respect of the U.S. subsidiary. The primary reconciling items between the statutory tax rate of the Company and the effective rate are the full valuation allowance of deferred tax assets and nondeductible expenses in relation to the operations in Israel.</w:t>
      </w:r>
    </w:p>
    <w:p>
      <w:pPr>
        <w:spacing w:after="0" w:line="229" w:lineRule="exact"/>
        <w:rPr>
          <w:sz w:val="20"/>
          <w:szCs w:val="20"/>
          <w:color w:val="auto"/>
        </w:rPr>
      </w:pPr>
    </w:p>
    <w:tbl>
      <w:tblPr>
        <w:tblLayout w:type="fixed"/>
        <w:tblInd w:w="360" w:type="dxa"/>
        <w:tblCellMar>
          <w:top w:w="0" w:type="dxa"/>
          <w:left w:w="0" w:type="dxa"/>
          <w:bottom w:w="0" w:type="dxa"/>
          <w:right w:w="0" w:type="dxa"/>
        </w:tblCellMar>
      </w:tblPr>
      <w:tr>
        <w:trPr>
          <w:trHeight w:val="234"/>
        </w:trPr>
        <w:tc>
          <w:tcPr>
            <w:tcW w:w="6040" w:type="dxa"/>
            <w:vAlign w:val="bottom"/>
            <w:gridSpan w:val="2"/>
          </w:tcPr>
          <w:p>
            <w:pPr>
              <w:spacing w:after="0"/>
              <w:rPr>
                <w:sz w:val="20"/>
                <w:szCs w:val="20"/>
                <w:color w:val="auto"/>
              </w:rPr>
            </w:pPr>
            <w:r>
              <w:rPr>
                <w:rFonts w:ascii="Arial" w:cs="Arial" w:eastAsia="Arial" w:hAnsi="Arial"/>
                <w:sz w:val="18"/>
                <w:szCs w:val="18"/>
                <w:b w:val="1"/>
                <w:bCs w:val="1"/>
                <w:color w:val="auto"/>
              </w:rPr>
              <w:t>h.  Roll forward of valuation allowance</w:t>
            </w:r>
          </w:p>
        </w:tc>
        <w:tc>
          <w:tcPr>
            <w:tcW w:w="29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00" w:type="dxa"/>
            <w:vAlign w:val="bottom"/>
            <w:vMerge w:val="restart"/>
          </w:tcPr>
          <w:p>
            <w:pPr>
              <w:spacing w:after="0"/>
              <w:rPr>
                <w:sz w:val="23"/>
                <w:szCs w:val="23"/>
                <w:color w:val="auto"/>
              </w:rPr>
            </w:pPr>
          </w:p>
        </w:tc>
        <w:tc>
          <w:tcPr>
            <w:tcW w:w="554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500" w:type="dxa"/>
            <w:vAlign w:val="bottom"/>
            <w:vMerge w:val="continue"/>
          </w:tcPr>
          <w:p>
            <w:pPr>
              <w:spacing w:after="0"/>
              <w:rPr>
                <w:sz w:val="18"/>
                <w:szCs w:val="18"/>
                <w:color w:val="auto"/>
              </w:rPr>
            </w:pPr>
          </w:p>
        </w:tc>
        <w:tc>
          <w:tcPr>
            <w:tcW w:w="5540" w:type="dxa"/>
            <w:vAlign w:val="bottom"/>
            <w:shd w:val="clear" w:color="auto" w:fill="CCEEFF"/>
          </w:tcPr>
          <w:p>
            <w:pPr>
              <w:spacing w:after="0"/>
              <w:rPr>
                <w:sz w:val="20"/>
                <w:szCs w:val="20"/>
                <w:color w:val="auto"/>
              </w:rPr>
            </w:pPr>
            <w:r>
              <w:rPr>
                <w:rFonts w:ascii="Arial" w:cs="Arial" w:eastAsia="Arial" w:hAnsi="Arial"/>
                <w:sz w:val="18"/>
                <w:szCs w:val="18"/>
                <w:color w:val="auto"/>
              </w:rPr>
              <w:t>Balance at January 1, 2017</w:t>
            </w:r>
          </w:p>
        </w:tc>
        <w:tc>
          <w:tcPr>
            <w:tcW w:w="3220" w:type="dxa"/>
            <w:vAlign w:val="bottom"/>
            <w:gridSpan w:val="2"/>
            <w:shd w:val="clear" w:color="auto" w:fill="CCEEFF"/>
          </w:tcPr>
          <w:p>
            <w:pPr>
              <w:jc w:val="right"/>
              <w:ind w:right="107"/>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13,999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00" w:type="dxa"/>
            <w:vAlign w:val="bottom"/>
          </w:tcPr>
          <w:p>
            <w:pPr>
              <w:spacing w:after="0"/>
              <w:rPr>
                <w:sz w:val="19"/>
                <w:szCs w:val="19"/>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Additions</w:t>
            </w: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7,983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00" w:type="dxa"/>
            <w:vAlign w:val="bottom"/>
          </w:tcPr>
          <w:p>
            <w:pPr>
              <w:spacing w:after="0"/>
              <w:rPr>
                <w:sz w:val="18"/>
                <w:szCs w:val="18"/>
                <w:color w:val="auto"/>
              </w:rPr>
            </w:pPr>
          </w:p>
        </w:tc>
        <w:tc>
          <w:tcPr>
            <w:tcW w:w="5540" w:type="dxa"/>
            <w:vAlign w:val="bottom"/>
            <w:shd w:val="clear" w:color="auto" w:fill="CCEEFF"/>
          </w:tcPr>
          <w:p>
            <w:pPr>
              <w:spacing w:after="0"/>
              <w:rPr>
                <w:sz w:val="20"/>
                <w:szCs w:val="20"/>
                <w:color w:val="auto"/>
              </w:rPr>
            </w:pPr>
            <w:r>
              <w:rPr>
                <w:rFonts w:ascii="Arial" w:cs="Arial" w:eastAsia="Arial" w:hAnsi="Arial"/>
                <w:sz w:val="18"/>
                <w:szCs w:val="18"/>
                <w:color w:val="auto"/>
              </w:rPr>
              <w:t>Balance at December 31, 2017</w:t>
            </w:r>
          </w:p>
        </w:tc>
        <w:tc>
          <w:tcPr>
            <w:tcW w:w="296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21,982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00" w:type="dxa"/>
            <w:vAlign w:val="bottom"/>
          </w:tcPr>
          <w:p>
            <w:pPr>
              <w:spacing w:after="0"/>
              <w:rPr>
                <w:sz w:val="19"/>
                <w:szCs w:val="19"/>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Additions</w:t>
            </w: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4,184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00" w:type="dxa"/>
            <w:vAlign w:val="bottom"/>
          </w:tcPr>
          <w:p>
            <w:pPr>
              <w:spacing w:after="0"/>
              <w:rPr>
                <w:sz w:val="19"/>
                <w:szCs w:val="19"/>
                <w:color w:val="auto"/>
              </w:rPr>
            </w:pPr>
          </w:p>
        </w:tc>
        <w:tc>
          <w:tcPr>
            <w:tcW w:w="5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2018</w:t>
            </w:r>
          </w:p>
        </w:tc>
        <w:tc>
          <w:tcPr>
            <w:tcW w:w="296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26,166</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00" w:type="dxa"/>
            <w:vAlign w:val="bottom"/>
          </w:tcPr>
          <w:p>
            <w:pPr>
              <w:spacing w:after="0"/>
              <w:rPr>
                <w:sz w:val="19"/>
                <w:szCs w:val="19"/>
                <w:color w:val="auto"/>
              </w:rPr>
            </w:pPr>
          </w:p>
        </w:tc>
        <w:tc>
          <w:tcPr>
            <w:tcW w:w="5540" w:type="dxa"/>
            <w:vAlign w:val="bottom"/>
          </w:tcPr>
          <w:p>
            <w:pPr>
              <w:spacing w:after="0"/>
              <w:rPr>
                <w:sz w:val="20"/>
                <w:szCs w:val="20"/>
                <w:color w:val="auto"/>
              </w:rPr>
            </w:pPr>
            <w:r>
              <w:rPr>
                <w:rFonts w:ascii="Arial" w:cs="Arial" w:eastAsia="Arial" w:hAnsi="Arial"/>
                <w:sz w:val="18"/>
                <w:szCs w:val="18"/>
                <w:color w:val="auto"/>
              </w:rPr>
              <w:t>Additions</w:t>
            </w:r>
          </w:p>
        </w:tc>
        <w:tc>
          <w:tcPr>
            <w:tcW w:w="29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500" w:type="dxa"/>
            <w:vAlign w:val="bottom"/>
          </w:tcPr>
          <w:p>
            <w:pPr>
              <w:spacing w:after="0"/>
              <w:rPr>
                <w:sz w:val="22"/>
                <w:szCs w:val="22"/>
                <w:color w:val="auto"/>
              </w:rPr>
            </w:pPr>
          </w:p>
        </w:tc>
        <w:tc>
          <w:tcPr>
            <w:tcW w:w="5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2019</w:t>
            </w:r>
          </w:p>
        </w:tc>
        <w:tc>
          <w:tcPr>
            <w:tcW w:w="296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34,947</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52" w:lineRule="exact"/>
        <w:rPr>
          <w:sz w:val="20"/>
          <w:szCs w:val="20"/>
          <w:color w:val="auto"/>
        </w:rPr>
      </w:pPr>
    </w:p>
    <w:p>
      <w:pPr>
        <w:ind w:left="680" w:hanging="321"/>
        <w:spacing w:after="0"/>
        <w:tabs>
          <w:tab w:leader="none" w:pos="680" w:val="left"/>
        </w:tabs>
        <w:numPr>
          <w:ilvl w:val="0"/>
          <w:numId w:val="169"/>
        </w:numPr>
        <w:rPr>
          <w:rFonts w:ascii="Arial" w:cs="Arial" w:eastAsia="Arial" w:hAnsi="Arial"/>
          <w:sz w:val="18"/>
          <w:szCs w:val="18"/>
          <w:b w:val="1"/>
          <w:bCs w:val="1"/>
          <w:color w:val="auto"/>
        </w:rPr>
      </w:pPr>
      <w:r>
        <w:rPr>
          <w:rFonts w:ascii="Arial" w:cs="Arial" w:eastAsia="Arial" w:hAnsi="Arial"/>
          <w:sz w:val="18"/>
          <w:szCs w:val="18"/>
          <w:b w:val="1"/>
          <w:bCs w:val="1"/>
          <w:color w:val="auto"/>
        </w:rPr>
        <w:t>Provision for uncertain tax positions</w:t>
      </w:r>
    </w:p>
    <w:p>
      <w:pPr>
        <w:spacing w:after="0" w:line="289" w:lineRule="exact"/>
        <w:rPr>
          <w:sz w:val="20"/>
          <w:szCs w:val="20"/>
          <w:color w:val="auto"/>
        </w:rPr>
      </w:pPr>
    </w:p>
    <w:p>
      <w:pPr>
        <w:ind w:left="700"/>
        <w:spacing w:after="0"/>
        <w:rPr>
          <w:sz w:val="20"/>
          <w:szCs w:val="20"/>
          <w:color w:val="auto"/>
        </w:rPr>
      </w:pPr>
      <w:r>
        <w:rPr>
          <w:rFonts w:ascii="Arial" w:cs="Arial" w:eastAsia="Arial" w:hAnsi="Arial"/>
          <w:sz w:val="22"/>
          <w:szCs w:val="22"/>
          <w:color w:val="auto"/>
        </w:rPr>
        <w:t>As of December 31, 2018, and 2019, the Company does not have a provision for uncertain tax positions.</w:t>
      </w: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132320" cy="171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79" w:name="page180"/>
    <w:bookmarkEnd w:id="179"/>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 xml:space="preserve">NOTES TO THE CONSOLIDATED FINANCIAL STATEMENTS </w:t>
      </w:r>
      <w:r>
        <w:rPr>
          <w:rFonts w:ascii="Arial" w:cs="Arial" w:eastAsia="Arial" w:hAnsi="Arial"/>
          <w:sz w:val="22"/>
          <w:szCs w:val="22"/>
          <w:color w:val="auto"/>
        </w:rPr>
        <w:t>(continued)</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(U.S. dollars in thousands, except share and per share amounts)</w:t>
      </w:r>
    </w:p>
    <w:p>
      <w:pPr>
        <w:spacing w:after="0" w:line="27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10 —  SUPPLEMENTARY FINANCIAL STATEMENT INFORMATION</w:t>
      </w:r>
    </w:p>
    <w:p>
      <w:pPr>
        <w:spacing w:after="0" w:line="293" w:lineRule="exact"/>
        <w:rPr>
          <w:sz w:val="20"/>
          <w:szCs w:val="20"/>
          <w:color w:val="auto"/>
        </w:rPr>
      </w:pPr>
    </w:p>
    <w:p>
      <w:pPr>
        <w:ind w:left="360"/>
        <w:spacing w:after="0"/>
        <w:rPr>
          <w:sz w:val="20"/>
          <w:szCs w:val="20"/>
          <w:color w:val="auto"/>
        </w:rPr>
      </w:pPr>
      <w:r>
        <w:rPr>
          <w:rFonts w:ascii="Arial" w:cs="Arial" w:eastAsia="Arial" w:hAnsi="Arial"/>
          <w:sz w:val="22"/>
          <w:szCs w:val="22"/>
          <w:color w:val="auto"/>
        </w:rPr>
        <w:t>Other accounts payables and accruals</w:t>
      </w:r>
    </w:p>
    <w:p>
      <w:pPr>
        <w:spacing w:after="0" w:line="277" w:lineRule="exact"/>
        <w:rPr>
          <w:sz w:val="20"/>
          <w:szCs w:val="20"/>
          <w:color w:val="auto"/>
        </w:rPr>
      </w:pPr>
    </w:p>
    <w:tbl>
      <w:tblPr>
        <w:tblLayout w:type="fixed"/>
        <w:tblInd w:w="580" w:type="dxa"/>
        <w:tblCellMar>
          <w:top w:w="0" w:type="dxa"/>
          <w:left w:w="0" w:type="dxa"/>
          <w:bottom w:w="0" w:type="dxa"/>
          <w:right w:w="0" w:type="dxa"/>
        </w:tblCellMar>
      </w:tblPr>
      <w:tr>
        <w:trPr>
          <w:trHeight w:val="241"/>
        </w:trPr>
        <w:tc>
          <w:tcPr>
            <w:tcW w:w="8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20" w:type="dxa"/>
            <w:vAlign w:val="bottom"/>
            <w:gridSpan w:val="5"/>
          </w:tcPr>
          <w:p>
            <w:pPr>
              <w:jc w:val="right"/>
              <w:ind w:right="76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82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2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9"/>
                <w:szCs w:val="19"/>
                <w:color w:val="auto"/>
              </w:rPr>
            </w:pPr>
          </w:p>
        </w:tc>
      </w:tr>
      <w:tr>
        <w:trPr>
          <w:trHeight w:val="216"/>
        </w:trPr>
        <w:tc>
          <w:tcPr>
            <w:tcW w:w="8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920" w:type="dxa"/>
            <w:vAlign w:val="bottom"/>
            <w:gridSpan w:val="2"/>
          </w:tcPr>
          <w:p>
            <w:pPr>
              <w:spacing w:after="0"/>
              <w:rPr>
                <w:sz w:val="18"/>
                <w:szCs w:val="18"/>
                <w:color w:val="auto"/>
              </w:rPr>
            </w:pP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Accrued expenses</w:t>
            </w: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1,031</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3,249</w:t>
            </w:r>
          </w:p>
        </w:tc>
      </w:tr>
      <w:tr>
        <w:trPr>
          <w:trHeight w:val="216"/>
        </w:trPr>
        <w:tc>
          <w:tcPr>
            <w:tcW w:w="8220" w:type="dxa"/>
            <w:vAlign w:val="bottom"/>
          </w:tcPr>
          <w:p>
            <w:pPr>
              <w:spacing w:after="0"/>
              <w:rPr>
                <w:sz w:val="20"/>
                <w:szCs w:val="20"/>
                <w:color w:val="auto"/>
              </w:rPr>
            </w:pPr>
            <w:r>
              <w:rPr>
                <w:rFonts w:ascii="Arial" w:cs="Arial" w:eastAsia="Arial" w:hAnsi="Arial"/>
                <w:sz w:val="18"/>
                <w:szCs w:val="18"/>
                <w:color w:val="auto"/>
              </w:rPr>
              <w:t>Employees payables</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897</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841</w:t>
            </w:r>
          </w:p>
        </w:tc>
      </w:tr>
      <w:tr>
        <w:trPr>
          <w:trHeight w:val="216"/>
        </w:trPr>
        <w:tc>
          <w:tcPr>
            <w:tcW w:w="822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w:t>
            </w:r>
          </w:p>
        </w:tc>
      </w:tr>
      <w:tr>
        <w:trPr>
          <w:trHeight w:val="27"/>
        </w:trPr>
        <w:tc>
          <w:tcPr>
            <w:tcW w:w="82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8220" w:type="dxa"/>
            <w:vAlign w:val="bottom"/>
          </w:tcPr>
          <w:p>
            <w:pPr>
              <w:spacing w:after="0"/>
              <w:rPr>
                <w:sz w:val="18"/>
                <w:szCs w:val="18"/>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1,971</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4,123</w:t>
            </w:r>
          </w:p>
        </w:tc>
      </w:tr>
      <w:tr>
        <w:trPr>
          <w:trHeight w:val="21"/>
        </w:trPr>
        <w:tc>
          <w:tcPr>
            <w:tcW w:w="8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11 — RELATED PARTIES</w:t>
      </w:r>
    </w:p>
    <w:p>
      <w:pPr>
        <w:spacing w:after="0" w:line="287" w:lineRule="exact"/>
        <w:rPr>
          <w:sz w:val="20"/>
          <w:szCs w:val="20"/>
          <w:color w:val="auto"/>
        </w:rPr>
      </w:pPr>
    </w:p>
    <w:p>
      <w:pPr>
        <w:ind w:left="680" w:right="340" w:hanging="321"/>
        <w:spacing w:after="0" w:line="277" w:lineRule="auto"/>
        <w:tabs>
          <w:tab w:leader="none" w:pos="68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Related parties include the Controlling Shareholder and companies under his control, the Board of Directors and the Executive Officers of the Company.</w:t>
      </w:r>
    </w:p>
    <w:p>
      <w:pPr>
        <w:spacing w:after="0" w:line="224" w:lineRule="exact"/>
        <w:rPr>
          <w:rFonts w:ascii="Arial" w:cs="Arial" w:eastAsia="Arial" w:hAnsi="Arial"/>
          <w:sz w:val="18"/>
          <w:szCs w:val="18"/>
          <w:color w:val="auto"/>
        </w:rPr>
      </w:pPr>
    </w:p>
    <w:p>
      <w:pPr>
        <w:ind w:left="680" w:hanging="321"/>
        <w:spacing w:after="0"/>
        <w:tabs>
          <w:tab w:leader="none" w:pos="68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As to options and restricted shares granted to directors and executive officers, see note 8.</w:t>
      </w:r>
    </w:p>
    <w:p>
      <w:pPr>
        <w:spacing w:after="0" w:line="279" w:lineRule="exact"/>
        <w:rPr>
          <w:rFonts w:ascii="Arial" w:cs="Arial" w:eastAsia="Arial" w:hAnsi="Arial"/>
          <w:sz w:val="18"/>
          <w:szCs w:val="18"/>
          <w:color w:val="auto"/>
        </w:rPr>
      </w:pPr>
    </w:p>
    <w:p>
      <w:pPr>
        <w:ind w:left="680" w:right="20" w:hanging="321"/>
        <w:spacing w:after="0" w:line="257" w:lineRule="auto"/>
        <w:tabs>
          <w:tab w:leader="none" w:pos="68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On August 22, 2017, a related company (wholly owned by the Company’s controlling shareholder) transferred an in-process research and development product candidate (hereafter - the Product) to the Company, together with a collaboration agreement with third party to research, develop and manufacture the Product, in consideration of 2 shares. This was considered a transaction between entities under common control and thus it was recorded on historical cost basis and therefore the Company recognized an amount of $6,232 as a research and development expense in 2017.</w:t>
      </w:r>
    </w:p>
    <w:p>
      <w:pPr>
        <w:spacing w:after="0" w:line="241" w:lineRule="exact"/>
        <w:rPr>
          <w:rFonts w:ascii="Arial" w:cs="Arial" w:eastAsia="Arial" w:hAnsi="Arial"/>
          <w:sz w:val="18"/>
          <w:szCs w:val="18"/>
          <w:color w:val="auto"/>
        </w:rPr>
      </w:pPr>
    </w:p>
    <w:p>
      <w:pPr>
        <w:ind w:left="680" w:right="880" w:hanging="321"/>
        <w:spacing w:after="0" w:line="277" w:lineRule="auto"/>
        <w:tabs>
          <w:tab w:leader="none" w:pos="68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In January 2018, immediately prior to the closing of the IPO, the outstanding promissory notes from the Controlling Shareholder were automatically converted into 5,444,825 Ordinary shares.</w:t>
      </w: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 12 — SUBSEQUENT EVENTS</w:t>
      </w:r>
    </w:p>
    <w:p>
      <w:pPr>
        <w:spacing w:after="0" w:line="287" w:lineRule="exact"/>
        <w:rPr>
          <w:sz w:val="20"/>
          <w:szCs w:val="20"/>
          <w:color w:val="auto"/>
        </w:rPr>
      </w:pPr>
    </w:p>
    <w:p>
      <w:pPr>
        <w:ind w:left="680" w:right="40" w:hanging="321"/>
        <w:spacing w:after="0" w:line="259" w:lineRule="auto"/>
        <w:tabs>
          <w:tab w:leader="none" w:pos="68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On February 19, 2020, the Company completed an underwritten public offering, in which it issued 2,091,908 ordinary shares and warrants to purchase up to 1,673,525 ordinary shares, at a public offering price of $11.00 per ordinary shares. The warrants are exercisable over a three-years period from the date of issuance at a per share exercise price of $14, subject to certain adjustments as defined in the agreement. The total proceeds received from the offering, net of issuance costs, were approximately $21.5 million.</w:t>
      </w:r>
    </w:p>
    <w:p>
      <w:pPr>
        <w:spacing w:after="0" w:line="240" w:lineRule="exact"/>
        <w:rPr>
          <w:rFonts w:ascii="Arial" w:cs="Arial" w:eastAsia="Arial" w:hAnsi="Arial"/>
          <w:sz w:val="18"/>
          <w:szCs w:val="18"/>
          <w:color w:val="auto"/>
        </w:rPr>
      </w:pPr>
    </w:p>
    <w:p>
      <w:pPr>
        <w:ind w:left="680" w:hanging="321"/>
        <w:spacing w:after="0" w:line="259" w:lineRule="auto"/>
        <w:tabs>
          <w:tab w:leader="none" w:pos="68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 addition and in parallel to the public offering, the Company signed an agreement for a private placement with its Controlling Shareholder for an additional investment of approximately $5 million dollar in consideration of 454,628 ordinary shares and warrants to purchase up to 363,702 ordinary shares, at the same terms of the underwritten public offering mentioned above. The private placement agreement is contingent on certain conditions including disinterested shareholders' approval.</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84455</wp:posOffset>
            </wp:positionV>
            <wp:extent cx="7132320"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178435</wp:posOffset>
            </wp:positionV>
            <wp:extent cx="7132320" cy="342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3">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396" w:right="339" w:bottom="1440" w:gutter="0" w:footer="0" w:header="0"/>
        </w:sectPr>
      </w:pPr>
    </w:p>
    <w:bookmarkStart w:id="180" w:name="page181"/>
    <w:bookmarkEnd w:id="180"/>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4">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5">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2.2</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DESCRIPTION OF SECURITIES REGISTERED PURSUANT TO SECTION 12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THE SECURITIES EXCHANGE ACT OF 1934</w:t>
      </w:r>
    </w:p>
    <w:p>
      <w:pPr>
        <w:spacing w:after="0" w:line="283" w:lineRule="exact"/>
        <w:rPr>
          <w:sz w:val="20"/>
          <w:szCs w:val="20"/>
          <w:color w:val="auto"/>
        </w:rPr>
      </w:pPr>
    </w:p>
    <w:p>
      <w:pPr>
        <w:jc w:val="both"/>
        <w:spacing w:after="0" w:line="274" w:lineRule="auto"/>
        <w:rPr>
          <w:sz w:val="20"/>
          <w:szCs w:val="20"/>
          <w:color w:val="auto"/>
        </w:rPr>
      </w:pPr>
      <w:r>
        <w:rPr>
          <w:rFonts w:ascii="Arial" w:cs="Arial" w:eastAsia="Arial" w:hAnsi="Arial"/>
          <w:sz w:val="21"/>
          <w:szCs w:val="21"/>
          <w:color w:val="auto"/>
        </w:rPr>
        <w:t>This section summarizes certain information regarding the ordinary shares, par value NIS 0.1 per share (the “</w:t>
      </w:r>
      <w:r>
        <w:rPr>
          <w:rFonts w:ascii="Arial" w:cs="Arial" w:eastAsia="Arial" w:hAnsi="Arial"/>
          <w:sz w:val="21"/>
          <w:szCs w:val="21"/>
          <w:u w:val="single" w:color="auto"/>
          <w:color w:val="auto"/>
        </w:rPr>
        <w:t>Ordinary Shares</w:t>
      </w:r>
      <w:r>
        <w:rPr>
          <w:rFonts w:ascii="Arial" w:cs="Arial" w:eastAsia="Arial" w:hAnsi="Arial"/>
          <w:sz w:val="21"/>
          <w:szCs w:val="21"/>
          <w:color w:val="auto"/>
        </w:rPr>
        <w:t>”) of Sol-Gel Technologies Ltd. (the “</w:t>
      </w:r>
      <w:r>
        <w:rPr>
          <w:rFonts w:ascii="Arial" w:cs="Arial" w:eastAsia="Arial" w:hAnsi="Arial"/>
          <w:sz w:val="21"/>
          <w:szCs w:val="21"/>
          <w:u w:val="single" w:color="auto"/>
          <w:color w:val="auto"/>
        </w:rPr>
        <w:t>Company</w:t>
      </w:r>
      <w:r>
        <w:rPr>
          <w:rFonts w:ascii="Arial" w:cs="Arial" w:eastAsia="Arial" w:hAnsi="Arial"/>
          <w:sz w:val="21"/>
          <w:szCs w:val="21"/>
          <w:color w:val="auto"/>
        </w:rPr>
        <w:t>”). The Ordinary Shares constitute the only class of the Company’s securities that is registered under Section 12 of the Securities Exchange Act of 1934, as amended. The following descriptions of our Ordinary Shares and provisions of our amended and restated articles of association (the “</w:t>
      </w:r>
      <w:r>
        <w:rPr>
          <w:rFonts w:ascii="Arial" w:cs="Arial" w:eastAsia="Arial" w:hAnsi="Arial"/>
          <w:sz w:val="21"/>
          <w:szCs w:val="21"/>
          <w:u w:val="single" w:color="auto"/>
          <w:color w:val="auto"/>
        </w:rPr>
        <w:t>Articles</w:t>
      </w:r>
      <w:r>
        <w:rPr>
          <w:rFonts w:ascii="Arial" w:cs="Arial" w:eastAsia="Arial" w:hAnsi="Arial"/>
          <w:sz w:val="21"/>
          <w:szCs w:val="21"/>
          <w:color w:val="auto"/>
        </w:rPr>
        <w:t>”) is a summary and does not purport to be complete and is qualified by refence to the Articles, which are filed with the Securities and Exchange Commission as an exhibit to our annual report on Form 20-F.</w:t>
      </w:r>
    </w:p>
    <w:p>
      <w:pPr>
        <w:spacing w:after="0" w:line="23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Registration Number and Purposes of the Company</w:t>
      </w:r>
    </w:p>
    <w:p>
      <w:pPr>
        <w:spacing w:after="0" w:line="293"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Our registration number with the Israeli Registrar of Companies is 51-254469-3. Our purpose as set forth in our amended and restated articles of association is to engage in any lawful activity.</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Voting Rights and Conversion</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All ordinary shares will have identical voting and other rights in all respects.</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Transfer of Shares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Liability to Further Capital Calls</w:t>
      </w:r>
    </w:p>
    <w:p>
      <w:pPr>
        <w:spacing w:after="0" w:line="293" w:lineRule="exact"/>
        <w:rPr>
          <w:sz w:val="20"/>
          <w:szCs w:val="20"/>
          <w:color w:val="auto"/>
        </w:rPr>
      </w:pPr>
    </w:p>
    <w:p>
      <w:pPr>
        <w:jc w:val="both"/>
        <w:ind w:firstLine="648"/>
        <w:spacing w:after="0" w:line="306" w:lineRule="auto"/>
        <w:rPr>
          <w:sz w:val="20"/>
          <w:szCs w:val="20"/>
          <w:color w:val="auto"/>
        </w:rPr>
      </w:pPr>
      <w:r>
        <w:rPr>
          <w:rFonts w:ascii="Arial" w:cs="Arial" w:eastAsia="Arial" w:hAnsi="Arial"/>
          <w:sz w:val="19"/>
          <w:szCs w:val="19"/>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Election of Directors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Israeli Companies Law.</w:t>
      </w:r>
    </w:p>
    <w:p>
      <w:pPr>
        <w:spacing w:after="0" w:line="239"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 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248920</wp:posOffset>
            </wp:positionV>
            <wp:extent cx="7132320" cy="171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181" w:name="page182"/>
    <w:bookmarkEnd w:id="181"/>
    <w:p>
      <w:pPr>
        <w:spacing w:after="0"/>
        <w:rPr>
          <w:sz w:val="20"/>
          <w:szCs w:val="20"/>
          <w:color w:val="auto"/>
        </w:rPr>
      </w:pPr>
      <w:r>
        <w:rPr>
          <w:rFonts w:ascii="Arial" w:cs="Arial" w:eastAsia="Arial" w:hAnsi="Arial"/>
          <w:sz w:val="22"/>
          <w:szCs w:val="22"/>
          <w:b w:val="1"/>
          <w:bCs w:val="1"/>
          <w:color w:val="auto"/>
        </w:rPr>
        <w:t>Dividend and Liquidation Rights</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244"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21"/>
          <w:szCs w:val="21"/>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23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Shareholder Meetings</w:t>
      </w:r>
    </w:p>
    <w:p>
      <w:pPr>
        <w:spacing w:after="0" w:line="29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209" w:lineRule="exact"/>
        <w:rPr>
          <w:sz w:val="20"/>
          <w:szCs w:val="20"/>
          <w:color w:val="auto"/>
        </w:rPr>
      </w:pPr>
    </w:p>
    <w:p>
      <w:pPr>
        <w:jc w:val="both"/>
        <w:ind w:firstLine="723"/>
        <w:spacing w:after="0" w:line="266" w:lineRule="auto"/>
        <w:rPr>
          <w:sz w:val="20"/>
          <w:szCs w:val="20"/>
          <w:color w:val="auto"/>
        </w:rPr>
      </w:pPr>
      <w:r>
        <w:rPr>
          <w:rFonts w:ascii="Arial" w:cs="Arial" w:eastAsia="Arial" w:hAnsi="Arial"/>
          <w:sz w:val="22"/>
          <w:szCs w:val="22"/>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23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221" w:lineRule="exact"/>
        <w:rPr>
          <w:sz w:val="20"/>
          <w:szCs w:val="20"/>
          <w:color w:val="auto"/>
        </w:rPr>
      </w:pPr>
    </w:p>
    <w:p>
      <w:pPr>
        <w:ind w:left="860" w:hanging="488"/>
        <w:spacing w:after="0"/>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amendments to our amended and restated articles of association;</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appointment or termination of our auditors;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appointment of external directors;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approval of certain related party transactions;</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increases or reductions of our authorized share capital;</w:t>
      </w:r>
    </w:p>
    <w:p>
      <w:pPr>
        <w:spacing w:after="0" w:line="279" w:lineRule="exact"/>
        <w:rPr>
          <w:rFonts w:ascii="Arial" w:cs="Arial" w:eastAsia="Arial" w:hAnsi="Arial"/>
          <w:sz w:val="18"/>
          <w:szCs w:val="18"/>
          <w:color w:val="auto"/>
        </w:rPr>
      </w:pPr>
    </w:p>
    <w:p>
      <w:pPr>
        <w:ind w:left="860" w:hanging="488"/>
        <w:spacing w:after="0"/>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mergers; and</w:t>
      </w:r>
    </w:p>
    <w:p>
      <w:pPr>
        <w:spacing w:after="0" w:line="279" w:lineRule="exact"/>
        <w:rPr>
          <w:rFonts w:ascii="Arial" w:cs="Arial" w:eastAsia="Arial" w:hAnsi="Arial"/>
          <w:sz w:val="18"/>
          <w:szCs w:val="18"/>
          <w:color w:val="auto"/>
        </w:rPr>
      </w:pPr>
    </w:p>
    <w:p>
      <w:pPr>
        <w:ind w:left="860" w:hanging="488"/>
        <w:spacing w:after="0" w:line="277" w:lineRule="auto"/>
        <w:tabs>
          <w:tab w:leader="none" w:pos="8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132320" cy="171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82" w:name="page183"/>
    <w:bookmarkEnd w:id="182"/>
    <w:p>
      <w:pPr>
        <w:jc w:val="both"/>
        <w:ind w:firstLine="648"/>
        <w:spacing w:after="0" w:line="273" w:lineRule="auto"/>
        <w:rPr>
          <w:sz w:val="20"/>
          <w:szCs w:val="20"/>
          <w:color w:val="auto"/>
        </w:rPr>
      </w:pPr>
      <w:r>
        <w:rPr>
          <w:rFonts w:ascii="Arial" w:cs="Arial" w:eastAsia="Arial" w:hAnsi="Arial"/>
          <w:sz w:val="21"/>
          <w:szCs w:val="21"/>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Voting Rights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Quorum Requirements</w:t>
      </w:r>
    </w:p>
    <w:p>
      <w:pPr>
        <w:spacing w:after="0" w:line="287"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331⁄3%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331⁄3% of the issued share capital as required under the Nasdaq Marketplace Rules.</w:t>
      </w: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Vote Requirements</w:t>
      </w:r>
    </w:p>
    <w:p>
      <w:pPr>
        <w:spacing w:after="0" w:line="287"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21"/>
          <w:szCs w:val="21"/>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 of association, an amendment to our amended and restated articles of association regarding any change of the composition or election procedures of our directors will require a special majority vote (662⁄3%).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of each of (i) 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231" w:lineRule="exact"/>
        <w:rPr>
          <w:sz w:val="20"/>
          <w:szCs w:val="20"/>
          <w:color w:val="auto"/>
        </w:rPr>
      </w:pPr>
    </w:p>
    <w:p>
      <w:pPr>
        <w:ind w:left="880" w:hanging="494"/>
        <w:spacing w:after="0" w:line="277" w:lineRule="auto"/>
        <w:tabs>
          <w:tab w:leader="none" w:pos="880" w:val="left"/>
        </w:tabs>
        <w:numPr>
          <w:ilvl w:val="0"/>
          <w:numId w:val="173"/>
        </w:numPr>
        <w:rPr>
          <w:rFonts w:ascii="Arial" w:cs="Arial" w:eastAsia="Arial" w:hAnsi="Arial"/>
          <w:sz w:val="18"/>
          <w:szCs w:val="18"/>
          <w:color w:val="auto"/>
        </w:rPr>
      </w:pPr>
      <w:r>
        <w:rPr>
          <w:rFonts w:ascii="Arial" w:cs="Arial" w:eastAsia="Arial" w:hAnsi="Arial"/>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224" w:lineRule="exact"/>
        <w:rPr>
          <w:rFonts w:ascii="Arial" w:cs="Arial" w:eastAsia="Arial" w:hAnsi="Arial"/>
          <w:sz w:val="18"/>
          <w:szCs w:val="18"/>
          <w:color w:val="auto"/>
        </w:rPr>
      </w:pPr>
    </w:p>
    <w:p>
      <w:pPr>
        <w:ind w:left="880" w:right="20" w:hanging="494"/>
        <w:spacing w:after="0" w:line="277" w:lineRule="auto"/>
        <w:tabs>
          <w:tab w:leader="none" w:pos="880" w:val="left"/>
        </w:tabs>
        <w:numPr>
          <w:ilvl w:val="0"/>
          <w:numId w:val="173"/>
        </w:numPr>
        <w:rPr>
          <w:rFonts w:ascii="Arial" w:cs="Arial" w:eastAsia="Arial" w:hAnsi="Arial"/>
          <w:sz w:val="18"/>
          <w:szCs w:val="18"/>
          <w:color w:val="auto"/>
        </w:rPr>
      </w:pPr>
      <w:r>
        <w:rPr>
          <w:rFonts w:ascii="Arial" w:cs="Arial" w:eastAsia="Arial" w:hAnsi="Arial"/>
          <w:sz w:val="18"/>
          <w:szCs w:val="18"/>
          <w:color w:val="auto"/>
        </w:rPr>
        <w:t>the shares voted by shareholders who have no personal interest in the transaction who vote against the transaction represent no more than two percent (2%) of the voting rights in the company.</w:t>
      </w:r>
    </w:p>
    <w:p>
      <w:pPr>
        <w:spacing w:after="0" w:line="23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Certain transactions with respect to remuneration of our office holders and directors require further approvals.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264160</wp:posOffset>
            </wp:positionV>
            <wp:extent cx="7132320" cy="171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83" w:name="page184"/>
    <w:bookmarkEnd w:id="183"/>
    <w:p>
      <w:pPr>
        <w:spacing w:after="0"/>
        <w:rPr>
          <w:sz w:val="20"/>
          <w:szCs w:val="20"/>
          <w:color w:val="auto"/>
        </w:rPr>
      </w:pPr>
      <w:r>
        <w:rPr>
          <w:rFonts w:ascii="Arial" w:cs="Arial" w:eastAsia="Arial" w:hAnsi="Arial"/>
          <w:sz w:val="22"/>
          <w:szCs w:val="22"/>
          <w:b w:val="1"/>
          <w:bCs w:val="1"/>
          <w:color w:val="auto"/>
        </w:rPr>
        <w:t>Access to Corporate Records</w:t>
      </w:r>
    </w:p>
    <w:p>
      <w:pPr>
        <w:spacing w:after="0" w:line="293"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Modification of Class Rights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22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Registration Rights</w:t>
      </w:r>
    </w:p>
    <w:p>
      <w:pPr>
        <w:spacing w:after="0" w:line="29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color w:val="auto"/>
        </w:rPr>
        <w:t>In connection with the closing of our initial public offering, we entered into a registration rights agreement, pursuant to which we granted demand registration rights, short-form registration rights and piggyback registration rights to M. Arkin Dermatology Ltd., our controlling shareholder. All fees, costs and expenses of underwritten registrations are expected to be borne by us..”</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Acquisitions under Israeli Law</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Full Tender Offer</w:t>
      </w:r>
    </w:p>
    <w:p>
      <w:pPr>
        <w:spacing w:after="0" w:line="287"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 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212"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9"/>
          <w:szCs w:val="19"/>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204"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248285</wp:posOffset>
            </wp:positionV>
            <wp:extent cx="7132320" cy="171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184" w:name="page185"/>
    <w:bookmarkEnd w:id="184"/>
    <w:p>
      <w:pPr>
        <w:spacing w:after="0"/>
        <w:rPr>
          <w:sz w:val="20"/>
          <w:szCs w:val="20"/>
          <w:color w:val="auto"/>
        </w:rPr>
      </w:pPr>
      <w:r>
        <w:rPr>
          <w:rFonts w:ascii="Arial" w:cs="Arial" w:eastAsia="Arial" w:hAnsi="Arial"/>
          <w:sz w:val="22"/>
          <w:szCs w:val="22"/>
          <w:b w:val="1"/>
          <w:bCs w:val="1"/>
          <w:i w:val="1"/>
          <w:iCs w:val="1"/>
          <w:color w:val="auto"/>
        </w:rPr>
        <w:t>Special Tender Offer</w:t>
      </w:r>
    </w:p>
    <w:p>
      <w:pPr>
        <w:spacing w:after="0" w:line="2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249"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Under the DGCL there are no provisions relating to mandatory tender offers.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Merger</w:t>
      </w:r>
    </w:p>
    <w:p>
      <w:pPr>
        <w:spacing w:after="0" w:line="28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The Companies Law permits merger transactions if approved by each party’s board of directors and, unless certain requirements of the Companies Law are met, by a majority vote of each party’s shares, and, in the case of the target company, a majority vote of each class of its shares voted on the proposed merger at a shareholders meeting.</w:t>
      </w:r>
    </w:p>
    <w:p>
      <w:pPr>
        <w:spacing w:after="0" w:line="223"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w:t>
      </w:r>
    </w:p>
    <w:p>
      <w:pPr>
        <w:spacing w:after="0" w:line="237"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196"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22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267970</wp:posOffset>
            </wp:positionV>
            <wp:extent cx="7132320" cy="171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85" w:name="page186"/>
    <w:bookmarkEnd w:id="185"/>
    <w:p>
      <w:pPr>
        <w:spacing w:after="0"/>
        <w:rPr>
          <w:sz w:val="20"/>
          <w:szCs w:val="20"/>
          <w:color w:val="auto"/>
        </w:rPr>
      </w:pPr>
      <w:r>
        <w:rPr>
          <w:rFonts w:ascii="Arial" w:cs="Arial" w:eastAsia="Arial" w:hAnsi="Arial"/>
          <w:sz w:val="22"/>
          <w:szCs w:val="22"/>
          <w:b w:val="1"/>
          <w:bCs w:val="1"/>
          <w:i w:val="1"/>
          <w:iCs w:val="1"/>
          <w:color w:val="auto"/>
        </w:rPr>
        <w:t>Anti-Takeover Measures under Israeli Law</w:t>
      </w:r>
    </w:p>
    <w:p>
      <w:pPr>
        <w:spacing w:after="0" w:line="287"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date of this annual report, no preferred shares are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w:t>
      </w:r>
    </w:p>
    <w:p>
      <w:pPr>
        <w:spacing w:after="0" w:line="212"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9"/>
          <w:szCs w:val="19"/>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Borrowing Powers</w:t>
      </w:r>
    </w:p>
    <w:p>
      <w:pPr>
        <w:spacing w:after="0" w:line="293"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Changes in Capital</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Trading of Ordinary Shares</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Our Ordinary Shares are listed and traded on The Nasdaq Global Market under the symbol “SLGL”.</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Transfer Agent and Registrar</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transfer agent and registrar for our ordinary shares is American Stock Transfer &amp; Trust Company,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349885</wp:posOffset>
            </wp:positionV>
            <wp:extent cx="7132320" cy="342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2">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132" w:right="339" w:bottom="1440" w:gutter="0" w:footer="0" w:header="0"/>
        </w:sectPr>
      </w:pPr>
    </w:p>
    <w:bookmarkStart w:id="186" w:name="page187"/>
    <w:bookmarkEnd w:id="186"/>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3">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4">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88265</wp:posOffset>
            </wp:positionV>
            <wp:extent cx="1783080" cy="171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5">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SOL-GEL TECHNOLOGIES LTD.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2014 SHARE INCENTIVE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211455</wp:posOffset>
            </wp:positionV>
            <wp:extent cx="1783080" cy="1714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6">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Unless otherwise defined, terms used herein shall have the meaning ascribed to them in Section 2 hereof.</w:t>
      </w:r>
    </w:p>
    <w:p>
      <w:pPr>
        <w:spacing w:after="0" w:line="281" w:lineRule="exact"/>
        <w:rPr>
          <w:sz w:val="20"/>
          <w:szCs w:val="20"/>
          <w:color w:val="auto"/>
        </w:rPr>
      </w:pPr>
    </w:p>
    <w:p>
      <w:pPr>
        <w:ind w:left="520" w:hanging="512"/>
        <w:spacing w:after="0"/>
        <w:tabs>
          <w:tab w:leader="none" w:pos="520" w:val="left"/>
        </w:tabs>
        <w:numPr>
          <w:ilvl w:val="0"/>
          <w:numId w:val="174"/>
        </w:numPr>
        <w:rPr>
          <w:rFonts w:ascii="Arial" w:cs="Arial" w:eastAsia="Arial" w:hAnsi="Arial"/>
          <w:sz w:val="18"/>
          <w:szCs w:val="18"/>
          <w:color w:val="auto"/>
        </w:rPr>
      </w:pPr>
      <w:r>
        <w:rPr>
          <w:rFonts w:ascii="Arial" w:cs="Arial" w:eastAsia="Arial" w:hAnsi="Arial"/>
          <w:sz w:val="18"/>
          <w:szCs w:val="18"/>
          <w:u w:val="single" w:color="auto"/>
          <w:color w:val="auto"/>
        </w:rPr>
        <w:t>PURPOSE; TYPES OF AWARDS; CONSTRUCTION</w:t>
      </w:r>
      <w:r>
        <w:rPr>
          <w:rFonts w:ascii="Arial" w:cs="Arial" w:eastAsia="Arial" w:hAnsi="Arial"/>
          <w:sz w:val="18"/>
          <w:szCs w:val="18"/>
          <w:color w:val="auto"/>
        </w:rPr>
        <w:t>.</w:t>
      </w:r>
    </w:p>
    <w:p>
      <w:pPr>
        <w:spacing w:after="0" w:line="279" w:lineRule="exact"/>
        <w:rPr>
          <w:sz w:val="20"/>
          <w:szCs w:val="20"/>
          <w:color w:val="auto"/>
        </w:rPr>
      </w:pPr>
    </w:p>
    <w:p>
      <w:pPr>
        <w:ind w:right="580" w:firstLine="648"/>
        <w:spacing w:after="0" w:line="306" w:lineRule="auto"/>
        <w:rPr>
          <w:sz w:val="20"/>
          <w:szCs w:val="20"/>
          <w:color w:val="auto"/>
        </w:rPr>
      </w:pPr>
      <w:r>
        <w:rPr>
          <w:rFonts w:ascii="Arial" w:cs="Arial" w:eastAsia="Arial" w:hAnsi="Arial"/>
          <w:sz w:val="19"/>
          <w:szCs w:val="19"/>
          <w:color w:val="auto"/>
        </w:rPr>
        <w:t xml:space="preserve">1.1. </w:t>
      </w:r>
      <w:r>
        <w:rPr>
          <w:rFonts w:ascii="Arial" w:cs="Arial" w:eastAsia="Arial" w:hAnsi="Arial"/>
          <w:sz w:val="19"/>
          <w:szCs w:val="19"/>
          <w:u w:val="single" w:color="auto"/>
          <w:color w:val="auto"/>
        </w:rPr>
        <w:t>Purpose</w:t>
      </w:r>
      <w:r>
        <w:rPr>
          <w:rFonts w:ascii="Arial" w:cs="Arial" w:eastAsia="Arial" w:hAnsi="Arial"/>
          <w:sz w:val="19"/>
          <w:szCs w:val="19"/>
          <w:color w:val="auto"/>
        </w:rPr>
        <w:t>. The purpose of this 2014 Share Incentive Plan (as amended, this “</w:t>
      </w:r>
      <w:r>
        <w:rPr>
          <w:rFonts w:ascii="Arial" w:cs="Arial" w:eastAsia="Arial" w:hAnsi="Arial"/>
          <w:sz w:val="19"/>
          <w:szCs w:val="19"/>
          <w:b w:val="1"/>
          <w:bCs w:val="1"/>
          <w:color w:val="auto"/>
        </w:rPr>
        <w:t>Plan</w:t>
      </w:r>
      <w:r>
        <w:rPr>
          <w:rFonts w:ascii="Arial" w:cs="Arial" w:eastAsia="Arial" w:hAnsi="Arial"/>
          <w:sz w:val="19"/>
          <w:szCs w:val="19"/>
          <w:color w:val="auto"/>
        </w:rPr>
        <w:t>”) is to afford an incentive to Service Providers of Sol-Gel Technologies Ltd., an Israeli company (together with any successor corporation thereto, the “</w:t>
      </w:r>
      <w:r>
        <w:rPr>
          <w:rFonts w:ascii="Arial" w:cs="Arial" w:eastAsia="Arial" w:hAnsi="Arial"/>
          <w:sz w:val="19"/>
          <w:szCs w:val="19"/>
          <w:b w:val="1"/>
          <w:bCs w:val="1"/>
          <w:color w:val="auto"/>
        </w:rPr>
        <w:t>Company</w:t>
      </w:r>
      <w:r>
        <w:rPr>
          <w:rFonts w:ascii="Arial" w:cs="Arial" w:eastAsia="Arial" w:hAnsi="Arial"/>
          <w:sz w:val="19"/>
          <w:szCs w:val="19"/>
          <w:color w:val="auto"/>
        </w:rPr>
        <w:t>”), or any Affiliate of the Company, which now exists or hereafter is organized or acquired by the Company or its Affiliates, to continue as Service Providers, to increase their efforts on behalf of the Company or its Affiliates and to promote the success of the Company's business, by providing such Service Providers with opportunities to acquire a proprietary interest in the Company by the issuance of Shares or restricted Shares (“</w:t>
      </w:r>
      <w:r>
        <w:rPr>
          <w:rFonts w:ascii="Arial" w:cs="Arial" w:eastAsia="Arial" w:hAnsi="Arial"/>
          <w:sz w:val="19"/>
          <w:szCs w:val="19"/>
          <w:b w:val="1"/>
          <w:bCs w:val="1"/>
          <w:color w:val="auto"/>
        </w:rPr>
        <w:t>Restricted Shares</w:t>
      </w:r>
      <w:r>
        <w:rPr>
          <w:rFonts w:ascii="Arial" w:cs="Arial" w:eastAsia="Arial" w:hAnsi="Arial"/>
          <w:sz w:val="19"/>
          <w:szCs w:val="19"/>
          <w:color w:val="auto"/>
        </w:rPr>
        <w:t>”) of the Company, and by the grant of options to purchase Shares (“</w:t>
      </w:r>
      <w:r>
        <w:rPr>
          <w:rFonts w:ascii="Arial" w:cs="Arial" w:eastAsia="Arial" w:hAnsi="Arial"/>
          <w:sz w:val="19"/>
          <w:szCs w:val="19"/>
          <w:b w:val="1"/>
          <w:bCs w:val="1"/>
          <w:color w:val="auto"/>
        </w:rPr>
        <w:t>Options</w:t>
      </w:r>
      <w:r>
        <w:rPr>
          <w:rFonts w:ascii="Arial" w:cs="Arial" w:eastAsia="Arial" w:hAnsi="Arial"/>
          <w:sz w:val="19"/>
          <w:szCs w:val="19"/>
          <w:color w:val="auto"/>
        </w:rPr>
        <w:t>”), Restricted Share Units (“</w:t>
      </w:r>
      <w:r>
        <w:rPr>
          <w:rFonts w:ascii="Arial" w:cs="Arial" w:eastAsia="Arial" w:hAnsi="Arial"/>
          <w:sz w:val="19"/>
          <w:szCs w:val="19"/>
          <w:b w:val="1"/>
          <w:bCs w:val="1"/>
          <w:color w:val="auto"/>
        </w:rPr>
        <w:t>RSUs</w:t>
      </w:r>
      <w:r>
        <w:rPr>
          <w:rFonts w:ascii="Arial" w:cs="Arial" w:eastAsia="Arial" w:hAnsi="Arial"/>
          <w:sz w:val="19"/>
          <w:szCs w:val="19"/>
          <w:color w:val="auto"/>
        </w:rPr>
        <w:t>”) and other Share-based Awards pursuant to Sections 11 through 13 of this Plan.</w:t>
      </w:r>
    </w:p>
    <w:p>
      <w:pPr>
        <w:spacing w:after="0" w:line="207" w:lineRule="exact"/>
        <w:rPr>
          <w:sz w:val="20"/>
          <w:szCs w:val="20"/>
          <w:color w:val="auto"/>
        </w:rPr>
      </w:pPr>
    </w:p>
    <w:p>
      <w:pPr>
        <w:ind w:right="1260" w:firstLine="648"/>
        <w:spacing w:after="0" w:line="276" w:lineRule="auto"/>
        <w:rPr>
          <w:sz w:val="20"/>
          <w:szCs w:val="20"/>
          <w:color w:val="auto"/>
        </w:rPr>
      </w:pPr>
      <w:r>
        <w:rPr>
          <w:rFonts w:ascii="Arial" w:cs="Arial" w:eastAsia="Arial" w:hAnsi="Arial"/>
          <w:sz w:val="22"/>
          <w:szCs w:val="22"/>
          <w:color w:val="auto"/>
        </w:rPr>
        <w:t xml:space="preserve">1.2. </w:t>
      </w:r>
      <w:r>
        <w:rPr>
          <w:rFonts w:ascii="Arial" w:cs="Arial" w:eastAsia="Arial" w:hAnsi="Arial"/>
          <w:sz w:val="22"/>
          <w:szCs w:val="22"/>
          <w:u w:val="single" w:color="auto"/>
          <w:color w:val="auto"/>
        </w:rPr>
        <w:t>Types of Awards</w:t>
      </w:r>
      <w:r>
        <w:rPr>
          <w:rFonts w:ascii="Arial" w:cs="Arial" w:eastAsia="Arial" w:hAnsi="Arial"/>
          <w:sz w:val="22"/>
          <w:szCs w:val="22"/>
          <w:color w:val="auto"/>
        </w:rPr>
        <w:t>. This Plan is intended to enable the Company to issue Awards under various tax regimes, including:</w:t>
      </w:r>
    </w:p>
    <w:p>
      <w:pPr>
        <w:spacing w:after="0" w:line="228" w:lineRule="exact"/>
        <w:rPr>
          <w:sz w:val="20"/>
          <w:szCs w:val="20"/>
          <w:color w:val="auto"/>
        </w:rPr>
      </w:pPr>
    </w:p>
    <w:p>
      <w:pPr>
        <w:ind w:left="660" w:right="1400" w:firstLine="644"/>
        <w:spacing w:after="0" w:line="259" w:lineRule="auto"/>
        <w:tabs>
          <w:tab w:leader="none" w:pos="2052" w:val="left"/>
        </w:tabs>
        <w:numPr>
          <w:ilvl w:val="0"/>
          <w:numId w:val="175"/>
        </w:numPr>
        <w:rPr>
          <w:rFonts w:ascii="Arial" w:cs="Arial" w:eastAsia="Arial" w:hAnsi="Arial"/>
          <w:sz w:val="22"/>
          <w:szCs w:val="22"/>
          <w:color w:val="auto"/>
        </w:rPr>
      </w:pPr>
      <w:r>
        <w:rPr>
          <w:rFonts w:ascii="Arial" w:cs="Arial" w:eastAsia="Arial" w:hAnsi="Arial"/>
          <w:sz w:val="22"/>
          <w:szCs w:val="22"/>
          <w:color w:val="auto"/>
        </w:rPr>
        <w:t>pursuant and subject to the provisions of Section 102 of the Ordinance (or the corresponding provision of any subsequently enacted statute, as amended from time to time), and all regulations and interpretations adopted by any competent authority, including the Israeli Income Tax Authority (the “</w:t>
      </w:r>
      <w:r>
        <w:rPr>
          <w:rFonts w:ascii="Arial" w:cs="Arial" w:eastAsia="Arial" w:hAnsi="Arial"/>
          <w:sz w:val="22"/>
          <w:szCs w:val="22"/>
          <w:b w:val="1"/>
          <w:bCs w:val="1"/>
          <w:color w:val="auto"/>
        </w:rPr>
        <w:t>ITA</w:t>
      </w:r>
      <w:r>
        <w:rPr>
          <w:rFonts w:ascii="Arial" w:cs="Arial" w:eastAsia="Arial" w:hAnsi="Arial"/>
          <w:sz w:val="22"/>
          <w:szCs w:val="22"/>
          <w:color w:val="auto"/>
        </w:rPr>
        <w:t>”), including the Income Tax Rules (Tax Benefits in Stock Issuance to Employees) 5763-2003 or such other rules so adopted from time to time (the “</w:t>
      </w:r>
      <w:r>
        <w:rPr>
          <w:rFonts w:ascii="Arial" w:cs="Arial" w:eastAsia="Arial" w:hAnsi="Arial"/>
          <w:sz w:val="22"/>
          <w:szCs w:val="22"/>
          <w:b w:val="1"/>
          <w:bCs w:val="1"/>
          <w:color w:val="auto"/>
        </w:rPr>
        <w:t>Rules</w:t>
      </w:r>
      <w:r>
        <w:rPr>
          <w:rFonts w:ascii="Arial" w:cs="Arial" w:eastAsia="Arial" w:hAnsi="Arial"/>
          <w:sz w:val="22"/>
          <w:szCs w:val="22"/>
          <w:color w:val="auto"/>
        </w:rPr>
        <w:t>”) (such Awards that are intended to be (as set forth in the Award Agreement) and which qualify as such under Section 102 of the Ordinance and the Rules, “</w:t>
      </w:r>
      <w:r>
        <w:rPr>
          <w:rFonts w:ascii="Arial" w:cs="Arial" w:eastAsia="Arial" w:hAnsi="Arial"/>
          <w:sz w:val="22"/>
          <w:szCs w:val="22"/>
          <w:b w:val="1"/>
          <w:bCs w:val="1"/>
          <w:color w:val="auto"/>
        </w:rPr>
        <w:t>102 Awards</w:t>
      </w:r>
      <w:r>
        <w:rPr>
          <w:rFonts w:ascii="Arial" w:cs="Arial" w:eastAsia="Arial" w:hAnsi="Arial"/>
          <w:sz w:val="22"/>
          <w:szCs w:val="22"/>
          <w:color w:val="auto"/>
        </w:rPr>
        <w:t>”);</w:t>
      </w:r>
    </w:p>
    <w:p>
      <w:pPr>
        <w:spacing w:after="0" w:line="249" w:lineRule="exact"/>
        <w:rPr>
          <w:rFonts w:ascii="Arial" w:cs="Arial" w:eastAsia="Arial" w:hAnsi="Arial"/>
          <w:sz w:val="22"/>
          <w:szCs w:val="22"/>
          <w:color w:val="auto"/>
        </w:rPr>
      </w:pPr>
    </w:p>
    <w:p>
      <w:pPr>
        <w:ind w:left="660" w:right="2240" w:firstLine="644"/>
        <w:spacing w:after="0" w:line="358" w:lineRule="auto"/>
        <w:tabs>
          <w:tab w:leader="none" w:pos="2112" w:val="left"/>
        </w:tabs>
        <w:numPr>
          <w:ilvl w:val="0"/>
          <w:numId w:val="175"/>
        </w:numPr>
        <w:rPr>
          <w:rFonts w:ascii="Arial" w:cs="Arial" w:eastAsia="Arial" w:hAnsi="Arial"/>
          <w:sz w:val="19"/>
          <w:szCs w:val="19"/>
          <w:color w:val="auto"/>
        </w:rPr>
      </w:pPr>
      <w:r>
        <w:rPr>
          <w:rFonts w:ascii="Arial" w:cs="Arial" w:eastAsia="Arial" w:hAnsi="Arial"/>
          <w:sz w:val="19"/>
          <w:szCs w:val="19"/>
          <w:color w:val="auto"/>
        </w:rPr>
        <w:t>pursuant to Section 3(9) of the Ordinance or the corresponding provision of any subsequently enacted statute, as amended from time to time (such Awards, “</w:t>
      </w:r>
      <w:r>
        <w:rPr>
          <w:rFonts w:ascii="Arial" w:cs="Arial" w:eastAsia="Arial" w:hAnsi="Arial"/>
          <w:sz w:val="19"/>
          <w:szCs w:val="19"/>
          <w:b w:val="1"/>
          <w:bCs w:val="1"/>
          <w:color w:val="auto"/>
        </w:rPr>
        <w:t>3(9) Awards</w:t>
      </w:r>
      <w:r>
        <w:rPr>
          <w:rFonts w:ascii="Arial" w:cs="Arial" w:eastAsia="Arial" w:hAnsi="Arial"/>
          <w:sz w:val="19"/>
          <w:szCs w:val="19"/>
          <w:color w:val="auto"/>
        </w:rPr>
        <w:t>”);</w:t>
      </w:r>
    </w:p>
    <w:p>
      <w:pPr>
        <w:spacing w:after="0" w:line="158" w:lineRule="exact"/>
        <w:rPr>
          <w:rFonts w:ascii="Arial" w:cs="Arial" w:eastAsia="Arial" w:hAnsi="Arial"/>
          <w:sz w:val="19"/>
          <w:szCs w:val="19"/>
          <w:color w:val="auto"/>
        </w:rPr>
      </w:pPr>
    </w:p>
    <w:p>
      <w:pPr>
        <w:ind w:left="660" w:right="1320" w:firstLine="644"/>
        <w:spacing w:after="0" w:line="308" w:lineRule="auto"/>
        <w:tabs>
          <w:tab w:leader="none" w:pos="2172" w:val="left"/>
        </w:tabs>
        <w:numPr>
          <w:ilvl w:val="0"/>
          <w:numId w:val="175"/>
        </w:numPr>
        <w:rPr>
          <w:rFonts w:ascii="Arial" w:cs="Arial" w:eastAsia="Arial" w:hAnsi="Arial"/>
          <w:sz w:val="19"/>
          <w:szCs w:val="19"/>
          <w:color w:val="auto"/>
        </w:rPr>
      </w:pPr>
      <w:r>
        <w:rPr>
          <w:rFonts w:ascii="Arial" w:cs="Arial" w:eastAsia="Arial" w:hAnsi="Arial"/>
          <w:sz w:val="19"/>
          <w:szCs w:val="19"/>
          <w:color w:val="auto"/>
        </w:rPr>
        <w:t>Incentive Stock Options within the meaning of Section 422 of the Code, or the corresponding provision of any subsequently enacted United States federal tax statute, as amended from time to time, to be granted to Employees who are deemed to be residents of the United States, for purposes of taxation, or are otherwise subject to U.S. Federal income tax (such Awards that are intended to be (as set forth in the Award Agreement) and which qualify as an incentive stock option within the meaning of Section 422(b) of the Code, “</w:t>
      </w:r>
      <w:r>
        <w:rPr>
          <w:rFonts w:ascii="Arial" w:cs="Arial" w:eastAsia="Arial" w:hAnsi="Arial"/>
          <w:sz w:val="19"/>
          <w:szCs w:val="19"/>
          <w:b w:val="1"/>
          <w:bCs w:val="1"/>
          <w:color w:val="auto"/>
        </w:rPr>
        <w:t>Incentive Stock Options</w:t>
      </w:r>
      <w:r>
        <w:rPr>
          <w:rFonts w:ascii="Arial" w:cs="Arial" w:eastAsia="Arial" w:hAnsi="Arial"/>
          <w:sz w:val="19"/>
          <w:szCs w:val="19"/>
          <w:color w:val="auto"/>
        </w:rPr>
        <w:t>”); and</w:t>
      </w:r>
    </w:p>
    <w:p>
      <w:pPr>
        <w:spacing w:after="0" w:line="207" w:lineRule="exact"/>
        <w:rPr>
          <w:rFonts w:ascii="Arial" w:cs="Arial" w:eastAsia="Arial" w:hAnsi="Arial"/>
          <w:sz w:val="19"/>
          <w:szCs w:val="19"/>
          <w:color w:val="auto"/>
        </w:rPr>
      </w:pPr>
    </w:p>
    <w:p>
      <w:pPr>
        <w:ind w:left="660" w:right="1360" w:firstLine="644"/>
        <w:spacing w:after="0" w:line="262" w:lineRule="auto"/>
        <w:tabs>
          <w:tab w:leader="none" w:pos="2148" w:val="left"/>
        </w:tabs>
        <w:numPr>
          <w:ilvl w:val="0"/>
          <w:numId w:val="175"/>
        </w:numPr>
        <w:rPr>
          <w:rFonts w:ascii="Arial" w:cs="Arial" w:eastAsia="Arial" w:hAnsi="Arial"/>
          <w:sz w:val="22"/>
          <w:szCs w:val="22"/>
          <w:color w:val="auto"/>
        </w:rPr>
      </w:pPr>
      <w:r>
        <w:rPr>
          <w:rFonts w:ascii="Arial" w:cs="Arial" w:eastAsia="Arial" w:hAnsi="Arial"/>
          <w:sz w:val="22"/>
          <w:szCs w:val="22"/>
          <w:color w:val="auto"/>
        </w:rPr>
        <w:t>Awards not intended to be (as set forth in the Award Agreement) or which do not qualify as an Incentive Stock Option to be granted to Service Providers who are deemed to be residents of the United States for purposes of taxation, or are otherwise subject to U.S. Federal income tax (“</w:t>
      </w:r>
      <w:r>
        <w:rPr>
          <w:rFonts w:ascii="Arial" w:cs="Arial" w:eastAsia="Arial" w:hAnsi="Arial"/>
          <w:sz w:val="22"/>
          <w:szCs w:val="22"/>
          <w:b w:val="1"/>
          <w:bCs w:val="1"/>
          <w:color w:val="auto"/>
        </w:rPr>
        <w:t>Nonqualified</w:t>
      </w:r>
      <w:r>
        <w:rPr>
          <w:rFonts w:ascii="Arial" w:cs="Arial" w:eastAsia="Arial" w:hAnsi="Arial"/>
          <w:sz w:val="22"/>
          <w:szCs w:val="22"/>
          <w:color w:val="auto"/>
        </w:rPr>
        <w:t xml:space="preserve"> </w:t>
      </w:r>
      <w:r>
        <w:rPr>
          <w:rFonts w:ascii="Arial" w:cs="Arial" w:eastAsia="Arial" w:hAnsi="Arial"/>
          <w:sz w:val="22"/>
          <w:szCs w:val="22"/>
          <w:b w:val="1"/>
          <w:bCs w:val="1"/>
          <w:color w:val="auto"/>
        </w:rPr>
        <w:t>Stock Options</w:t>
      </w:r>
      <w:r>
        <w:rPr>
          <w:rFonts w:ascii="Arial" w:cs="Arial" w:eastAsia="Arial" w:hAnsi="Arial"/>
          <w:sz w:val="22"/>
          <w:szCs w:val="22"/>
          <w:color w:val="auto"/>
        </w:rPr>
        <w:t>”).</w:t>
      </w:r>
    </w:p>
    <w:p>
      <w:pPr>
        <w:spacing w:after="0" w:line="245" w:lineRule="exact"/>
        <w:rPr>
          <w:sz w:val="20"/>
          <w:szCs w:val="20"/>
          <w:color w:val="auto"/>
        </w:rPr>
      </w:pPr>
    </w:p>
    <w:p>
      <w:pPr>
        <w:ind w:right="1100"/>
        <w:spacing w:after="0" w:line="311" w:lineRule="auto"/>
        <w:rPr>
          <w:sz w:val="20"/>
          <w:szCs w:val="20"/>
          <w:color w:val="auto"/>
        </w:rPr>
      </w:pPr>
      <w:r>
        <w:rPr>
          <w:rFonts w:ascii="Arial" w:cs="Arial" w:eastAsia="Arial" w:hAnsi="Arial"/>
          <w:sz w:val="19"/>
          <w:szCs w:val="19"/>
          <w:color w:val="auto"/>
        </w:rPr>
        <w:t>In addition to the issuance of Awards under the relevant tax regimes in the United States of America and the State of Israel, and without derogating from the generality of Section 25, this Plan contemplates issuances to Grantees in other jurisdictions or under other tax regimes with respect to which the Committee is empowered, but is not required, to make the requisite adjustments in this Plan and set forth the relevant conditions in an appendix to this Plan or in the Company’s agreement with the Grantee in order to comply with the requirements of such other tax regimes.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246380</wp:posOffset>
            </wp:positionV>
            <wp:extent cx="7132320" cy="171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06" w:right="339" w:bottom="1440" w:gutter="0" w:footer="0" w:header="0"/>
        </w:sectPr>
      </w:pPr>
    </w:p>
    <w:bookmarkStart w:id="187" w:name="page188"/>
    <w:bookmarkEnd w:id="187"/>
    <w:p>
      <w:pPr>
        <w:ind w:right="240" w:firstLine="648"/>
        <w:spacing w:after="0" w:line="276" w:lineRule="auto"/>
        <w:rPr>
          <w:sz w:val="20"/>
          <w:szCs w:val="20"/>
          <w:color w:val="auto"/>
        </w:rPr>
      </w:pPr>
      <w:r>
        <w:rPr>
          <w:rFonts w:ascii="Arial" w:cs="Arial" w:eastAsia="Arial" w:hAnsi="Arial"/>
          <w:sz w:val="22"/>
          <w:szCs w:val="22"/>
          <w:color w:val="auto"/>
        </w:rPr>
        <w:t xml:space="preserve">1.3. </w:t>
      </w:r>
      <w:r>
        <w:rPr>
          <w:rFonts w:ascii="Arial" w:cs="Arial" w:eastAsia="Arial" w:hAnsi="Arial"/>
          <w:sz w:val="22"/>
          <w:szCs w:val="22"/>
          <w:u w:val="single" w:color="auto"/>
          <w:color w:val="auto"/>
        </w:rPr>
        <w:t>Company Status</w:t>
      </w:r>
      <w:r>
        <w:rPr>
          <w:rFonts w:ascii="Arial" w:cs="Arial" w:eastAsia="Arial" w:hAnsi="Arial"/>
          <w:sz w:val="22"/>
          <w:szCs w:val="22"/>
          <w:color w:val="auto"/>
        </w:rPr>
        <w:t>. This Plan contemplates the issuance of Awards by the Company, both as a private and public company.</w:t>
      </w:r>
    </w:p>
    <w:p>
      <w:pPr>
        <w:spacing w:after="0" w:line="228" w:lineRule="exact"/>
        <w:rPr>
          <w:sz w:val="20"/>
          <w:szCs w:val="20"/>
          <w:color w:val="auto"/>
        </w:rPr>
      </w:pPr>
    </w:p>
    <w:p>
      <w:pPr>
        <w:ind w:firstLine="648"/>
        <w:spacing w:after="0" w:line="262" w:lineRule="auto"/>
        <w:rPr>
          <w:sz w:val="20"/>
          <w:szCs w:val="20"/>
          <w:color w:val="auto"/>
        </w:rPr>
      </w:pPr>
      <w:r>
        <w:rPr>
          <w:rFonts w:ascii="Arial" w:cs="Arial" w:eastAsia="Arial" w:hAnsi="Arial"/>
          <w:sz w:val="22"/>
          <w:szCs w:val="22"/>
          <w:color w:val="auto"/>
        </w:rPr>
        <w:t xml:space="preserve">1.4. </w:t>
      </w:r>
      <w:r>
        <w:rPr>
          <w:rFonts w:ascii="Arial" w:cs="Arial" w:eastAsia="Arial" w:hAnsi="Arial"/>
          <w:sz w:val="22"/>
          <w:szCs w:val="22"/>
          <w:u w:val="single" w:color="auto"/>
          <w:color w:val="auto"/>
        </w:rPr>
        <w:t>Construction</w:t>
      </w:r>
      <w:r>
        <w:rPr>
          <w:rFonts w:ascii="Arial" w:cs="Arial" w:eastAsia="Arial" w:hAnsi="Arial"/>
          <w:sz w:val="22"/>
          <w:szCs w:val="22"/>
          <w:color w:val="auto"/>
        </w:rPr>
        <w:t>. To the extent any provision herein conflicts with the conditions of any relevant tax law, rule or regulation which are relied upon for tax relief in respect of a particular Award to a Grantee, the Committee is empowered, but is not required, hereunder to determine that the provisions of such law, rule or regulation shall prevail over those of this Plan and to interpret and enforce such prevailing provisions.</w:t>
      </w:r>
    </w:p>
    <w:p>
      <w:pPr>
        <w:spacing w:after="0" w:line="239" w:lineRule="exact"/>
        <w:rPr>
          <w:sz w:val="20"/>
          <w:szCs w:val="20"/>
          <w:color w:val="auto"/>
        </w:rPr>
      </w:pPr>
    </w:p>
    <w:p>
      <w:pPr>
        <w:ind w:left="520" w:hanging="512"/>
        <w:spacing w:after="0"/>
        <w:tabs>
          <w:tab w:leader="none" w:pos="520" w:val="left"/>
        </w:tabs>
        <w:numPr>
          <w:ilvl w:val="0"/>
          <w:numId w:val="176"/>
        </w:numPr>
        <w:rPr>
          <w:rFonts w:ascii="Arial" w:cs="Arial" w:eastAsia="Arial" w:hAnsi="Arial"/>
          <w:sz w:val="18"/>
          <w:szCs w:val="18"/>
          <w:color w:val="auto"/>
        </w:rPr>
      </w:pPr>
      <w:r>
        <w:rPr>
          <w:rFonts w:ascii="Arial" w:cs="Arial" w:eastAsia="Arial" w:hAnsi="Arial"/>
          <w:sz w:val="18"/>
          <w:szCs w:val="18"/>
          <w:u w:val="single" w:color="auto"/>
          <w:color w:val="auto"/>
        </w:rPr>
        <w:t>DEFINITIONS</w:t>
      </w:r>
      <w:r>
        <w:rPr>
          <w:rFonts w:ascii="Arial" w:cs="Arial" w:eastAsia="Arial" w:hAnsi="Arial"/>
          <w:sz w:val="18"/>
          <w:szCs w:val="18"/>
          <w:color w:val="auto"/>
        </w:rPr>
        <w:t>.</w:t>
      </w:r>
    </w:p>
    <w:p>
      <w:pPr>
        <w:spacing w:after="0" w:line="285" w:lineRule="exact"/>
        <w:rPr>
          <w:sz w:val="20"/>
          <w:szCs w:val="20"/>
          <w:color w:val="auto"/>
        </w:rPr>
      </w:pPr>
    </w:p>
    <w:p>
      <w:pPr>
        <w:ind w:firstLine="648"/>
        <w:spacing w:after="0" w:line="301" w:lineRule="auto"/>
        <w:rPr>
          <w:sz w:val="20"/>
          <w:szCs w:val="20"/>
          <w:color w:val="auto"/>
        </w:rPr>
      </w:pPr>
      <w:r>
        <w:rPr>
          <w:rFonts w:ascii="Arial" w:cs="Arial" w:eastAsia="Arial" w:hAnsi="Arial"/>
          <w:sz w:val="19"/>
          <w:szCs w:val="19"/>
          <w:color w:val="auto"/>
        </w:rPr>
        <w:t xml:space="preserve">2.1. </w:t>
      </w:r>
      <w:r>
        <w:rPr>
          <w:rFonts w:ascii="Arial" w:cs="Arial" w:eastAsia="Arial" w:hAnsi="Arial"/>
          <w:sz w:val="19"/>
          <w:szCs w:val="19"/>
          <w:u w:val="single" w:color="auto"/>
          <w:color w:val="auto"/>
        </w:rPr>
        <w:t>Terms Generally</w:t>
      </w:r>
      <w:r>
        <w:rPr>
          <w:rFonts w:ascii="Arial" w:cs="Arial" w:eastAsia="Arial" w:hAnsi="Arial"/>
          <w:sz w:val="19"/>
          <w:szCs w:val="19"/>
          <w:color w:val="auto"/>
        </w:rPr>
        <w:t>. Except when otherwise indicated by the context, (i) the singular shall include the plural and the plural shall include the singular; (ii) any pronoun shall include the corresponding masculine, feminine and neuter forms; (iii) any definition of or reference to any agreement, instrument or other document herein shall be construed as referring to such agreement, instrument or other document as from time to time amended, restated, supplemented or otherwise modified (subject to any restrictions on such amendments, restatements, supplements or modifications set forth therein or herein), (iv) references to any law, constitution, statute, treaty, regulation, rule or ordinance, including any section or other part thereof shall refer to it as amended from time to time and shall include any successor thereof, (v) reference to a “company” or “entity” shall include a, partnership, corporation, limited liability company, association, trust, unincorporated organization, or a government or agency or political subdivision thereof, and reference to a “person” shall mean any of the foregoing or an individual, (vi) the words “herein”, “hereof” and “hereunder”, and words of similar import, shall be construed to refer to this Plan in its entirety, and not to any particular provision hereof, (vii) all references herein to Sections shall be construed to refer to Sections to this Plan; (viii) the words “include”, “includes” and “including” shall be deemed to be followed by the phrase “without limitation”; and (ix) use of the term “or” is not intended to be exclusive.</w:t>
      </w:r>
    </w:p>
    <w:p>
      <w:pPr>
        <w:spacing w:after="0" w:line="218" w:lineRule="exact"/>
        <w:rPr>
          <w:sz w:val="20"/>
          <w:szCs w:val="20"/>
          <w:color w:val="auto"/>
        </w:rPr>
      </w:pPr>
    </w:p>
    <w:p>
      <w:pPr>
        <w:ind w:left="660"/>
        <w:spacing w:after="0"/>
        <w:tabs>
          <w:tab w:leader="none" w:pos="1500" w:val="left"/>
        </w:tabs>
        <w:rPr>
          <w:sz w:val="20"/>
          <w:szCs w:val="20"/>
          <w:color w:val="auto"/>
        </w:rPr>
      </w:pPr>
      <w:r>
        <w:rPr>
          <w:rFonts w:ascii="Arial" w:cs="Arial" w:eastAsia="Arial" w:hAnsi="Arial"/>
          <w:sz w:val="22"/>
          <w:szCs w:val="22"/>
          <w:color w:val="auto"/>
        </w:rPr>
        <w:t>2.2.</w:t>
      </w:r>
      <w:r>
        <w:rPr>
          <w:sz w:val="20"/>
          <w:szCs w:val="20"/>
          <w:color w:val="auto"/>
        </w:rPr>
        <w:tab/>
      </w:r>
      <w:r>
        <w:rPr>
          <w:rFonts w:ascii="Arial" w:cs="Arial" w:eastAsia="Arial" w:hAnsi="Arial"/>
          <w:sz w:val="19"/>
          <w:szCs w:val="19"/>
          <w:u w:val="single" w:color="auto"/>
          <w:color w:val="auto"/>
        </w:rPr>
        <w:t>Defined Terms</w:t>
      </w:r>
      <w:r>
        <w:rPr>
          <w:rFonts w:ascii="Arial" w:cs="Arial" w:eastAsia="Arial" w:hAnsi="Arial"/>
          <w:sz w:val="19"/>
          <w:szCs w:val="19"/>
          <w:color w:val="auto"/>
        </w:rPr>
        <w:t>. The following terms shall have the meanings ascribed to them in this Section 2:</w:t>
      </w:r>
    </w:p>
    <w:p>
      <w:pPr>
        <w:spacing w:after="0" w:line="281" w:lineRule="exact"/>
        <w:rPr>
          <w:sz w:val="20"/>
          <w:szCs w:val="20"/>
          <w:color w:val="auto"/>
        </w:rPr>
      </w:pPr>
    </w:p>
    <w:p>
      <w:pPr>
        <w:ind w:left="660" w:right="100"/>
        <w:spacing w:after="0" w:line="313" w:lineRule="auto"/>
        <w:rPr>
          <w:sz w:val="20"/>
          <w:szCs w:val="20"/>
          <w:color w:val="auto"/>
        </w:rPr>
      </w:pPr>
      <w:r>
        <w:rPr>
          <w:rFonts w:ascii="Arial" w:cs="Arial" w:eastAsia="Arial" w:hAnsi="Arial"/>
          <w:sz w:val="19"/>
          <w:szCs w:val="19"/>
          <w:color w:val="auto"/>
        </w:rPr>
        <w:t>2.3. “</w:t>
      </w:r>
      <w:r>
        <w:rPr>
          <w:rFonts w:ascii="Arial" w:cs="Arial" w:eastAsia="Arial" w:hAnsi="Arial"/>
          <w:sz w:val="19"/>
          <w:szCs w:val="19"/>
          <w:b w:val="1"/>
          <w:bCs w:val="1"/>
          <w:color w:val="auto"/>
        </w:rPr>
        <w:t>Affiliate</w:t>
      </w:r>
      <w:r>
        <w:rPr>
          <w:rFonts w:ascii="Arial" w:cs="Arial" w:eastAsia="Arial" w:hAnsi="Arial"/>
          <w:sz w:val="19"/>
          <w:szCs w:val="19"/>
          <w:color w:val="auto"/>
        </w:rPr>
        <w:t>” shall mean, (i) with respect to any person, any other person that, directly or indirectly through one or more intermediaries, controls, is controlled by, or is under common control with, such person (with the term “control” or “controlled by” within the meaning of Rule 405 of Regulation C under the Securities Act), including, without limitation, any Parent or Subsidiary, or (ii) for the purpose of 102 Awards, “</w:t>
      </w:r>
      <w:r>
        <w:rPr>
          <w:rFonts w:ascii="Arial" w:cs="Arial" w:eastAsia="Arial" w:hAnsi="Arial"/>
          <w:sz w:val="19"/>
          <w:szCs w:val="19"/>
          <w:b w:val="1"/>
          <w:bCs w:val="1"/>
          <w:color w:val="auto"/>
        </w:rPr>
        <w:t>Affiliate</w:t>
      </w:r>
      <w:r>
        <w:rPr>
          <w:rFonts w:ascii="Arial" w:cs="Arial" w:eastAsia="Arial" w:hAnsi="Arial"/>
          <w:sz w:val="19"/>
          <w:szCs w:val="19"/>
          <w:color w:val="auto"/>
        </w:rPr>
        <w:t>” shall only mean an “employing company” within the meaning and subject to the conditions of Section 102(a) of the Ordinance.</w:t>
      </w:r>
    </w:p>
    <w:p>
      <w:pPr>
        <w:spacing w:after="0" w:line="195" w:lineRule="exact"/>
        <w:rPr>
          <w:sz w:val="20"/>
          <w:szCs w:val="20"/>
          <w:color w:val="auto"/>
        </w:rPr>
      </w:pPr>
    </w:p>
    <w:p>
      <w:pPr>
        <w:ind w:left="660" w:right="140"/>
        <w:spacing w:after="0" w:line="319" w:lineRule="auto"/>
        <w:rPr>
          <w:sz w:val="20"/>
          <w:szCs w:val="20"/>
          <w:color w:val="auto"/>
        </w:rPr>
      </w:pPr>
      <w:r>
        <w:rPr>
          <w:rFonts w:ascii="Arial" w:cs="Arial" w:eastAsia="Arial" w:hAnsi="Arial"/>
          <w:sz w:val="19"/>
          <w:szCs w:val="19"/>
          <w:color w:val="auto"/>
        </w:rPr>
        <w:t>2.4. “</w:t>
      </w:r>
      <w:r>
        <w:rPr>
          <w:rFonts w:ascii="Arial" w:cs="Arial" w:eastAsia="Arial" w:hAnsi="Arial"/>
          <w:sz w:val="19"/>
          <w:szCs w:val="19"/>
          <w:b w:val="1"/>
          <w:bCs w:val="1"/>
          <w:color w:val="auto"/>
        </w:rPr>
        <w:t>Applicable Law</w:t>
      </w:r>
      <w:r>
        <w:rPr>
          <w:rFonts w:ascii="Arial" w:cs="Arial" w:eastAsia="Arial" w:hAnsi="Arial"/>
          <w:sz w:val="19"/>
          <w:szCs w:val="19"/>
          <w:color w:val="auto"/>
        </w:rPr>
        <w:t>” shall mean any applicable law, rule, regulation, statute, pronouncement, policy, interpretation, judgment, order or decree of any federal, provincial, state or local governmental, regulatory or adjudicative authority or agency, of any jurisdiction, and the rules and regulations of any stock exchange, over-the-counter market or trading system on which the Company's shares are then traded or listed.</w:t>
      </w:r>
    </w:p>
    <w:p>
      <w:pPr>
        <w:spacing w:after="0" w:line="188" w:lineRule="exact"/>
        <w:rPr>
          <w:sz w:val="20"/>
          <w:szCs w:val="20"/>
          <w:color w:val="auto"/>
        </w:rPr>
      </w:pPr>
    </w:p>
    <w:p>
      <w:pPr>
        <w:ind w:left="660" w:right="200"/>
        <w:spacing w:after="0" w:line="282" w:lineRule="auto"/>
        <w:rPr>
          <w:sz w:val="20"/>
          <w:szCs w:val="20"/>
          <w:color w:val="auto"/>
        </w:rPr>
      </w:pPr>
      <w:r>
        <w:rPr>
          <w:rFonts w:ascii="Arial" w:cs="Arial" w:eastAsia="Arial" w:hAnsi="Arial"/>
          <w:sz w:val="22"/>
          <w:szCs w:val="22"/>
          <w:color w:val="auto"/>
        </w:rPr>
        <w:t>2.5. “</w:t>
      </w:r>
      <w:r>
        <w:rPr>
          <w:rFonts w:ascii="Arial" w:cs="Arial" w:eastAsia="Arial" w:hAnsi="Arial"/>
          <w:sz w:val="22"/>
          <w:szCs w:val="22"/>
          <w:b w:val="1"/>
          <w:bCs w:val="1"/>
          <w:color w:val="auto"/>
        </w:rPr>
        <w:t>Award</w:t>
      </w:r>
      <w:r>
        <w:rPr>
          <w:rFonts w:ascii="Arial" w:cs="Arial" w:eastAsia="Arial" w:hAnsi="Arial"/>
          <w:sz w:val="22"/>
          <w:szCs w:val="22"/>
          <w:color w:val="auto"/>
        </w:rPr>
        <w:t>” shall mean any Option, Restricted Share, RSUs or any other Share-based award granted under this Plan.</w:t>
      </w:r>
    </w:p>
    <w:p>
      <w:pPr>
        <w:spacing w:after="0" w:line="216" w:lineRule="exact"/>
        <w:rPr>
          <w:sz w:val="20"/>
          <w:szCs w:val="20"/>
          <w:color w:val="auto"/>
        </w:rPr>
      </w:pPr>
    </w:p>
    <w:p>
      <w:pPr>
        <w:ind w:left="660"/>
        <w:spacing w:after="0"/>
        <w:tabs>
          <w:tab w:leader="none" w:pos="1500" w:val="left"/>
        </w:tabs>
        <w:rPr>
          <w:sz w:val="20"/>
          <w:szCs w:val="20"/>
          <w:color w:val="auto"/>
        </w:rPr>
      </w:pPr>
      <w:r>
        <w:rPr>
          <w:rFonts w:ascii="Arial" w:cs="Arial" w:eastAsia="Arial" w:hAnsi="Arial"/>
          <w:sz w:val="22"/>
          <w:szCs w:val="22"/>
          <w:color w:val="auto"/>
        </w:rPr>
        <w:t>2.6.</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color w:val="auto"/>
        </w:rPr>
        <w:t>Board</w:t>
      </w:r>
      <w:r>
        <w:rPr>
          <w:rFonts w:ascii="Arial" w:cs="Arial" w:eastAsia="Arial" w:hAnsi="Arial"/>
          <w:sz w:val="19"/>
          <w:szCs w:val="19"/>
          <w:color w:val="auto"/>
        </w:rPr>
        <w:t>” shall mean the Board of Directors of the Company.</w:t>
      </w:r>
    </w:p>
    <w:p>
      <w:pPr>
        <w:spacing w:after="0" w:line="200" w:lineRule="exact"/>
        <w:rPr>
          <w:sz w:val="20"/>
          <w:szCs w:val="20"/>
          <w:color w:val="auto"/>
        </w:rPr>
      </w:pPr>
    </w:p>
    <w:p>
      <w:pPr>
        <w:spacing w:after="0" w:line="255" w:lineRule="exact"/>
        <w:rPr>
          <w:sz w:val="20"/>
          <w:szCs w:val="20"/>
          <w:color w:val="auto"/>
        </w:rPr>
      </w:pPr>
    </w:p>
    <w:p>
      <w:pPr>
        <w:jc w:val="center"/>
        <w:ind w:right="-519"/>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402" w:right="859" w:bottom="1440" w:gutter="0" w:footer="0" w:header="0"/>
        </w:sectPr>
      </w:pPr>
    </w:p>
    <w:bookmarkStart w:id="188" w:name="page189"/>
    <w:bookmarkEnd w:id="188"/>
    <w:p>
      <w:pPr>
        <w:ind w:left="4"/>
        <w:spacing w:after="0"/>
        <w:tabs>
          <w:tab w:leader="none" w:pos="844" w:val="left"/>
        </w:tabs>
        <w:rPr>
          <w:sz w:val="20"/>
          <w:szCs w:val="20"/>
          <w:color w:val="auto"/>
        </w:rPr>
      </w:pPr>
      <w:r>
        <w:rPr>
          <w:rFonts w:ascii="Arial" w:cs="Arial" w:eastAsia="Arial" w:hAnsi="Arial"/>
          <w:sz w:val="22"/>
          <w:szCs w:val="22"/>
          <w:color w:val="auto"/>
        </w:rPr>
        <w:t>2.7.</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color w:val="auto"/>
        </w:rPr>
        <w:t>Change of Control</w:t>
      </w:r>
      <w:r>
        <w:rPr>
          <w:rFonts w:ascii="Arial" w:cs="Arial" w:eastAsia="Arial" w:hAnsi="Arial"/>
          <w:sz w:val="19"/>
          <w:szCs w:val="19"/>
          <w:color w:val="auto"/>
        </w:rPr>
        <w:t>” shall mean for purposes of this Plan, an event described in paragraphs (i), (ii), (iii)</w:t>
      </w:r>
    </w:p>
    <w:p>
      <w:pPr>
        <w:spacing w:after="0" w:line="27" w:lineRule="exact"/>
        <w:rPr>
          <w:sz w:val="20"/>
          <w:szCs w:val="20"/>
          <w:color w:val="auto"/>
        </w:rPr>
      </w:pPr>
    </w:p>
    <w:p>
      <w:pPr>
        <w:ind w:left="4"/>
        <w:spacing w:after="0"/>
        <w:rPr>
          <w:sz w:val="20"/>
          <w:szCs w:val="20"/>
          <w:color w:val="auto"/>
        </w:rPr>
      </w:pPr>
      <w:r>
        <w:rPr>
          <w:rFonts w:ascii="Arial" w:cs="Arial" w:eastAsia="Arial" w:hAnsi="Arial"/>
          <w:sz w:val="22"/>
          <w:szCs w:val="22"/>
          <w:color w:val="auto"/>
        </w:rPr>
        <w:t>or (iv) below:</w:t>
      </w:r>
    </w:p>
    <w:p>
      <w:pPr>
        <w:spacing w:after="0" w:line="283" w:lineRule="exact"/>
        <w:rPr>
          <w:sz w:val="20"/>
          <w:szCs w:val="20"/>
          <w:color w:val="auto"/>
        </w:rPr>
      </w:pPr>
    </w:p>
    <w:p>
      <w:pPr>
        <w:ind w:left="4" w:right="440" w:hanging="4"/>
        <w:spacing w:after="0" w:line="311" w:lineRule="auto"/>
        <w:tabs>
          <w:tab w:leader="none" w:pos="736" w:val="left"/>
        </w:tabs>
        <w:numPr>
          <w:ilvl w:val="0"/>
          <w:numId w:val="177"/>
        </w:numPr>
        <w:rPr>
          <w:rFonts w:ascii="Arial" w:cs="Arial" w:eastAsia="Arial" w:hAnsi="Arial"/>
          <w:sz w:val="19"/>
          <w:szCs w:val="19"/>
          <w:color w:val="auto"/>
        </w:rPr>
      </w:pPr>
      <w:r>
        <w:rPr>
          <w:rFonts w:ascii="Arial" w:cs="Arial" w:eastAsia="Arial" w:hAnsi="Arial"/>
          <w:sz w:val="19"/>
          <w:szCs w:val="19"/>
          <w:color w:val="auto"/>
        </w:rPr>
        <w:t>A transaction or series of transactions (other than an offering of Shares to the general public through a registration statement filed with the Securities and Exchange Commission) resulting in the acquisition by any Person of beneficial ownership (within the meaning of Rule 13d-3 promulgated under the Exchange Act) of more than 30% of the total combined voting power of the then outstanding Shares; provided, however, that for purposes of this subsection (i), the following acquisitions shall not constitute a Change of Control:</w:t>
      </w:r>
    </w:p>
    <w:p>
      <w:pPr>
        <w:spacing w:after="0" w:line="204" w:lineRule="exact"/>
        <w:rPr>
          <w:rFonts w:ascii="Arial" w:cs="Arial" w:eastAsia="Arial" w:hAnsi="Arial"/>
          <w:sz w:val="19"/>
          <w:szCs w:val="19"/>
          <w:color w:val="auto"/>
        </w:rPr>
      </w:pPr>
    </w:p>
    <w:p>
      <w:pPr>
        <w:ind w:left="1424" w:hanging="776"/>
        <w:spacing w:after="0"/>
        <w:tabs>
          <w:tab w:leader="none" w:pos="1424" w:val="left"/>
        </w:tabs>
        <w:numPr>
          <w:ilvl w:val="1"/>
          <w:numId w:val="177"/>
        </w:numPr>
        <w:rPr>
          <w:rFonts w:ascii="Arial" w:cs="Arial" w:eastAsia="Arial" w:hAnsi="Arial"/>
          <w:sz w:val="22"/>
          <w:szCs w:val="22"/>
          <w:color w:val="auto"/>
        </w:rPr>
      </w:pPr>
      <w:r>
        <w:rPr>
          <w:rFonts w:ascii="Arial" w:cs="Arial" w:eastAsia="Arial" w:hAnsi="Arial"/>
          <w:sz w:val="22"/>
          <w:szCs w:val="22"/>
          <w:color w:val="auto"/>
        </w:rPr>
        <w:t>Any acquisition directly from the Company;</w:t>
      </w:r>
    </w:p>
    <w:p>
      <w:pPr>
        <w:spacing w:after="0" w:line="287" w:lineRule="exact"/>
        <w:rPr>
          <w:rFonts w:ascii="Arial" w:cs="Arial" w:eastAsia="Arial" w:hAnsi="Arial"/>
          <w:sz w:val="22"/>
          <w:szCs w:val="22"/>
          <w:color w:val="auto"/>
        </w:rPr>
      </w:pPr>
    </w:p>
    <w:p>
      <w:pPr>
        <w:ind w:left="644" w:right="1120" w:firstLine="4"/>
        <w:spacing w:after="0" w:line="276" w:lineRule="auto"/>
        <w:tabs>
          <w:tab w:leader="none" w:pos="1424" w:val="left"/>
        </w:tabs>
        <w:numPr>
          <w:ilvl w:val="1"/>
          <w:numId w:val="177"/>
        </w:numPr>
        <w:rPr>
          <w:rFonts w:ascii="Arial" w:cs="Arial" w:eastAsia="Arial" w:hAnsi="Arial"/>
          <w:sz w:val="22"/>
          <w:szCs w:val="22"/>
          <w:color w:val="auto"/>
        </w:rPr>
      </w:pPr>
      <w:r>
        <w:rPr>
          <w:rFonts w:ascii="Arial" w:cs="Arial" w:eastAsia="Arial" w:hAnsi="Arial"/>
          <w:sz w:val="22"/>
          <w:szCs w:val="22"/>
          <w:color w:val="auto"/>
        </w:rPr>
        <w:t>Any acquisition by the Company or by any affiliate (as defined in Rule 405 under the Securities Act) of the Company;</w:t>
      </w:r>
    </w:p>
    <w:p>
      <w:pPr>
        <w:spacing w:after="0" w:line="228" w:lineRule="exact"/>
        <w:rPr>
          <w:rFonts w:ascii="Arial" w:cs="Arial" w:eastAsia="Arial" w:hAnsi="Arial"/>
          <w:sz w:val="22"/>
          <w:szCs w:val="22"/>
          <w:color w:val="auto"/>
        </w:rPr>
      </w:pPr>
    </w:p>
    <w:p>
      <w:pPr>
        <w:ind w:left="644" w:right="600" w:firstLine="4"/>
        <w:spacing w:after="0" w:line="276" w:lineRule="auto"/>
        <w:tabs>
          <w:tab w:leader="none" w:pos="1424" w:val="left"/>
        </w:tabs>
        <w:numPr>
          <w:ilvl w:val="1"/>
          <w:numId w:val="177"/>
        </w:numPr>
        <w:rPr>
          <w:rFonts w:ascii="Arial" w:cs="Arial" w:eastAsia="Arial" w:hAnsi="Arial"/>
          <w:sz w:val="22"/>
          <w:szCs w:val="22"/>
          <w:color w:val="auto"/>
        </w:rPr>
      </w:pPr>
      <w:r>
        <w:rPr>
          <w:rFonts w:ascii="Arial" w:cs="Arial" w:eastAsia="Arial" w:hAnsi="Arial"/>
          <w:sz w:val="22"/>
          <w:szCs w:val="22"/>
          <w:color w:val="auto"/>
        </w:rPr>
        <w:t>Any acquisition by any employee benefit plan (or related trust) sponsored or maintained by the Company or any corporation controlled by the Company; or</w:t>
      </w:r>
    </w:p>
    <w:p>
      <w:pPr>
        <w:spacing w:after="0" w:line="228" w:lineRule="exact"/>
        <w:rPr>
          <w:rFonts w:ascii="Arial" w:cs="Arial" w:eastAsia="Arial" w:hAnsi="Arial"/>
          <w:sz w:val="22"/>
          <w:szCs w:val="22"/>
          <w:color w:val="auto"/>
        </w:rPr>
      </w:pPr>
    </w:p>
    <w:p>
      <w:pPr>
        <w:ind w:left="644" w:right="420" w:firstLine="4"/>
        <w:spacing w:after="0" w:line="276" w:lineRule="auto"/>
        <w:tabs>
          <w:tab w:leader="none" w:pos="1424" w:val="left"/>
        </w:tabs>
        <w:numPr>
          <w:ilvl w:val="1"/>
          <w:numId w:val="177"/>
        </w:numPr>
        <w:rPr>
          <w:rFonts w:ascii="Arial" w:cs="Arial" w:eastAsia="Arial" w:hAnsi="Arial"/>
          <w:sz w:val="22"/>
          <w:szCs w:val="22"/>
          <w:color w:val="auto"/>
        </w:rPr>
      </w:pPr>
      <w:r>
        <w:rPr>
          <w:rFonts w:ascii="Arial" w:cs="Arial" w:eastAsia="Arial" w:hAnsi="Arial"/>
          <w:sz w:val="22"/>
          <w:szCs w:val="22"/>
          <w:color w:val="auto"/>
        </w:rPr>
        <w:t>Any acquisition by any corporation pursuant to a transaction which complies with clauses (1) and (2) of subsection (ii) below.</w:t>
      </w:r>
    </w:p>
    <w:p>
      <w:pPr>
        <w:spacing w:after="0" w:line="228" w:lineRule="exact"/>
        <w:rPr>
          <w:rFonts w:ascii="Arial" w:cs="Arial" w:eastAsia="Arial" w:hAnsi="Arial"/>
          <w:sz w:val="22"/>
          <w:szCs w:val="22"/>
          <w:color w:val="auto"/>
        </w:rPr>
      </w:pPr>
    </w:p>
    <w:p>
      <w:pPr>
        <w:jc w:val="both"/>
        <w:ind w:left="4" w:right="980" w:hanging="4"/>
        <w:spacing w:after="0" w:line="262" w:lineRule="auto"/>
        <w:tabs>
          <w:tab w:leader="none" w:pos="804" w:val="left"/>
        </w:tabs>
        <w:numPr>
          <w:ilvl w:val="0"/>
          <w:numId w:val="177"/>
        </w:numPr>
        <w:rPr>
          <w:rFonts w:ascii="Arial" w:cs="Arial" w:eastAsia="Arial" w:hAnsi="Arial"/>
          <w:sz w:val="22"/>
          <w:szCs w:val="22"/>
          <w:color w:val="auto"/>
        </w:rPr>
      </w:pPr>
      <w:r>
        <w:rPr>
          <w:rFonts w:ascii="Arial" w:cs="Arial" w:eastAsia="Arial" w:hAnsi="Arial"/>
          <w:sz w:val="22"/>
          <w:szCs w:val="22"/>
          <w:color w:val="auto"/>
        </w:rPr>
        <w:t>The consummation of a reorganization, merger or consolidation involving the Company or its Subsidiaries, or a sale or other disposition of all or substantially all of the assets of the Company and its Subsidiaries on a consolidated basis (a “</w:t>
      </w:r>
      <w:r>
        <w:rPr>
          <w:rFonts w:ascii="Arial" w:cs="Arial" w:eastAsia="Arial" w:hAnsi="Arial"/>
          <w:sz w:val="22"/>
          <w:szCs w:val="22"/>
          <w:b w:val="1"/>
          <w:bCs w:val="1"/>
          <w:color w:val="auto"/>
        </w:rPr>
        <w:t>Business Combination</w:t>
      </w:r>
      <w:r>
        <w:rPr>
          <w:rFonts w:ascii="Arial" w:cs="Arial" w:eastAsia="Arial" w:hAnsi="Arial"/>
          <w:sz w:val="22"/>
          <w:szCs w:val="22"/>
          <w:color w:val="auto"/>
        </w:rPr>
        <w:t>”), in each case, unless, following such Business Combination:</w:t>
      </w:r>
    </w:p>
    <w:p>
      <w:pPr>
        <w:spacing w:after="0" w:line="245" w:lineRule="exact"/>
        <w:rPr>
          <w:rFonts w:ascii="Arial" w:cs="Arial" w:eastAsia="Arial" w:hAnsi="Arial"/>
          <w:sz w:val="22"/>
          <w:szCs w:val="22"/>
          <w:color w:val="auto"/>
        </w:rPr>
      </w:pPr>
    </w:p>
    <w:p>
      <w:pPr>
        <w:ind w:left="644" w:right="420" w:firstLine="4"/>
        <w:spacing w:after="0" w:line="308" w:lineRule="auto"/>
        <w:tabs>
          <w:tab w:leader="none" w:pos="1424" w:val="left"/>
        </w:tabs>
        <w:numPr>
          <w:ilvl w:val="1"/>
          <w:numId w:val="177"/>
        </w:numPr>
        <w:rPr>
          <w:rFonts w:ascii="Arial" w:cs="Arial" w:eastAsia="Arial" w:hAnsi="Arial"/>
          <w:sz w:val="19"/>
          <w:szCs w:val="19"/>
          <w:color w:val="auto"/>
        </w:rPr>
      </w:pPr>
      <w:r>
        <w:rPr>
          <w:rFonts w:ascii="Arial" w:cs="Arial" w:eastAsia="Arial" w:hAnsi="Arial"/>
          <w:sz w:val="19"/>
          <w:szCs w:val="19"/>
          <w:color w:val="auto"/>
        </w:rPr>
        <w:t>All or substantially all of the individuals and entities who were the beneficial owners, respectively, of the outstanding Shares immediately prior to such Business Combination beneficially own, directly or indirectly, more than 50% of the then outstanding voting securities entitled to vote generally in the election of directors of the Company or its successor (including, without limitation, an entity which as a result of such transaction owns the Company or all or substantially all of the assets of the Company either directly or through one or more Subsidiaries); and</w:t>
      </w:r>
    </w:p>
    <w:p>
      <w:pPr>
        <w:spacing w:after="0" w:line="207" w:lineRule="exact"/>
        <w:rPr>
          <w:rFonts w:ascii="Arial" w:cs="Arial" w:eastAsia="Arial" w:hAnsi="Arial"/>
          <w:sz w:val="19"/>
          <w:szCs w:val="19"/>
          <w:color w:val="auto"/>
        </w:rPr>
      </w:pPr>
    </w:p>
    <w:p>
      <w:pPr>
        <w:ind w:left="644" w:right="440" w:firstLine="4"/>
        <w:spacing w:after="0" w:line="273" w:lineRule="auto"/>
        <w:tabs>
          <w:tab w:leader="none" w:pos="1436" w:val="left"/>
        </w:tabs>
        <w:numPr>
          <w:ilvl w:val="1"/>
          <w:numId w:val="177"/>
        </w:numPr>
        <w:rPr>
          <w:rFonts w:ascii="Arial" w:cs="Arial" w:eastAsia="Arial" w:hAnsi="Arial"/>
          <w:sz w:val="21"/>
          <w:szCs w:val="21"/>
          <w:color w:val="auto"/>
        </w:rPr>
      </w:pPr>
      <w:r>
        <w:rPr>
          <w:rFonts w:ascii="Arial" w:cs="Arial" w:eastAsia="Arial" w:hAnsi="Arial"/>
          <w:sz w:val="21"/>
          <w:szCs w:val="21"/>
          <w:color w:val="auto"/>
        </w:rPr>
        <w:t>No Person (excluding any corporation resulting from such Business Combination or any employee benefit plan (or related trust) of the Company or its successor resulting from such Business Combination) beneficially owns, directly or indirectly, more than 30% of the then outstanding voting securities of the Company or its successor (including, without limitation, an entity which as a result of such transaction owns the Company or all or substantially all of the assets of the Company either directly or through one or more Subsidiaries) except to the extent that such ownership existed prior to the Business Combination.</w:t>
      </w:r>
    </w:p>
    <w:p>
      <w:pPr>
        <w:spacing w:after="0" w:line="237" w:lineRule="exact"/>
        <w:rPr>
          <w:rFonts w:ascii="Arial" w:cs="Arial" w:eastAsia="Arial" w:hAnsi="Arial"/>
          <w:sz w:val="21"/>
          <w:szCs w:val="21"/>
          <w:color w:val="auto"/>
        </w:rPr>
      </w:pPr>
    </w:p>
    <w:p>
      <w:pPr>
        <w:ind w:left="864" w:hanging="864"/>
        <w:spacing w:after="0"/>
        <w:tabs>
          <w:tab w:leader="none" w:pos="864" w:val="left"/>
        </w:tabs>
        <w:numPr>
          <w:ilvl w:val="0"/>
          <w:numId w:val="177"/>
        </w:numPr>
        <w:rPr>
          <w:rFonts w:ascii="Arial" w:cs="Arial" w:eastAsia="Arial" w:hAnsi="Arial"/>
          <w:sz w:val="22"/>
          <w:szCs w:val="22"/>
          <w:color w:val="auto"/>
        </w:rPr>
      </w:pPr>
      <w:r>
        <w:rPr>
          <w:rFonts w:ascii="Arial" w:cs="Arial" w:eastAsia="Arial" w:hAnsi="Arial"/>
          <w:sz w:val="22"/>
          <w:szCs w:val="22"/>
          <w:color w:val="auto"/>
        </w:rPr>
        <w:t>The Incumbent Directors cease for any reason to constitute a majority of the Board.</w:t>
      </w:r>
    </w:p>
    <w:p>
      <w:pPr>
        <w:spacing w:after="0" w:line="287" w:lineRule="exact"/>
        <w:rPr>
          <w:rFonts w:ascii="Arial" w:cs="Arial" w:eastAsia="Arial" w:hAnsi="Arial"/>
          <w:sz w:val="22"/>
          <w:szCs w:val="22"/>
          <w:color w:val="auto"/>
        </w:rPr>
      </w:pPr>
    </w:p>
    <w:p>
      <w:pPr>
        <w:ind w:left="4" w:right="840" w:hanging="4"/>
        <w:spacing w:after="0" w:line="276" w:lineRule="auto"/>
        <w:tabs>
          <w:tab w:leader="none" w:pos="852" w:val="left"/>
        </w:tabs>
        <w:numPr>
          <w:ilvl w:val="0"/>
          <w:numId w:val="177"/>
        </w:numPr>
        <w:rPr>
          <w:rFonts w:ascii="Arial" w:cs="Arial" w:eastAsia="Arial" w:hAnsi="Arial"/>
          <w:sz w:val="22"/>
          <w:szCs w:val="22"/>
          <w:color w:val="auto"/>
        </w:rPr>
      </w:pPr>
      <w:r>
        <w:rPr>
          <w:rFonts w:ascii="Arial" w:cs="Arial" w:eastAsia="Arial" w:hAnsi="Arial"/>
          <w:sz w:val="22"/>
          <w:szCs w:val="22"/>
          <w:color w:val="auto"/>
        </w:rPr>
        <w:t>The date which is 10 business days prior to the completion of a liquidation or dissolution of the Company.</w:t>
      </w:r>
    </w:p>
    <w:p>
      <w:pPr>
        <w:spacing w:after="0" w:line="228" w:lineRule="exact"/>
        <w:rPr>
          <w:rFonts w:ascii="Arial" w:cs="Arial" w:eastAsia="Arial" w:hAnsi="Arial"/>
          <w:sz w:val="22"/>
          <w:szCs w:val="22"/>
          <w:color w:val="auto"/>
        </w:rPr>
      </w:pPr>
    </w:p>
    <w:p>
      <w:pPr>
        <w:ind w:left="784" w:hanging="784"/>
        <w:spacing w:after="0"/>
        <w:tabs>
          <w:tab w:leader="none" w:pos="784" w:val="left"/>
        </w:tabs>
        <w:numPr>
          <w:ilvl w:val="0"/>
          <w:numId w:val="177"/>
        </w:numPr>
        <w:rPr>
          <w:rFonts w:ascii="Arial" w:cs="Arial" w:eastAsia="Arial" w:hAnsi="Arial"/>
          <w:sz w:val="22"/>
          <w:szCs w:val="22"/>
          <w:color w:val="auto"/>
        </w:rPr>
      </w:pPr>
      <w:r>
        <w:rPr>
          <w:rFonts w:ascii="Arial" w:cs="Arial" w:eastAsia="Arial" w:hAnsi="Arial"/>
          <w:sz w:val="22"/>
          <w:szCs w:val="22"/>
          <w:color w:val="auto"/>
        </w:rPr>
        <w:t>For purposes of this definition of Change in Control only:</w:t>
      </w:r>
    </w:p>
    <w:p>
      <w:pPr>
        <w:spacing w:after="0" w:line="281" w:lineRule="exact"/>
        <w:rPr>
          <w:rFonts w:ascii="Arial" w:cs="Arial" w:eastAsia="Arial" w:hAnsi="Arial"/>
          <w:sz w:val="22"/>
          <w:szCs w:val="22"/>
          <w:color w:val="auto"/>
        </w:rPr>
      </w:pPr>
    </w:p>
    <w:p>
      <w:pPr>
        <w:ind w:left="1444" w:hanging="796"/>
        <w:spacing w:after="0"/>
        <w:tabs>
          <w:tab w:leader="none" w:pos="1444" w:val="left"/>
        </w:tabs>
        <w:numPr>
          <w:ilvl w:val="1"/>
          <w:numId w:val="17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color w:val="auto"/>
        </w:rPr>
        <w:t>Exchange Act</w:t>
      </w:r>
      <w:r>
        <w:rPr>
          <w:rFonts w:ascii="Arial" w:cs="Arial" w:eastAsia="Arial" w:hAnsi="Arial"/>
          <w:sz w:val="22"/>
          <w:szCs w:val="22"/>
          <w:color w:val="auto"/>
        </w:rPr>
        <w:t>” means the Securities Exchange Act of 1934, as amended.</w:t>
      </w:r>
    </w:p>
    <w:p>
      <w:pPr>
        <w:spacing w:after="0" w:line="287" w:lineRule="exact"/>
        <w:rPr>
          <w:rFonts w:ascii="Arial" w:cs="Arial" w:eastAsia="Arial" w:hAnsi="Arial"/>
          <w:sz w:val="22"/>
          <w:szCs w:val="22"/>
          <w:color w:val="auto"/>
        </w:rPr>
      </w:pPr>
    </w:p>
    <w:p>
      <w:pPr>
        <w:ind w:left="644" w:right="420" w:firstLine="4"/>
        <w:spacing w:after="0" w:line="271" w:lineRule="auto"/>
        <w:tabs>
          <w:tab w:leader="none" w:pos="1436" w:val="left"/>
        </w:tabs>
        <w:numPr>
          <w:ilvl w:val="1"/>
          <w:numId w:val="177"/>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b w:val="1"/>
          <w:bCs w:val="1"/>
          <w:color w:val="auto"/>
        </w:rPr>
        <w:t>Incumbent Directors</w:t>
      </w:r>
      <w:r>
        <w:rPr>
          <w:rFonts w:ascii="Arial" w:cs="Arial" w:eastAsia="Arial" w:hAnsi="Arial"/>
          <w:sz w:val="21"/>
          <w:szCs w:val="21"/>
          <w:color w:val="auto"/>
        </w:rPr>
        <w:t>” means, for any period of 12 consecutive months, individuals who, at the beginning of such period, constitute the Board together with any new director(s) (other than a director designated by a Person who shall have entered into an agreement with the Company to effect a transaction described in paragraphs (i) or (ii) above) whose election or nomination for election to the Board was approved by a vote of at least a majority (either by a specific vote or by approval of the proxy statement of the Company in which such Person is named as a nominee for director without objection to such nomination) of the directors then still in office who either were directors at the beginning of the 12-month period or whose election or nomination for election was previously so approved. No individual initially elected or nominated as a director of the Company as a result of an actual or threatened election contest with respect to directors or as a result of any other actual or threatened solicitation of proxies by or on behalf of any Person other than the Board shall be an Incumbent Director.</w:t>
      </w:r>
    </w:p>
    <w:p>
      <w:pPr>
        <w:sectPr>
          <w:pgSz w:w="11900" w:h="16838" w:orient="portrait"/>
          <w:cols w:equalWidth="0" w:num="1">
            <w:col w:w="9924"/>
          </w:cols>
          <w:pgMar w:left="976" w:top="126" w:right="999" w:bottom="0" w:gutter="0" w:footer="0" w:header="0"/>
        </w:sectPr>
      </w:pPr>
    </w:p>
    <w:bookmarkStart w:id="189" w:name="page190"/>
    <w:bookmarkEnd w:id="189"/>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78105</wp:posOffset>
            </wp:positionV>
            <wp:extent cx="7132320" cy="171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564" w:right="1440" w:bottom="1440" w:gutter="0" w:footer="0" w:header="0"/>
        </w:sectPr>
      </w:pPr>
    </w:p>
    <w:bookmarkStart w:id="190" w:name="page191"/>
    <w:bookmarkEnd w:id="190"/>
    <w:p>
      <w:pPr>
        <w:ind w:left="640" w:right="860" w:firstLine="4"/>
        <w:spacing w:after="0" w:line="282" w:lineRule="auto"/>
        <w:tabs>
          <w:tab w:leader="none" w:pos="1486" w:val="left"/>
        </w:tabs>
        <w:numPr>
          <w:ilvl w:val="0"/>
          <w:numId w:val="17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color w:val="auto"/>
        </w:rPr>
        <w:t>Person</w:t>
      </w:r>
      <w:r>
        <w:rPr>
          <w:rFonts w:ascii="Arial" w:cs="Arial" w:eastAsia="Arial" w:hAnsi="Arial"/>
          <w:sz w:val="22"/>
          <w:szCs w:val="22"/>
          <w:color w:val="auto"/>
        </w:rPr>
        <w:t>” means an individual, entity or group (within the meaning of Section I3(d)(3) or 14(d)(2) of the Exchange Act).</w:t>
      </w:r>
    </w:p>
    <w:p>
      <w:pPr>
        <w:spacing w:after="0" w:line="215" w:lineRule="exact"/>
        <w:rPr>
          <w:rFonts w:ascii="Arial" w:cs="Arial" w:eastAsia="Arial" w:hAnsi="Arial"/>
          <w:sz w:val="22"/>
          <w:szCs w:val="22"/>
          <w:color w:val="auto"/>
        </w:rPr>
      </w:pPr>
    </w:p>
    <w:p>
      <w:pPr>
        <w:ind w:left="640" w:right="1300" w:firstLine="4"/>
        <w:spacing w:after="0" w:line="269" w:lineRule="auto"/>
        <w:tabs>
          <w:tab w:leader="none" w:pos="1540" w:val="left"/>
        </w:tabs>
        <w:numPr>
          <w:ilvl w:val="0"/>
          <w:numId w:val="17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b w:val="1"/>
          <w:bCs w:val="1"/>
          <w:color w:val="auto"/>
        </w:rPr>
        <w:t>Shares</w:t>
      </w:r>
      <w:r>
        <w:rPr>
          <w:rFonts w:ascii="Arial" w:cs="Arial" w:eastAsia="Arial" w:hAnsi="Arial"/>
          <w:sz w:val="22"/>
          <w:szCs w:val="22"/>
          <w:color w:val="auto"/>
        </w:rPr>
        <w:t>” means the Company's Ordinary Shares, or any shares substituted for such Ordinary Shares, which the Company is currently authorized to issue or may in the future be authorized to issue.</w:t>
      </w:r>
    </w:p>
    <w:p>
      <w:pPr>
        <w:spacing w:after="0" w:line="229" w:lineRule="exact"/>
        <w:rPr>
          <w:rFonts w:ascii="Arial" w:cs="Arial" w:eastAsia="Arial" w:hAnsi="Arial"/>
          <w:sz w:val="22"/>
          <w:szCs w:val="22"/>
          <w:color w:val="auto"/>
        </w:rPr>
      </w:pPr>
    </w:p>
    <w:p>
      <w:pPr>
        <w:ind w:left="640" w:right="560" w:firstLine="4"/>
        <w:spacing w:after="0" w:line="304" w:lineRule="auto"/>
        <w:tabs>
          <w:tab w:leader="none" w:pos="1432" w:val="left"/>
        </w:tabs>
        <w:numPr>
          <w:ilvl w:val="0"/>
          <w:numId w:val="17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color w:val="auto"/>
        </w:rPr>
        <w:t>Subsidiary</w:t>
      </w:r>
      <w:r>
        <w:rPr>
          <w:rFonts w:ascii="Arial" w:cs="Arial" w:eastAsia="Arial" w:hAnsi="Arial"/>
          <w:sz w:val="19"/>
          <w:szCs w:val="19"/>
          <w:color w:val="auto"/>
        </w:rPr>
        <w:t>” means (i) any corporation in an unbroken chain of corporations beginning with the Company, if each of the corporations other than the last corporation in the unbroken chain owns stock possessing a majority of the total combined voting power of all classes of stock in one of the other corporations in the chain, (ii) any limited partnership, if the Company or any corporation described in item (i)(4) above owns a majority of the general partnership interest and a majority of the limited partnership interests entitled to vote on the removal and replacement of the general partner, and (iii) any partnership or limited liability company, if the partners or members thereof are composed only of the Company, any corporation listed in item (i) above or any limited partnership listed in item (ii) above. “Subsidiaries” means more than one of any such corporations, limited partnerships, partnerships or limited liability companies.</w:t>
      </w:r>
    </w:p>
    <w:p>
      <w:pPr>
        <w:spacing w:after="0" w:line="203" w:lineRule="exact"/>
        <w:rPr>
          <w:sz w:val="20"/>
          <w:szCs w:val="20"/>
          <w:color w:val="auto"/>
        </w:rPr>
      </w:pPr>
    </w:p>
    <w:p>
      <w:pPr>
        <w:ind w:right="460"/>
        <w:spacing w:after="0" w:line="282" w:lineRule="auto"/>
        <w:rPr>
          <w:sz w:val="20"/>
          <w:szCs w:val="20"/>
          <w:color w:val="auto"/>
        </w:rPr>
      </w:pPr>
      <w:r>
        <w:rPr>
          <w:rFonts w:ascii="Arial" w:cs="Arial" w:eastAsia="Arial" w:hAnsi="Arial"/>
          <w:sz w:val="22"/>
          <w:szCs w:val="22"/>
          <w:color w:val="auto"/>
        </w:rPr>
        <w:t>2.8. “</w:t>
      </w:r>
      <w:r>
        <w:rPr>
          <w:rFonts w:ascii="Arial" w:cs="Arial" w:eastAsia="Arial" w:hAnsi="Arial"/>
          <w:sz w:val="22"/>
          <w:szCs w:val="22"/>
          <w:b w:val="1"/>
          <w:bCs w:val="1"/>
          <w:color w:val="auto"/>
        </w:rPr>
        <w:t>Code</w:t>
      </w:r>
      <w:r>
        <w:rPr>
          <w:rFonts w:ascii="Arial" w:cs="Arial" w:eastAsia="Arial" w:hAnsi="Arial"/>
          <w:sz w:val="22"/>
          <w:szCs w:val="22"/>
          <w:color w:val="auto"/>
        </w:rPr>
        <w:t>” shall mean the United States Internal Revenue Code of 1986, and any applicable regulations promulgated thereunder, all as amended.</w:t>
      </w:r>
    </w:p>
    <w:p>
      <w:pPr>
        <w:spacing w:after="0" w:line="216" w:lineRule="exact"/>
        <w:rPr>
          <w:sz w:val="20"/>
          <w:szCs w:val="20"/>
          <w:color w:val="auto"/>
        </w:rPr>
      </w:pPr>
    </w:p>
    <w:p>
      <w:pPr>
        <w:ind w:right="520"/>
        <w:spacing w:after="0" w:line="282" w:lineRule="auto"/>
        <w:rPr>
          <w:sz w:val="20"/>
          <w:szCs w:val="20"/>
          <w:color w:val="auto"/>
        </w:rPr>
      </w:pPr>
      <w:r>
        <w:rPr>
          <w:rFonts w:ascii="Arial" w:cs="Arial" w:eastAsia="Arial" w:hAnsi="Arial"/>
          <w:sz w:val="22"/>
          <w:szCs w:val="22"/>
          <w:color w:val="auto"/>
        </w:rPr>
        <w:t>2.9. “</w:t>
      </w:r>
      <w:r>
        <w:rPr>
          <w:rFonts w:ascii="Arial" w:cs="Arial" w:eastAsia="Arial" w:hAnsi="Arial"/>
          <w:sz w:val="22"/>
          <w:szCs w:val="22"/>
          <w:b w:val="1"/>
          <w:bCs w:val="1"/>
          <w:color w:val="auto"/>
        </w:rPr>
        <w:t>Committee</w:t>
      </w:r>
      <w:r>
        <w:rPr>
          <w:rFonts w:ascii="Arial" w:cs="Arial" w:eastAsia="Arial" w:hAnsi="Arial"/>
          <w:sz w:val="22"/>
          <w:szCs w:val="22"/>
          <w:color w:val="auto"/>
        </w:rPr>
        <w:t>” shall mean a committee established or appointed by the Board to administer this Plan, subject to Section 3.1.</w:t>
      </w:r>
    </w:p>
    <w:p>
      <w:pPr>
        <w:spacing w:after="0" w:line="216" w:lineRule="exact"/>
        <w:rPr>
          <w:sz w:val="20"/>
          <w:szCs w:val="20"/>
          <w:color w:val="auto"/>
        </w:rPr>
      </w:pPr>
    </w:p>
    <w:p>
      <w:pPr>
        <w:ind w:right="180"/>
        <w:spacing w:after="0" w:line="282" w:lineRule="auto"/>
        <w:rPr>
          <w:sz w:val="20"/>
          <w:szCs w:val="20"/>
          <w:color w:val="auto"/>
        </w:rPr>
      </w:pPr>
      <w:r>
        <w:rPr>
          <w:rFonts w:ascii="Arial" w:cs="Arial" w:eastAsia="Arial" w:hAnsi="Arial"/>
          <w:sz w:val="22"/>
          <w:szCs w:val="22"/>
          <w:color w:val="auto"/>
        </w:rPr>
        <w:t>2.10. “</w:t>
      </w:r>
      <w:r>
        <w:rPr>
          <w:rFonts w:ascii="Arial" w:cs="Arial" w:eastAsia="Arial" w:hAnsi="Arial"/>
          <w:sz w:val="22"/>
          <w:szCs w:val="22"/>
          <w:b w:val="1"/>
          <w:bCs w:val="1"/>
          <w:color w:val="auto"/>
        </w:rPr>
        <w:t>Companies Law</w:t>
      </w:r>
      <w:r>
        <w:rPr>
          <w:rFonts w:ascii="Arial" w:cs="Arial" w:eastAsia="Arial" w:hAnsi="Arial"/>
          <w:sz w:val="22"/>
          <w:szCs w:val="22"/>
          <w:color w:val="auto"/>
        </w:rPr>
        <w:t>” shall mean the Israel Companies Law, 5759-1999, and the regulations promulgated thereunder, all as amended from time to time.</w:t>
      </w:r>
    </w:p>
    <w:p>
      <w:pPr>
        <w:spacing w:after="0" w:line="216" w:lineRule="exact"/>
        <w:rPr>
          <w:sz w:val="20"/>
          <w:szCs w:val="20"/>
          <w:color w:val="auto"/>
        </w:rPr>
      </w:pPr>
    </w:p>
    <w:p>
      <w:pPr>
        <w:spacing w:after="0"/>
        <w:tabs>
          <w:tab w:leader="none" w:pos="940" w:val="left"/>
        </w:tabs>
        <w:rPr>
          <w:sz w:val="20"/>
          <w:szCs w:val="20"/>
          <w:color w:val="auto"/>
        </w:rPr>
      </w:pPr>
      <w:r>
        <w:rPr>
          <w:rFonts w:ascii="Arial" w:cs="Arial" w:eastAsia="Arial" w:hAnsi="Arial"/>
          <w:sz w:val="22"/>
          <w:szCs w:val="22"/>
          <w:color w:val="auto"/>
        </w:rPr>
        <w:t>2.11.</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color w:val="auto"/>
        </w:rPr>
        <w:t>Controlling Shareholder</w:t>
      </w:r>
      <w:r>
        <w:rPr>
          <w:rFonts w:ascii="Arial" w:cs="Arial" w:eastAsia="Arial" w:hAnsi="Arial"/>
          <w:sz w:val="19"/>
          <w:szCs w:val="19"/>
          <w:color w:val="auto"/>
        </w:rPr>
        <w:t>” shall have the meaning set forth in Section 32(9) of the Ordinance.</w:t>
      </w:r>
    </w:p>
    <w:p>
      <w:pPr>
        <w:spacing w:after="0" w:line="287" w:lineRule="exact"/>
        <w:rPr>
          <w:sz w:val="20"/>
          <w:szCs w:val="20"/>
          <w:color w:val="auto"/>
        </w:rPr>
      </w:pPr>
    </w:p>
    <w:p>
      <w:pPr>
        <w:spacing w:after="0" w:line="259" w:lineRule="auto"/>
        <w:rPr>
          <w:sz w:val="20"/>
          <w:szCs w:val="20"/>
          <w:color w:val="auto"/>
        </w:rPr>
      </w:pPr>
      <w:r>
        <w:rPr>
          <w:rFonts w:ascii="Arial" w:cs="Arial" w:eastAsia="Arial" w:hAnsi="Arial"/>
          <w:sz w:val="22"/>
          <w:szCs w:val="22"/>
          <w:color w:val="auto"/>
        </w:rPr>
        <w:t>2.12. “</w:t>
      </w:r>
      <w:r>
        <w:rPr>
          <w:rFonts w:ascii="Arial" w:cs="Arial" w:eastAsia="Arial" w:hAnsi="Arial"/>
          <w:sz w:val="22"/>
          <w:szCs w:val="22"/>
          <w:b w:val="1"/>
          <w:bCs w:val="1"/>
          <w:color w:val="auto"/>
        </w:rPr>
        <w:t>Disability</w:t>
      </w:r>
      <w:r>
        <w:rPr>
          <w:rFonts w:ascii="Arial" w:cs="Arial" w:eastAsia="Arial" w:hAnsi="Arial"/>
          <w:sz w:val="22"/>
          <w:szCs w:val="22"/>
          <w:color w:val="auto"/>
        </w:rPr>
        <w:t>” shall mean (i) the inability of a Grantee to engage in any substantial gainful activity or to perform the major duties of the Grantee’s position with the Company or its Affiliates by reason of any medically determinable physical or mental impairment which has lasted or can be expected to last for a continuous period of not less than 12 months (or such other period as determined by the Committee), as determined by a qualified doctor acceptable to the Company, (ii) if applicable, a “permanent and total disability” as defined in Section 22(e)(3) of the Code or Section 409A(a)(2)(c)(i) of the Code, as amended from time to time, or (iii) as defined in a policy of the Company that the Committee deems applicable to this Plan, or that makes reference to this Plan, for purposes of this definition.</w:t>
      </w:r>
    </w:p>
    <w:p>
      <w:pPr>
        <w:spacing w:after="0" w:line="246" w:lineRule="exact"/>
        <w:rPr>
          <w:sz w:val="20"/>
          <w:szCs w:val="20"/>
          <w:color w:val="auto"/>
        </w:rPr>
      </w:pPr>
    </w:p>
    <w:p>
      <w:pPr>
        <w:ind w:right="20"/>
        <w:spacing w:after="0" w:line="304" w:lineRule="auto"/>
        <w:rPr>
          <w:sz w:val="20"/>
          <w:szCs w:val="20"/>
          <w:color w:val="auto"/>
        </w:rPr>
      </w:pPr>
      <w:r>
        <w:rPr>
          <w:rFonts w:ascii="Arial" w:cs="Arial" w:eastAsia="Arial" w:hAnsi="Arial"/>
          <w:sz w:val="19"/>
          <w:szCs w:val="19"/>
          <w:color w:val="auto"/>
        </w:rPr>
        <w:t>2.13. “</w:t>
      </w:r>
      <w:r>
        <w:rPr>
          <w:rFonts w:ascii="Arial" w:cs="Arial" w:eastAsia="Arial" w:hAnsi="Arial"/>
          <w:sz w:val="19"/>
          <w:szCs w:val="19"/>
          <w:b w:val="1"/>
          <w:bCs w:val="1"/>
          <w:color w:val="auto"/>
        </w:rPr>
        <w:t>Employee</w:t>
      </w:r>
      <w:r>
        <w:rPr>
          <w:rFonts w:ascii="Arial" w:cs="Arial" w:eastAsia="Arial" w:hAnsi="Arial"/>
          <w:sz w:val="19"/>
          <w:szCs w:val="19"/>
          <w:color w:val="auto"/>
        </w:rPr>
        <w:t>” shall mean any person treated as an employee (including an officer or a director who is also treated as an employee) in the records of the Company or any of its Affiliates (and in the case of 102 Awards, subject to Section 9.3 or in the case of Incentive Stock Options, who is an employee for purposes of Section 422 of the Code); provided, however, that neither service as a director nor payment of a director’s fee shall be sufficient to constitute employment for purposes of this Plan. The Company shall determine in good faith and in the exercise of its discretion whether an individual has become or has ceased to be an Employee and the effective date of such individual’s employment or termination of employment, as the case may be. For purposes of a person’s rights, if any, under this Plan as of the time of the Company’s determination, all such determinations by the Company shall be final, binding and conclusive, notwithstanding that the Company or any court of law or governmental agency subsequently makes a contrary determination.</w:t>
      </w:r>
    </w:p>
    <w:p>
      <w:pPr>
        <w:spacing w:after="0" w:line="370" w:lineRule="exact"/>
        <w:rPr>
          <w:sz w:val="20"/>
          <w:szCs w:val="20"/>
          <w:color w:val="auto"/>
        </w:rPr>
      </w:pPr>
    </w:p>
    <w:p>
      <w:pPr>
        <w:jc w:val="center"/>
        <w:ind w:right="120"/>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41275</wp:posOffset>
            </wp:positionV>
            <wp:extent cx="7132320" cy="171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060"/>
          </w:cols>
          <w:pgMar w:left="980" w:top="396" w:right="859" w:bottom="1440" w:gutter="0" w:footer="0" w:header="0"/>
        </w:sectPr>
      </w:pPr>
    </w:p>
    <w:bookmarkStart w:id="191" w:name="page192"/>
    <w:bookmarkEnd w:id="191"/>
    <w:p>
      <w:pPr>
        <w:ind w:right="80"/>
        <w:spacing w:after="0" w:line="282" w:lineRule="auto"/>
        <w:rPr>
          <w:sz w:val="20"/>
          <w:szCs w:val="20"/>
          <w:color w:val="auto"/>
        </w:rPr>
      </w:pPr>
      <w:r>
        <w:rPr>
          <w:rFonts w:ascii="Arial" w:cs="Arial" w:eastAsia="Arial" w:hAnsi="Arial"/>
          <w:sz w:val="22"/>
          <w:szCs w:val="22"/>
          <w:color w:val="auto"/>
        </w:rPr>
        <w:t>2.14. “</w:t>
      </w:r>
      <w:r>
        <w:rPr>
          <w:rFonts w:ascii="Arial" w:cs="Arial" w:eastAsia="Arial" w:hAnsi="Arial"/>
          <w:sz w:val="22"/>
          <w:szCs w:val="22"/>
          <w:b w:val="1"/>
          <w:bCs w:val="1"/>
          <w:color w:val="auto"/>
        </w:rPr>
        <w:t>employment</w:t>
      </w:r>
      <w:r>
        <w:rPr>
          <w:rFonts w:ascii="Arial" w:cs="Arial" w:eastAsia="Arial" w:hAnsi="Arial"/>
          <w:sz w:val="22"/>
          <w:szCs w:val="22"/>
          <w:color w:val="auto"/>
        </w:rPr>
        <w:t>”, “</w:t>
      </w:r>
      <w:r>
        <w:rPr>
          <w:rFonts w:ascii="Arial" w:cs="Arial" w:eastAsia="Arial" w:hAnsi="Arial"/>
          <w:sz w:val="22"/>
          <w:szCs w:val="22"/>
          <w:b w:val="1"/>
          <w:bCs w:val="1"/>
          <w:color w:val="auto"/>
        </w:rPr>
        <w:t>employed</w:t>
      </w:r>
      <w:r>
        <w:rPr>
          <w:rFonts w:ascii="Arial" w:cs="Arial" w:eastAsia="Arial" w:hAnsi="Arial"/>
          <w:sz w:val="22"/>
          <w:szCs w:val="22"/>
          <w:color w:val="auto"/>
        </w:rPr>
        <w:t>” and words of similar import shall be deemed to refer to the employment of Employees or to the services of any other Service Provider, as the case may be.</w:t>
      </w:r>
    </w:p>
    <w:p>
      <w:pPr>
        <w:spacing w:after="0" w:line="216" w:lineRule="exact"/>
        <w:rPr>
          <w:sz w:val="20"/>
          <w:szCs w:val="20"/>
          <w:color w:val="auto"/>
        </w:rPr>
      </w:pPr>
    </w:p>
    <w:p>
      <w:pPr>
        <w:ind w:right="60"/>
        <w:spacing w:after="0" w:line="264" w:lineRule="auto"/>
        <w:rPr>
          <w:sz w:val="20"/>
          <w:szCs w:val="20"/>
          <w:color w:val="auto"/>
        </w:rPr>
      </w:pPr>
      <w:r>
        <w:rPr>
          <w:rFonts w:ascii="Arial" w:cs="Arial" w:eastAsia="Arial" w:hAnsi="Arial"/>
          <w:sz w:val="22"/>
          <w:szCs w:val="22"/>
          <w:color w:val="auto"/>
        </w:rPr>
        <w:t>2.15. “</w:t>
      </w:r>
      <w:r>
        <w:rPr>
          <w:rFonts w:ascii="Arial" w:cs="Arial" w:eastAsia="Arial" w:hAnsi="Arial"/>
          <w:sz w:val="22"/>
          <w:szCs w:val="22"/>
          <w:b w:val="1"/>
          <w:bCs w:val="1"/>
          <w:color w:val="auto"/>
        </w:rPr>
        <w:t>exercise</w:t>
      </w:r>
      <w:r>
        <w:rPr>
          <w:rFonts w:ascii="Arial" w:cs="Arial" w:eastAsia="Arial" w:hAnsi="Arial"/>
          <w:sz w:val="22"/>
          <w:szCs w:val="22"/>
          <w:color w:val="auto"/>
        </w:rPr>
        <w:t>” “</w:t>
      </w:r>
      <w:r>
        <w:rPr>
          <w:rFonts w:ascii="Arial" w:cs="Arial" w:eastAsia="Arial" w:hAnsi="Arial"/>
          <w:sz w:val="22"/>
          <w:szCs w:val="22"/>
          <w:b w:val="1"/>
          <w:bCs w:val="1"/>
          <w:color w:val="auto"/>
        </w:rPr>
        <w:t>exercised</w:t>
      </w:r>
      <w:r>
        <w:rPr>
          <w:rFonts w:ascii="Arial" w:cs="Arial" w:eastAsia="Arial" w:hAnsi="Arial"/>
          <w:sz w:val="22"/>
          <w:szCs w:val="22"/>
          <w:color w:val="auto"/>
        </w:rPr>
        <w:t>” and words of similar import, when referring to an Award that does not require exercise or that is settled upon vesting (such as may be the case with RSUs or Restricted Shares, if so determined in their terms), shall be deemed to refer to the vesting of such an Award (regardless of whether or not the wording included reference to vesting of such an Awards explicitly).</w:t>
      </w:r>
    </w:p>
    <w:p>
      <w:pPr>
        <w:spacing w:after="0" w:line="237" w:lineRule="exact"/>
        <w:rPr>
          <w:sz w:val="20"/>
          <w:szCs w:val="20"/>
          <w:color w:val="auto"/>
        </w:rPr>
      </w:pPr>
    </w:p>
    <w:p>
      <w:pPr>
        <w:jc w:val="both"/>
        <w:ind w:right="140"/>
        <w:spacing w:after="0" w:line="269" w:lineRule="auto"/>
        <w:rPr>
          <w:sz w:val="20"/>
          <w:szCs w:val="20"/>
          <w:color w:val="auto"/>
        </w:rPr>
      </w:pPr>
      <w:r>
        <w:rPr>
          <w:rFonts w:ascii="Arial" w:cs="Arial" w:eastAsia="Arial" w:hAnsi="Arial"/>
          <w:sz w:val="22"/>
          <w:szCs w:val="22"/>
          <w:color w:val="auto"/>
        </w:rPr>
        <w:t>2.16. “</w:t>
      </w:r>
      <w:r>
        <w:rPr>
          <w:rFonts w:ascii="Arial" w:cs="Arial" w:eastAsia="Arial" w:hAnsi="Arial"/>
          <w:sz w:val="22"/>
          <w:szCs w:val="22"/>
          <w:b w:val="1"/>
          <w:bCs w:val="1"/>
          <w:color w:val="auto"/>
        </w:rPr>
        <w:t>Exercise Period</w:t>
      </w:r>
      <w:r>
        <w:rPr>
          <w:rFonts w:ascii="Arial" w:cs="Arial" w:eastAsia="Arial" w:hAnsi="Arial"/>
          <w:sz w:val="22"/>
          <w:szCs w:val="22"/>
          <w:color w:val="auto"/>
        </w:rPr>
        <w:t>” shall mean the period, commencing on the date of grant of an Award, during which an Award shall be exercisable, subject to any vesting provisions thereof (including any acceleration thereof, if any) and subject to the termination provisions hereof.</w:t>
      </w:r>
    </w:p>
    <w:p>
      <w:pPr>
        <w:spacing w:after="0" w:line="229" w:lineRule="exact"/>
        <w:rPr>
          <w:sz w:val="20"/>
          <w:szCs w:val="20"/>
          <w:color w:val="auto"/>
        </w:rPr>
      </w:pPr>
    </w:p>
    <w:p>
      <w:pPr>
        <w:ind w:right="440"/>
        <w:spacing w:after="0" w:line="282" w:lineRule="auto"/>
        <w:rPr>
          <w:sz w:val="20"/>
          <w:szCs w:val="20"/>
          <w:color w:val="auto"/>
        </w:rPr>
      </w:pPr>
      <w:r>
        <w:rPr>
          <w:rFonts w:ascii="Arial" w:cs="Arial" w:eastAsia="Arial" w:hAnsi="Arial"/>
          <w:sz w:val="22"/>
          <w:szCs w:val="22"/>
          <w:color w:val="auto"/>
        </w:rPr>
        <w:t>2.17. “</w:t>
      </w:r>
      <w:r>
        <w:rPr>
          <w:rFonts w:ascii="Arial" w:cs="Arial" w:eastAsia="Arial" w:hAnsi="Arial"/>
          <w:sz w:val="22"/>
          <w:szCs w:val="22"/>
          <w:b w:val="1"/>
          <w:bCs w:val="1"/>
          <w:color w:val="auto"/>
        </w:rPr>
        <w:t>Exercise Price</w:t>
      </w:r>
      <w:r>
        <w:rPr>
          <w:rFonts w:ascii="Arial" w:cs="Arial" w:eastAsia="Arial" w:hAnsi="Arial"/>
          <w:sz w:val="22"/>
          <w:szCs w:val="22"/>
          <w:color w:val="auto"/>
        </w:rPr>
        <w:t>” shall mean the exercise price for each Share covered by an Option or the purchase price for each Share covered by any other Award.</w:t>
      </w:r>
    </w:p>
    <w:p>
      <w:pPr>
        <w:spacing w:after="0" w:line="216" w:lineRule="exact"/>
        <w:rPr>
          <w:sz w:val="20"/>
          <w:szCs w:val="20"/>
          <w:color w:val="auto"/>
        </w:rPr>
      </w:pPr>
    </w:p>
    <w:p>
      <w:pPr>
        <w:spacing w:after="0" w:line="300" w:lineRule="auto"/>
        <w:rPr>
          <w:sz w:val="20"/>
          <w:szCs w:val="20"/>
          <w:color w:val="auto"/>
        </w:rPr>
      </w:pPr>
      <w:r>
        <w:rPr>
          <w:rFonts w:ascii="Arial" w:cs="Arial" w:eastAsia="Arial" w:hAnsi="Arial"/>
          <w:sz w:val="19"/>
          <w:szCs w:val="19"/>
          <w:color w:val="auto"/>
        </w:rPr>
        <w:t>2.18. “</w:t>
      </w:r>
      <w:r>
        <w:rPr>
          <w:rFonts w:ascii="Arial" w:cs="Arial" w:eastAsia="Arial" w:hAnsi="Arial"/>
          <w:sz w:val="19"/>
          <w:szCs w:val="19"/>
          <w:b w:val="1"/>
          <w:bCs w:val="1"/>
          <w:color w:val="auto"/>
        </w:rPr>
        <w:t>Fair Market Value</w:t>
      </w:r>
      <w:r>
        <w:rPr>
          <w:rFonts w:ascii="Arial" w:cs="Arial" w:eastAsia="Arial" w:hAnsi="Arial"/>
          <w:sz w:val="19"/>
          <w:szCs w:val="19"/>
          <w:color w:val="auto"/>
        </w:rPr>
        <w:t>” shall mean, as of any date, the value of a Share or other property as determined by the Board, in its discretion, subject to the following: (i) if, on such date, the Shares are listed on any securities exchange, the average closing sales price per Share on which the Shares are principally traded over the thirty (30) day calendar period preceding the subject date (utilizing all trading days during such 30 calendar day period), as reported in The Wall Street Journal or such other source as the Company deems reliable; (ii) if, on such date, the Shares are then quoted in an over-the-counter market, the average of the closing bid and asked prices for the Shares in that market during the thirty (30) day calendar period preceding the subject date (utilizing all trading days during such 30 calendar day period), as reported in The Wall Street Journal or such other source as the Company deems reliable; (iii) if, on such date, the Shares are not then listed on a securities exchange or quoted in an over-the-counter market, or in case of any other property, such value as the Committee, in its sole discretion, shall determine, with full authority to determine the method for making such determination and which determination shall be conclusive and binding on all parties, and shall be made after such consultations with outside legal, accounting and other experts as the Committee may deem advisable; provided, however, that, if applicable, the Fair Market Value of the Shares shall be determined in a manner that satisfies the applicable requirements of and subject to Section 409A of the Code, and with respect to Incentive Stock Options, in a manner that satisfies the applicable requirements of and subject to Section 422 of the Code, subject to Section 422(c)(7) of the Code. The Committee shall maintain a written record of its method of determining such value. If the Shares are listed or quoted on more than one established stock exchange or over-the-counter market, the Committee shall determine the principal such exchange or market and utilize the price of the Shares on that exchange or market (determined as per the method described in clauses (i) or (ii) above, as applicable) for the purpose of determining Fair Market Value.</w:t>
      </w:r>
    </w:p>
    <w:p>
      <w:pPr>
        <w:spacing w:after="0" w:line="208" w:lineRule="exact"/>
        <w:rPr>
          <w:sz w:val="20"/>
          <w:szCs w:val="20"/>
          <w:color w:val="auto"/>
        </w:rPr>
      </w:pPr>
    </w:p>
    <w:p>
      <w:pPr>
        <w:spacing w:after="0"/>
        <w:tabs>
          <w:tab w:leader="none" w:pos="940" w:val="left"/>
        </w:tabs>
        <w:rPr>
          <w:sz w:val="20"/>
          <w:szCs w:val="20"/>
          <w:color w:val="auto"/>
        </w:rPr>
      </w:pPr>
      <w:r>
        <w:rPr>
          <w:rFonts w:ascii="Arial" w:cs="Arial" w:eastAsia="Arial" w:hAnsi="Arial"/>
          <w:sz w:val="22"/>
          <w:szCs w:val="22"/>
          <w:color w:val="auto"/>
        </w:rPr>
        <w:t>2.19.</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color w:val="auto"/>
        </w:rPr>
        <w:t>Grantee</w:t>
      </w:r>
      <w:r>
        <w:rPr>
          <w:rFonts w:ascii="Arial" w:cs="Arial" w:eastAsia="Arial" w:hAnsi="Arial"/>
          <w:sz w:val="19"/>
          <w:szCs w:val="19"/>
          <w:color w:val="auto"/>
        </w:rPr>
        <w:t>” shall mean a person who has been granted an Award(s) under this Plan.</w:t>
      </w:r>
    </w:p>
    <w:p>
      <w:pPr>
        <w:spacing w:after="0" w:line="287" w:lineRule="exact"/>
        <w:rPr>
          <w:sz w:val="20"/>
          <w:szCs w:val="20"/>
          <w:color w:val="auto"/>
        </w:rPr>
      </w:pPr>
    </w:p>
    <w:p>
      <w:pPr>
        <w:ind w:right="60"/>
        <w:spacing w:after="0" w:line="282" w:lineRule="auto"/>
        <w:rPr>
          <w:sz w:val="20"/>
          <w:szCs w:val="20"/>
          <w:color w:val="auto"/>
        </w:rPr>
      </w:pPr>
      <w:r>
        <w:rPr>
          <w:rFonts w:ascii="Arial" w:cs="Arial" w:eastAsia="Arial" w:hAnsi="Arial"/>
          <w:sz w:val="22"/>
          <w:szCs w:val="22"/>
          <w:color w:val="auto"/>
        </w:rPr>
        <w:t>2.20. “</w:t>
      </w:r>
      <w:r>
        <w:rPr>
          <w:rFonts w:ascii="Arial" w:cs="Arial" w:eastAsia="Arial" w:hAnsi="Arial"/>
          <w:sz w:val="22"/>
          <w:szCs w:val="22"/>
          <w:b w:val="1"/>
          <w:bCs w:val="1"/>
          <w:color w:val="auto"/>
        </w:rPr>
        <w:t>Ordinance</w:t>
      </w:r>
      <w:r>
        <w:rPr>
          <w:rFonts w:ascii="Arial" w:cs="Arial" w:eastAsia="Arial" w:hAnsi="Arial"/>
          <w:sz w:val="22"/>
          <w:szCs w:val="22"/>
          <w:color w:val="auto"/>
        </w:rPr>
        <w:t>” shall mean the Israeli Income Tax Ordinance (New Version) 1961, and the regulations and rules (including the Rules) promulgated thereunder, all as amended from time to time.</w:t>
      </w:r>
    </w:p>
    <w:p>
      <w:pPr>
        <w:spacing w:after="0" w:line="216" w:lineRule="exact"/>
        <w:rPr>
          <w:sz w:val="20"/>
          <w:szCs w:val="20"/>
          <w:color w:val="auto"/>
        </w:rPr>
      </w:pPr>
    </w:p>
    <w:p>
      <w:pPr>
        <w:ind w:right="40"/>
        <w:spacing w:after="0" w:line="261" w:lineRule="auto"/>
        <w:rPr>
          <w:sz w:val="20"/>
          <w:szCs w:val="20"/>
          <w:color w:val="auto"/>
        </w:rPr>
      </w:pPr>
      <w:r>
        <w:rPr>
          <w:rFonts w:ascii="Arial" w:cs="Arial" w:eastAsia="Arial" w:hAnsi="Arial"/>
          <w:sz w:val="22"/>
          <w:szCs w:val="22"/>
          <w:color w:val="auto"/>
        </w:rPr>
        <w:t>2.21. “</w:t>
      </w:r>
      <w:r>
        <w:rPr>
          <w:rFonts w:ascii="Arial" w:cs="Arial" w:eastAsia="Arial" w:hAnsi="Arial"/>
          <w:sz w:val="22"/>
          <w:szCs w:val="22"/>
          <w:b w:val="1"/>
          <w:bCs w:val="1"/>
          <w:color w:val="auto"/>
        </w:rPr>
        <w:t>Parent</w:t>
      </w:r>
      <w:r>
        <w:rPr>
          <w:rFonts w:ascii="Arial" w:cs="Arial" w:eastAsia="Arial" w:hAnsi="Arial"/>
          <w:sz w:val="22"/>
          <w:szCs w:val="22"/>
          <w:color w:val="auto"/>
        </w:rPr>
        <w:t>” shall mean any company (other than the Company), which now exists or is hereafter organized, (i) in an unbroken chain of companies ending with the Company if, at the time of granting an Award, each of the companies (other than the Company) owns stock possessing fifty percent (50%) or more of the total combined voting power of all classes of stock in one of the other companies in such chain, or (ii) if applicable and for purposes of Incentive Stock Options, that is a “parent corporation” of the Company, as defined in Section 424(e) of the Code.</w:t>
      </w:r>
    </w:p>
    <w:p>
      <w:pPr>
        <w:spacing w:after="0" w:line="200" w:lineRule="exact"/>
        <w:rPr>
          <w:sz w:val="20"/>
          <w:szCs w:val="20"/>
          <w:color w:val="auto"/>
        </w:rPr>
      </w:pPr>
    </w:p>
    <w:p>
      <w:pPr>
        <w:spacing w:after="0" w:line="207" w:lineRule="exact"/>
        <w:rPr>
          <w:sz w:val="20"/>
          <w:szCs w:val="20"/>
          <w:color w:val="auto"/>
        </w:rPr>
      </w:pPr>
    </w:p>
    <w:p>
      <w:pPr>
        <w:jc w:val="center"/>
        <w:ind w:right="120"/>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41275</wp:posOffset>
            </wp:positionV>
            <wp:extent cx="7132320" cy="171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060"/>
          </w:cols>
          <w:pgMar w:left="980" w:top="396" w:right="859" w:bottom="1440" w:gutter="0" w:footer="0" w:header="0"/>
        </w:sectPr>
      </w:pPr>
    </w:p>
    <w:bookmarkStart w:id="192" w:name="page193"/>
    <w:bookmarkEnd w:id="192"/>
    <w:p>
      <w:pPr>
        <w:jc w:val="both"/>
        <w:ind w:right="40"/>
        <w:spacing w:after="0" w:line="269" w:lineRule="auto"/>
        <w:rPr>
          <w:sz w:val="20"/>
          <w:szCs w:val="20"/>
          <w:color w:val="auto"/>
        </w:rPr>
      </w:pPr>
      <w:r>
        <w:rPr>
          <w:rFonts w:ascii="Arial" w:cs="Arial" w:eastAsia="Arial" w:hAnsi="Arial"/>
          <w:sz w:val="22"/>
          <w:szCs w:val="22"/>
          <w:color w:val="auto"/>
        </w:rPr>
        <w:t>2.22. “</w:t>
      </w:r>
      <w:r>
        <w:rPr>
          <w:rFonts w:ascii="Arial" w:cs="Arial" w:eastAsia="Arial" w:hAnsi="Arial"/>
          <w:sz w:val="22"/>
          <w:szCs w:val="22"/>
          <w:b w:val="1"/>
          <w:bCs w:val="1"/>
          <w:color w:val="auto"/>
        </w:rPr>
        <w:t>Retirement</w:t>
      </w:r>
      <w:r>
        <w:rPr>
          <w:rFonts w:ascii="Arial" w:cs="Arial" w:eastAsia="Arial" w:hAnsi="Arial"/>
          <w:sz w:val="22"/>
          <w:szCs w:val="22"/>
          <w:color w:val="auto"/>
        </w:rPr>
        <w:t>” shall mean a Grantee's retirement pursuant to Applicable Law or in accordance with the terms of any tax-qualified retirement plan maintained by the Company or any of its Affiliates in which the Grantee participates or is subject to.</w:t>
      </w:r>
    </w:p>
    <w:p>
      <w:pPr>
        <w:spacing w:after="0" w:line="229" w:lineRule="exact"/>
        <w:rPr>
          <w:sz w:val="20"/>
          <w:szCs w:val="20"/>
          <w:color w:val="auto"/>
        </w:rPr>
      </w:pPr>
    </w:p>
    <w:p>
      <w:pPr>
        <w:spacing w:after="0" w:line="282" w:lineRule="auto"/>
        <w:rPr>
          <w:sz w:val="20"/>
          <w:szCs w:val="20"/>
          <w:color w:val="auto"/>
        </w:rPr>
      </w:pPr>
      <w:r>
        <w:rPr>
          <w:rFonts w:ascii="Arial" w:cs="Arial" w:eastAsia="Arial" w:hAnsi="Arial"/>
          <w:sz w:val="22"/>
          <w:szCs w:val="22"/>
          <w:color w:val="auto"/>
        </w:rPr>
        <w:t>2.23. “</w:t>
      </w:r>
      <w:r>
        <w:rPr>
          <w:rFonts w:ascii="Arial" w:cs="Arial" w:eastAsia="Arial" w:hAnsi="Arial"/>
          <w:sz w:val="22"/>
          <w:szCs w:val="22"/>
          <w:b w:val="1"/>
          <w:bCs w:val="1"/>
          <w:color w:val="auto"/>
        </w:rPr>
        <w:t>Securities Act</w:t>
      </w:r>
      <w:r>
        <w:rPr>
          <w:rFonts w:ascii="Arial" w:cs="Arial" w:eastAsia="Arial" w:hAnsi="Arial"/>
          <w:sz w:val="22"/>
          <w:szCs w:val="22"/>
          <w:color w:val="auto"/>
        </w:rPr>
        <w:t>” shall mean the U.S. Securities Act of 1933, and the rules and regulations promulgated thereunder, all as amended from time to time.</w:t>
      </w:r>
    </w:p>
    <w:p>
      <w:pPr>
        <w:spacing w:after="0" w:line="216" w:lineRule="exact"/>
        <w:rPr>
          <w:sz w:val="20"/>
          <w:szCs w:val="20"/>
          <w:color w:val="auto"/>
        </w:rPr>
      </w:pPr>
    </w:p>
    <w:p>
      <w:pPr>
        <w:ind w:right="60"/>
        <w:spacing w:after="0" w:line="313" w:lineRule="auto"/>
        <w:rPr>
          <w:sz w:val="20"/>
          <w:szCs w:val="20"/>
          <w:color w:val="auto"/>
        </w:rPr>
      </w:pPr>
      <w:r>
        <w:rPr>
          <w:rFonts w:ascii="Arial" w:cs="Arial" w:eastAsia="Arial" w:hAnsi="Arial"/>
          <w:sz w:val="19"/>
          <w:szCs w:val="19"/>
          <w:color w:val="auto"/>
        </w:rPr>
        <w:t>2.24. “</w:t>
      </w:r>
      <w:r>
        <w:rPr>
          <w:rFonts w:ascii="Arial" w:cs="Arial" w:eastAsia="Arial" w:hAnsi="Arial"/>
          <w:sz w:val="19"/>
          <w:szCs w:val="19"/>
          <w:b w:val="1"/>
          <w:bCs w:val="1"/>
          <w:color w:val="auto"/>
        </w:rPr>
        <w:t>Service Provider</w:t>
      </w:r>
      <w:r>
        <w:rPr>
          <w:rFonts w:ascii="Arial" w:cs="Arial" w:eastAsia="Arial" w:hAnsi="Arial"/>
          <w:sz w:val="19"/>
          <w:szCs w:val="19"/>
          <w:color w:val="auto"/>
        </w:rPr>
        <w:t>” shall mean an Employee, director, officer, consultant, advisor and any other person or entity who provides services to the Company or any Parent, Subsidiary or Affiliate thereof. Service Providers shall include prospective Service Providers to whom Awards are granted in connection with written offers of an employment or other service relationship with the Company or any Parent, Subsidiary or any Affiliates thereof, provided however that such employment or service shall have actually commenced.</w:t>
      </w:r>
    </w:p>
    <w:p>
      <w:pPr>
        <w:spacing w:after="0" w:line="195" w:lineRule="exact"/>
        <w:rPr>
          <w:sz w:val="20"/>
          <w:szCs w:val="20"/>
          <w:color w:val="auto"/>
        </w:rPr>
      </w:pPr>
    </w:p>
    <w:p>
      <w:pPr>
        <w:ind w:right="60"/>
        <w:spacing w:after="0" w:line="281" w:lineRule="auto"/>
        <w:rPr>
          <w:sz w:val="20"/>
          <w:szCs w:val="20"/>
          <w:color w:val="auto"/>
        </w:rPr>
      </w:pPr>
      <w:r>
        <w:rPr>
          <w:rFonts w:ascii="Arial" w:cs="Arial" w:eastAsia="Arial" w:hAnsi="Arial"/>
          <w:sz w:val="21"/>
          <w:szCs w:val="21"/>
          <w:color w:val="auto"/>
        </w:rPr>
        <w:t>2.25. “</w:t>
      </w:r>
      <w:r>
        <w:rPr>
          <w:rFonts w:ascii="Arial" w:cs="Arial" w:eastAsia="Arial" w:hAnsi="Arial"/>
          <w:sz w:val="21"/>
          <w:szCs w:val="21"/>
          <w:b w:val="1"/>
          <w:bCs w:val="1"/>
          <w:color w:val="auto"/>
        </w:rPr>
        <w:t>Shares</w:t>
      </w:r>
      <w:r>
        <w:rPr>
          <w:rFonts w:ascii="Arial" w:cs="Arial" w:eastAsia="Arial" w:hAnsi="Arial"/>
          <w:sz w:val="21"/>
          <w:szCs w:val="21"/>
          <w:color w:val="auto"/>
        </w:rPr>
        <w:t>” shall mean Ordinary Shares, par value NIS 0.10 of the Company (as adjusted for stock split, reverse stock split, bonus shares, combination or other recapitalization events), or shares of such other class of shares of the Company as shall be designated by the Board in respect of the relevant Award(s). “Shares” include any securities or property issued or distributed with respect thereto.</w:t>
      </w:r>
    </w:p>
    <w:p>
      <w:pPr>
        <w:spacing w:after="0" w:line="219" w:lineRule="exact"/>
        <w:rPr>
          <w:sz w:val="20"/>
          <w:szCs w:val="20"/>
          <w:color w:val="auto"/>
        </w:rPr>
      </w:pPr>
    </w:p>
    <w:p>
      <w:pPr>
        <w:ind w:right="20"/>
        <w:spacing w:after="0" w:line="310" w:lineRule="auto"/>
        <w:rPr>
          <w:sz w:val="20"/>
          <w:szCs w:val="20"/>
          <w:color w:val="auto"/>
        </w:rPr>
      </w:pPr>
      <w:r>
        <w:rPr>
          <w:rFonts w:ascii="Arial" w:cs="Arial" w:eastAsia="Arial" w:hAnsi="Arial"/>
          <w:sz w:val="19"/>
          <w:szCs w:val="19"/>
          <w:color w:val="auto"/>
        </w:rPr>
        <w:t>2.26. “</w:t>
      </w:r>
      <w:r>
        <w:rPr>
          <w:rFonts w:ascii="Arial" w:cs="Arial" w:eastAsia="Arial" w:hAnsi="Arial"/>
          <w:sz w:val="19"/>
          <w:szCs w:val="19"/>
          <w:b w:val="1"/>
          <w:bCs w:val="1"/>
          <w:color w:val="auto"/>
        </w:rPr>
        <w:t>Subsidiary</w:t>
      </w:r>
      <w:r>
        <w:rPr>
          <w:rFonts w:ascii="Arial" w:cs="Arial" w:eastAsia="Arial" w:hAnsi="Arial"/>
          <w:sz w:val="19"/>
          <w:szCs w:val="19"/>
          <w:color w:val="auto"/>
        </w:rPr>
        <w:t>” shall mean any corporation (other than the Company), which now exists or is hereafter organized or acquired by the Company, (i) in an unbroken chain of corporations beginning with the Company if, at the time of granting an Award, each of the corporations other than the last corporations in the unbroken chain owns stock possessing more than fifty percent (50%) of the total combined voting power of all classes of stock in one of the other companies in such chain, or (ii) if applicable and for purposes of Incentive Stock Options, that is a “subsidiary corporation” of the Company, as defined in Section 424(f) of the Code.</w:t>
      </w:r>
    </w:p>
    <w:p>
      <w:pPr>
        <w:spacing w:after="0" w:line="197" w:lineRule="exact"/>
        <w:rPr>
          <w:sz w:val="20"/>
          <w:szCs w:val="20"/>
          <w:color w:val="auto"/>
        </w:rPr>
      </w:pPr>
    </w:p>
    <w:p>
      <w:pPr>
        <w:jc w:val="both"/>
        <w:ind w:right="80"/>
        <w:spacing w:after="0" w:line="330" w:lineRule="auto"/>
        <w:rPr>
          <w:sz w:val="20"/>
          <w:szCs w:val="20"/>
          <w:color w:val="auto"/>
        </w:rPr>
      </w:pPr>
      <w:r>
        <w:rPr>
          <w:rFonts w:ascii="Arial" w:cs="Arial" w:eastAsia="Arial" w:hAnsi="Arial"/>
          <w:sz w:val="19"/>
          <w:szCs w:val="19"/>
          <w:color w:val="auto"/>
        </w:rPr>
        <w:t>2.27. “</w:t>
      </w:r>
      <w:r>
        <w:rPr>
          <w:rFonts w:ascii="Arial" w:cs="Arial" w:eastAsia="Arial" w:hAnsi="Arial"/>
          <w:sz w:val="19"/>
          <w:szCs w:val="19"/>
          <w:b w:val="1"/>
          <w:bCs w:val="1"/>
          <w:color w:val="auto"/>
        </w:rPr>
        <w:t>Ten Percent Shareholder</w:t>
      </w:r>
      <w:r>
        <w:rPr>
          <w:rFonts w:ascii="Arial" w:cs="Arial" w:eastAsia="Arial" w:hAnsi="Arial"/>
          <w:sz w:val="19"/>
          <w:szCs w:val="19"/>
          <w:color w:val="auto"/>
        </w:rPr>
        <w:t>” shall mean a Grantee who, at the time an Award is granted to the Grantee, owns shares possessing more than ten percent (10%) of the total combined voting power of all classes of shares of the Company or any Parent or Subsidiary, within the meaning of Section 422(b)(6) of the Code.</w:t>
      </w:r>
    </w:p>
    <w:p>
      <w:pPr>
        <w:spacing w:after="0" w:line="179" w:lineRule="exact"/>
        <w:rPr>
          <w:sz w:val="20"/>
          <w:szCs w:val="20"/>
          <w:color w:val="auto"/>
        </w:rPr>
      </w:pPr>
    </w:p>
    <w:p>
      <w:pPr>
        <w:spacing w:after="0"/>
        <w:tabs>
          <w:tab w:leader="none" w:pos="940" w:val="left"/>
        </w:tabs>
        <w:rPr>
          <w:sz w:val="20"/>
          <w:szCs w:val="20"/>
          <w:color w:val="auto"/>
        </w:rPr>
      </w:pPr>
      <w:r>
        <w:rPr>
          <w:rFonts w:ascii="Arial" w:cs="Arial" w:eastAsia="Arial" w:hAnsi="Arial"/>
          <w:sz w:val="22"/>
          <w:szCs w:val="22"/>
          <w:color w:val="auto"/>
        </w:rPr>
        <w:t>2.28.</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color w:val="auto"/>
        </w:rPr>
        <w:t>Trustee</w:t>
      </w:r>
      <w:r>
        <w:rPr>
          <w:rFonts w:ascii="Arial" w:cs="Arial" w:eastAsia="Arial" w:hAnsi="Arial"/>
          <w:sz w:val="19"/>
          <w:szCs w:val="19"/>
          <w:color w:val="auto"/>
        </w:rPr>
        <w:t>” shall mean the trustee appointed by the Committee to hold the Awards (and, in relation with</w:t>
      </w:r>
    </w:p>
    <w:p>
      <w:pPr>
        <w:spacing w:after="0" w:line="27" w:lineRule="exact"/>
        <w:rPr>
          <w:sz w:val="20"/>
          <w:szCs w:val="20"/>
          <w:color w:val="auto"/>
        </w:rPr>
      </w:pPr>
    </w:p>
    <w:p>
      <w:pPr>
        <w:spacing w:after="0"/>
        <w:rPr>
          <w:sz w:val="20"/>
          <w:szCs w:val="20"/>
          <w:color w:val="auto"/>
        </w:rPr>
      </w:pPr>
      <w:r>
        <w:rPr>
          <w:rFonts w:ascii="Arial" w:cs="Arial" w:eastAsia="Arial" w:hAnsi="Arial"/>
          <w:sz w:val="22"/>
          <w:szCs w:val="22"/>
          <w:color w:val="auto"/>
        </w:rPr>
        <w:t>102 Awards, approved by the ITA), if so appointed.</w:t>
      </w:r>
    </w:p>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41275</wp:posOffset>
            </wp:positionV>
            <wp:extent cx="7132320" cy="171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960"/>
          </w:cols>
          <w:pgMar w:left="980" w:top="126" w:right="959" w:bottom="1440" w:gutter="0" w:footer="0" w:header="0"/>
        </w:sectPr>
      </w:pPr>
    </w:p>
    <w:bookmarkStart w:id="193" w:name="page194"/>
    <w:bookmarkEnd w:id="193"/>
    <w:p>
      <w:pPr>
        <w:ind w:right="620"/>
        <w:spacing w:after="0" w:line="276" w:lineRule="auto"/>
        <w:rPr>
          <w:sz w:val="20"/>
          <w:szCs w:val="20"/>
          <w:color w:val="auto"/>
        </w:rPr>
      </w:pPr>
      <w:r>
        <w:rPr>
          <w:rFonts w:ascii="Arial" w:cs="Arial" w:eastAsia="Arial" w:hAnsi="Arial"/>
          <w:sz w:val="22"/>
          <w:szCs w:val="22"/>
          <w:color w:val="auto"/>
        </w:rPr>
        <w:t xml:space="preserve">2.29. </w:t>
      </w:r>
      <w:r>
        <w:rPr>
          <w:rFonts w:ascii="Arial" w:cs="Arial" w:eastAsia="Arial" w:hAnsi="Arial"/>
          <w:sz w:val="22"/>
          <w:szCs w:val="22"/>
          <w:u w:val="single" w:color="auto"/>
          <w:color w:val="auto"/>
        </w:rPr>
        <w:t>Other Defined Terms</w:t>
      </w:r>
      <w:r>
        <w:rPr>
          <w:rFonts w:ascii="Arial" w:cs="Arial" w:eastAsia="Arial" w:hAnsi="Arial"/>
          <w:sz w:val="22"/>
          <w:szCs w:val="22"/>
          <w:color w:val="auto"/>
        </w:rPr>
        <w:t>. The following terms shall have the meanings ascribed to them in the Sections set forth below:</w:t>
      </w:r>
    </w:p>
    <w:p>
      <w:pPr>
        <w:spacing w:after="0" w:line="218" w:lineRule="exact"/>
        <w:rPr>
          <w:sz w:val="20"/>
          <w:szCs w:val="20"/>
          <w:color w:val="auto"/>
        </w:rPr>
      </w:pPr>
    </w:p>
    <w:tbl>
      <w:tblPr>
        <w:tblLayout w:type="fixed"/>
        <w:tblInd w:w="700" w:type="dxa"/>
        <w:tblCellMar>
          <w:top w:w="0" w:type="dxa"/>
          <w:left w:w="0" w:type="dxa"/>
          <w:bottom w:w="0" w:type="dxa"/>
          <w:right w:w="0" w:type="dxa"/>
        </w:tblCellMar>
      </w:tblPr>
      <w:tr>
        <w:trPr>
          <w:trHeight w:val="234"/>
        </w:trPr>
        <w:tc>
          <w:tcPr>
            <w:tcW w:w="4280" w:type="dxa"/>
            <w:vAlign w:val="bottom"/>
          </w:tcPr>
          <w:p>
            <w:pPr>
              <w:spacing w:after="0"/>
              <w:rPr>
                <w:sz w:val="20"/>
                <w:szCs w:val="20"/>
                <w:color w:val="auto"/>
              </w:rPr>
            </w:pPr>
            <w:r>
              <w:rPr>
                <w:rFonts w:ascii="Arial" w:cs="Arial" w:eastAsia="Arial" w:hAnsi="Arial"/>
                <w:sz w:val="18"/>
                <w:szCs w:val="18"/>
                <w:b w:val="1"/>
                <w:bCs w:val="1"/>
                <w:color w:val="auto"/>
              </w:rPr>
              <w:t>Term</w:t>
            </w:r>
          </w:p>
        </w:tc>
        <w:tc>
          <w:tcPr>
            <w:tcW w:w="5600" w:type="dxa"/>
            <w:vAlign w:val="bottom"/>
          </w:tcPr>
          <w:p>
            <w:pPr>
              <w:ind w:left="1680"/>
              <w:spacing w:after="0"/>
              <w:rPr>
                <w:sz w:val="20"/>
                <w:szCs w:val="20"/>
                <w:color w:val="auto"/>
              </w:rPr>
            </w:pPr>
            <w:r>
              <w:rPr>
                <w:rFonts w:ascii="Arial" w:cs="Arial" w:eastAsia="Arial" w:hAnsi="Arial"/>
                <w:sz w:val="18"/>
                <w:szCs w:val="18"/>
                <w:b w:val="1"/>
                <w:bCs w:val="1"/>
                <w:color w:val="auto"/>
              </w:rPr>
              <w:t>Section</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102 Awards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1.2(i)</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102 Capital Gains Track Awards</w:t>
            </w:r>
          </w:p>
        </w:tc>
        <w:tc>
          <w:tcPr>
            <w:tcW w:w="5600" w:type="dxa"/>
            <w:vAlign w:val="bottom"/>
          </w:tcPr>
          <w:p>
            <w:pPr>
              <w:ind w:left="1680"/>
              <w:spacing w:after="0"/>
              <w:rPr>
                <w:sz w:val="20"/>
                <w:szCs w:val="20"/>
                <w:color w:val="auto"/>
              </w:rPr>
            </w:pPr>
            <w:r>
              <w:rPr>
                <w:rFonts w:ascii="Arial" w:cs="Arial" w:eastAsia="Arial" w:hAnsi="Arial"/>
                <w:sz w:val="18"/>
                <w:szCs w:val="18"/>
                <w:color w:val="auto"/>
              </w:rPr>
              <w:t>9.1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102 Non-Trustee Awards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9.2</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102 Ordinary Income Track Awards</w:t>
            </w:r>
          </w:p>
        </w:tc>
        <w:tc>
          <w:tcPr>
            <w:tcW w:w="5600" w:type="dxa"/>
            <w:vAlign w:val="bottom"/>
          </w:tcPr>
          <w:p>
            <w:pPr>
              <w:ind w:left="1680"/>
              <w:spacing w:after="0"/>
              <w:rPr>
                <w:sz w:val="20"/>
                <w:szCs w:val="20"/>
                <w:color w:val="auto"/>
              </w:rPr>
            </w:pPr>
            <w:r>
              <w:rPr>
                <w:rFonts w:ascii="Arial" w:cs="Arial" w:eastAsia="Arial" w:hAnsi="Arial"/>
                <w:sz w:val="18"/>
                <w:szCs w:val="18"/>
                <w:color w:val="auto"/>
              </w:rPr>
              <w:t>9.1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102 Trustee Awards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9.1</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3(9) Awards</w:t>
            </w:r>
          </w:p>
        </w:tc>
        <w:tc>
          <w:tcPr>
            <w:tcW w:w="5600" w:type="dxa"/>
            <w:vAlign w:val="bottom"/>
          </w:tcPr>
          <w:p>
            <w:pPr>
              <w:ind w:left="1680"/>
              <w:spacing w:after="0"/>
              <w:rPr>
                <w:sz w:val="20"/>
                <w:szCs w:val="20"/>
                <w:color w:val="auto"/>
              </w:rPr>
            </w:pPr>
            <w:r>
              <w:rPr>
                <w:rFonts w:ascii="Arial" w:cs="Arial" w:eastAsia="Arial" w:hAnsi="Arial"/>
                <w:sz w:val="18"/>
                <w:szCs w:val="18"/>
                <w:color w:val="auto"/>
              </w:rPr>
              <w:t>1.2(ii)</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Award Agreements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6</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Cause</w:t>
            </w:r>
          </w:p>
        </w:tc>
        <w:tc>
          <w:tcPr>
            <w:tcW w:w="5600" w:type="dxa"/>
            <w:vAlign w:val="bottom"/>
          </w:tcPr>
          <w:p>
            <w:pPr>
              <w:ind w:left="1680"/>
              <w:spacing w:after="0"/>
              <w:rPr>
                <w:sz w:val="20"/>
                <w:szCs w:val="20"/>
                <w:color w:val="auto"/>
              </w:rPr>
            </w:pPr>
            <w:r>
              <w:rPr>
                <w:rFonts w:ascii="Arial" w:cs="Arial" w:eastAsia="Arial" w:hAnsi="Arial"/>
                <w:sz w:val="18"/>
                <w:szCs w:val="18"/>
                <w:color w:val="auto"/>
              </w:rPr>
              <w:t>6.6.4.4</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Company</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1.1</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Effective Date</w:t>
            </w:r>
          </w:p>
        </w:tc>
        <w:tc>
          <w:tcPr>
            <w:tcW w:w="5600" w:type="dxa"/>
            <w:vAlign w:val="bottom"/>
          </w:tcPr>
          <w:p>
            <w:pPr>
              <w:ind w:left="1680"/>
              <w:spacing w:after="0"/>
              <w:rPr>
                <w:sz w:val="20"/>
                <w:szCs w:val="20"/>
                <w:color w:val="auto"/>
              </w:rPr>
            </w:pPr>
            <w:r>
              <w:rPr>
                <w:rFonts w:ascii="Arial" w:cs="Arial" w:eastAsia="Arial" w:hAnsi="Arial"/>
                <w:sz w:val="18"/>
                <w:szCs w:val="18"/>
                <w:color w:val="auto"/>
              </w:rPr>
              <w:t>27.1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Election</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9.2</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Eligible 102 Grantees</w:t>
            </w:r>
          </w:p>
        </w:tc>
        <w:tc>
          <w:tcPr>
            <w:tcW w:w="5600" w:type="dxa"/>
            <w:vAlign w:val="bottom"/>
          </w:tcPr>
          <w:p>
            <w:pPr>
              <w:ind w:left="1680"/>
              <w:spacing w:after="0"/>
              <w:rPr>
                <w:sz w:val="20"/>
                <w:szCs w:val="20"/>
                <w:color w:val="auto"/>
              </w:rPr>
            </w:pPr>
            <w:r>
              <w:rPr>
                <w:rFonts w:ascii="Arial" w:cs="Arial" w:eastAsia="Arial" w:hAnsi="Arial"/>
                <w:sz w:val="18"/>
                <w:szCs w:val="18"/>
                <w:color w:val="auto"/>
              </w:rPr>
              <w:t>9.3.1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Incentive Stock Options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1.2(iii)</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ITA</w:t>
            </w:r>
          </w:p>
        </w:tc>
        <w:tc>
          <w:tcPr>
            <w:tcW w:w="5600" w:type="dxa"/>
            <w:vAlign w:val="bottom"/>
          </w:tcPr>
          <w:p>
            <w:pPr>
              <w:ind w:left="1680"/>
              <w:spacing w:after="0"/>
              <w:rPr>
                <w:sz w:val="20"/>
                <w:szCs w:val="20"/>
                <w:color w:val="auto"/>
              </w:rPr>
            </w:pPr>
            <w:r>
              <w:rPr>
                <w:rFonts w:ascii="Arial" w:cs="Arial" w:eastAsia="Arial" w:hAnsi="Arial"/>
                <w:sz w:val="18"/>
                <w:szCs w:val="18"/>
                <w:color w:val="auto"/>
              </w:rPr>
              <w:t>1.1(i)</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Market Stand-Off</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17.1</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Market Stand-Off Period</w:t>
            </w:r>
          </w:p>
        </w:tc>
        <w:tc>
          <w:tcPr>
            <w:tcW w:w="5600" w:type="dxa"/>
            <w:vAlign w:val="bottom"/>
          </w:tcPr>
          <w:p>
            <w:pPr>
              <w:ind w:left="1680"/>
              <w:spacing w:after="0"/>
              <w:rPr>
                <w:sz w:val="20"/>
                <w:szCs w:val="20"/>
                <w:color w:val="auto"/>
              </w:rPr>
            </w:pPr>
            <w:r>
              <w:rPr>
                <w:rFonts w:ascii="Arial" w:cs="Arial" w:eastAsia="Arial" w:hAnsi="Arial"/>
                <w:sz w:val="18"/>
                <w:szCs w:val="18"/>
                <w:color w:val="auto"/>
              </w:rPr>
              <w:t>17.1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Nonqualified Stock Options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1.2(iv)</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Plan</w:t>
            </w:r>
          </w:p>
        </w:tc>
        <w:tc>
          <w:tcPr>
            <w:tcW w:w="5600" w:type="dxa"/>
            <w:vAlign w:val="bottom"/>
          </w:tcPr>
          <w:p>
            <w:pPr>
              <w:ind w:left="1680"/>
              <w:spacing w:after="0"/>
              <w:rPr>
                <w:sz w:val="20"/>
                <w:szCs w:val="20"/>
                <w:color w:val="auto"/>
              </w:rPr>
            </w:pPr>
            <w:r>
              <w:rPr>
                <w:rFonts w:ascii="Arial" w:cs="Arial" w:eastAsia="Arial" w:hAnsi="Arial"/>
                <w:sz w:val="18"/>
                <w:szCs w:val="18"/>
                <w:color w:val="auto"/>
              </w:rPr>
              <w:t>1.1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Recapitalization</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14.1</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Required Holding Period</w:t>
            </w:r>
          </w:p>
        </w:tc>
        <w:tc>
          <w:tcPr>
            <w:tcW w:w="5600" w:type="dxa"/>
            <w:vAlign w:val="bottom"/>
          </w:tcPr>
          <w:p>
            <w:pPr>
              <w:ind w:left="1680"/>
              <w:spacing w:after="0"/>
              <w:rPr>
                <w:sz w:val="20"/>
                <w:szCs w:val="20"/>
                <w:color w:val="auto"/>
              </w:rPr>
            </w:pPr>
            <w:r>
              <w:rPr>
                <w:rFonts w:ascii="Arial" w:cs="Arial" w:eastAsia="Arial" w:hAnsi="Arial"/>
                <w:sz w:val="18"/>
                <w:szCs w:val="18"/>
                <w:color w:val="auto"/>
              </w:rPr>
              <w:t>9.5</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Restricted Period</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11.2</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Restricted Share Agreement</w:t>
            </w:r>
          </w:p>
        </w:tc>
        <w:tc>
          <w:tcPr>
            <w:tcW w:w="5600" w:type="dxa"/>
            <w:vAlign w:val="bottom"/>
          </w:tcPr>
          <w:p>
            <w:pPr>
              <w:ind w:left="1680"/>
              <w:spacing w:after="0"/>
              <w:rPr>
                <w:sz w:val="20"/>
                <w:szCs w:val="20"/>
                <w:color w:val="auto"/>
              </w:rPr>
            </w:pPr>
            <w:r>
              <w:rPr>
                <w:rFonts w:ascii="Arial" w:cs="Arial" w:eastAsia="Arial" w:hAnsi="Arial"/>
                <w:sz w:val="18"/>
                <w:szCs w:val="18"/>
                <w:color w:val="auto"/>
              </w:rPr>
              <w:t>11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 Unit Agreement</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12</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Restricted Shares</w:t>
            </w:r>
          </w:p>
        </w:tc>
        <w:tc>
          <w:tcPr>
            <w:tcW w:w="5600" w:type="dxa"/>
            <w:vAlign w:val="bottom"/>
          </w:tcPr>
          <w:p>
            <w:pPr>
              <w:ind w:left="1680"/>
              <w:spacing w:after="0"/>
              <w:rPr>
                <w:sz w:val="20"/>
                <w:szCs w:val="20"/>
                <w:color w:val="auto"/>
              </w:rPr>
            </w:pPr>
            <w:r>
              <w:rPr>
                <w:rFonts w:ascii="Arial" w:cs="Arial" w:eastAsia="Arial" w:hAnsi="Arial"/>
                <w:sz w:val="18"/>
                <w:szCs w:val="18"/>
                <w:color w:val="auto"/>
              </w:rPr>
              <w:t>1.1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RSUs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1.1</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Rules</w:t>
            </w:r>
          </w:p>
        </w:tc>
        <w:tc>
          <w:tcPr>
            <w:tcW w:w="5600" w:type="dxa"/>
            <w:vAlign w:val="bottom"/>
          </w:tcPr>
          <w:p>
            <w:pPr>
              <w:ind w:left="1680"/>
              <w:spacing w:after="0"/>
              <w:rPr>
                <w:sz w:val="20"/>
                <w:szCs w:val="20"/>
                <w:color w:val="auto"/>
              </w:rPr>
            </w:pPr>
            <w:r>
              <w:rPr>
                <w:rFonts w:ascii="Arial" w:cs="Arial" w:eastAsia="Arial" w:hAnsi="Arial"/>
                <w:sz w:val="18"/>
                <w:szCs w:val="18"/>
                <w:color w:val="auto"/>
              </w:rPr>
              <w:t>1.1(i)</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Securities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17.1</w:t>
            </w:r>
          </w:p>
        </w:tc>
      </w:tr>
      <w:tr>
        <w:trPr>
          <w:trHeight w:val="216"/>
        </w:trPr>
        <w:tc>
          <w:tcPr>
            <w:tcW w:w="4280" w:type="dxa"/>
            <w:vAlign w:val="bottom"/>
          </w:tcPr>
          <w:p>
            <w:pPr>
              <w:spacing w:after="0"/>
              <w:rPr>
                <w:sz w:val="20"/>
                <w:szCs w:val="20"/>
                <w:color w:val="auto"/>
              </w:rPr>
            </w:pPr>
            <w:r>
              <w:rPr>
                <w:rFonts w:ascii="Arial" w:cs="Arial" w:eastAsia="Arial" w:hAnsi="Arial"/>
                <w:sz w:val="18"/>
                <w:szCs w:val="18"/>
                <w:color w:val="auto"/>
              </w:rPr>
              <w:t>Successor Corporation</w:t>
            </w:r>
          </w:p>
        </w:tc>
        <w:tc>
          <w:tcPr>
            <w:tcW w:w="5600" w:type="dxa"/>
            <w:vAlign w:val="bottom"/>
          </w:tcPr>
          <w:p>
            <w:pPr>
              <w:ind w:left="1680"/>
              <w:spacing w:after="0"/>
              <w:rPr>
                <w:sz w:val="20"/>
                <w:szCs w:val="20"/>
                <w:color w:val="auto"/>
              </w:rPr>
            </w:pPr>
            <w:r>
              <w:rPr>
                <w:rFonts w:ascii="Arial" w:cs="Arial" w:eastAsia="Arial" w:hAnsi="Arial"/>
                <w:sz w:val="18"/>
                <w:szCs w:val="18"/>
                <w:color w:val="auto"/>
              </w:rPr>
              <w:t>14.2.1</w:t>
            </w:r>
          </w:p>
        </w:tc>
      </w:tr>
      <w:tr>
        <w:trPr>
          <w:trHeight w:val="216"/>
        </w:trPr>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Withholding Obligations</w:t>
            </w:r>
          </w:p>
        </w:tc>
        <w:tc>
          <w:tcPr>
            <w:tcW w:w="5600" w:type="dxa"/>
            <w:vAlign w:val="bottom"/>
            <w:shd w:val="clear" w:color="auto" w:fill="CCEEFF"/>
          </w:tcPr>
          <w:p>
            <w:pPr>
              <w:ind w:left="1680"/>
              <w:spacing w:after="0"/>
              <w:rPr>
                <w:sz w:val="20"/>
                <w:szCs w:val="20"/>
                <w:color w:val="auto"/>
              </w:rPr>
            </w:pPr>
            <w:r>
              <w:rPr>
                <w:rFonts w:ascii="Arial" w:cs="Arial" w:eastAsia="Arial" w:hAnsi="Arial"/>
                <w:sz w:val="18"/>
                <w:szCs w:val="18"/>
                <w:color w:val="auto"/>
              </w:rPr>
              <w:t>18.5</w:t>
            </w:r>
          </w:p>
        </w:tc>
      </w:tr>
    </w:tbl>
    <w:p>
      <w:pPr>
        <w:spacing w:after="0" w:line="200" w:lineRule="exact"/>
        <w:rPr>
          <w:sz w:val="20"/>
          <w:szCs w:val="20"/>
          <w:color w:val="auto"/>
        </w:rPr>
      </w:pPr>
    </w:p>
    <w:p>
      <w:pPr>
        <w:spacing w:after="0" w:line="224" w:lineRule="exact"/>
        <w:rPr>
          <w:sz w:val="20"/>
          <w:szCs w:val="20"/>
          <w:color w:val="auto"/>
        </w:rPr>
      </w:pPr>
    </w:p>
    <w:p>
      <w:pPr>
        <w:ind w:left="4920"/>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41275</wp:posOffset>
            </wp:positionV>
            <wp:extent cx="7132320" cy="171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80"/>
          </w:cols>
          <w:pgMar w:left="980" w:top="132" w:right="339" w:bottom="1440" w:gutter="0" w:footer="0" w:header="0"/>
        </w:sectPr>
      </w:pPr>
    </w:p>
    <w:bookmarkStart w:id="194" w:name="page195"/>
    <w:bookmarkEnd w:id="194"/>
    <w:p>
      <w:pPr>
        <w:ind w:left="520" w:hanging="512"/>
        <w:spacing w:after="0"/>
        <w:tabs>
          <w:tab w:leader="none" w:pos="520" w:val="left"/>
        </w:tabs>
        <w:numPr>
          <w:ilvl w:val="0"/>
          <w:numId w:val="179"/>
        </w:numPr>
        <w:rPr>
          <w:rFonts w:ascii="Arial" w:cs="Arial" w:eastAsia="Arial" w:hAnsi="Arial"/>
          <w:sz w:val="18"/>
          <w:szCs w:val="18"/>
          <w:color w:val="auto"/>
        </w:rPr>
      </w:pPr>
      <w:r>
        <w:rPr>
          <w:rFonts w:ascii="Arial" w:cs="Arial" w:eastAsia="Arial" w:hAnsi="Arial"/>
          <w:sz w:val="18"/>
          <w:szCs w:val="18"/>
          <w:u w:val="single" w:color="auto"/>
          <w:color w:val="auto"/>
        </w:rPr>
        <w:t>ADMINISTRATION</w:t>
      </w:r>
      <w:r>
        <w:rPr>
          <w:rFonts w:ascii="Arial" w:cs="Arial" w:eastAsia="Arial" w:hAnsi="Arial"/>
          <w:sz w:val="18"/>
          <w:szCs w:val="18"/>
          <w:color w:val="auto"/>
        </w:rPr>
        <w:t>.</w:t>
      </w:r>
    </w:p>
    <w:p>
      <w:pPr>
        <w:spacing w:after="0" w:line="285" w:lineRule="exact"/>
        <w:rPr>
          <w:sz w:val="20"/>
          <w:szCs w:val="20"/>
          <w:color w:val="auto"/>
        </w:rPr>
      </w:pPr>
    </w:p>
    <w:p>
      <w:pPr>
        <w:ind w:right="20" w:firstLine="510"/>
        <w:spacing w:after="0" w:line="272" w:lineRule="auto"/>
        <w:rPr>
          <w:sz w:val="20"/>
          <w:szCs w:val="20"/>
          <w:color w:val="auto"/>
        </w:rPr>
      </w:pPr>
      <w:r>
        <w:rPr>
          <w:rFonts w:ascii="Arial" w:cs="Arial" w:eastAsia="Arial" w:hAnsi="Arial"/>
          <w:sz w:val="21"/>
          <w:szCs w:val="21"/>
          <w:color w:val="auto"/>
        </w:rPr>
        <w:t>3.1. To the extent permitted under Applicable Law, the Articles of Association and any other governing document of the Company, this Plan shall be administered by the Committee. In the event that the Board does not appoint or establish a committee to administer this Plan, this Plan shall be administered by the Board. In the event that an action necessary for the administration of this Plan is required under Applicable Law to be taken by the Board without the right of delegation, or if such action or power was explicitly reserved by the Board in appointing, establishing and empowering the Committee, then such action shall be so taken by the Board. In any such event, all references herein to the Committee shall be construed as references to the Board. Even if such a Committee was appointed or established, the Board may take any actions that are stated to be vested in the Committee, and shall not be restricted or limited from exercising all rights, powers and authorities under this Plan or Applicable Law.</w:t>
      </w:r>
    </w:p>
    <w:p>
      <w:pPr>
        <w:spacing w:after="0" w:line="237" w:lineRule="exact"/>
        <w:rPr>
          <w:sz w:val="20"/>
          <w:szCs w:val="20"/>
          <w:color w:val="auto"/>
        </w:rPr>
      </w:pPr>
    </w:p>
    <w:p>
      <w:pPr>
        <w:ind w:right="120" w:firstLine="510"/>
        <w:spacing w:after="0" w:line="306" w:lineRule="auto"/>
        <w:rPr>
          <w:sz w:val="20"/>
          <w:szCs w:val="20"/>
          <w:color w:val="auto"/>
        </w:rPr>
      </w:pPr>
      <w:r>
        <w:rPr>
          <w:rFonts w:ascii="Arial" w:cs="Arial" w:eastAsia="Arial" w:hAnsi="Arial"/>
          <w:sz w:val="19"/>
          <w:szCs w:val="19"/>
          <w:color w:val="auto"/>
        </w:rPr>
        <w:t>3.2. The Board shall appoint the members of the Committee, may from time to time remove members from, or add members to, the Committee, and shall fill vacancies in the Committee, however caused, provided that the composition of the Committee shall at all times be in compliance with any mandatory requirements of Applicable Law, the Articles of Association and any other governing document of the Company. The Committee may select one of its members as its Chairman and shall hold its meetings at such times and places as it shall determine. The Committee may appoint a Secretary, who shall keep records of its meetings, and shall make such rules and regulations for the conduct of its business as it shall deem advisable and subject to mandatory requirements of Applicable Law.</w:t>
      </w:r>
    </w:p>
    <w:p>
      <w:pPr>
        <w:spacing w:after="0" w:line="210" w:lineRule="exact"/>
        <w:rPr>
          <w:sz w:val="20"/>
          <w:szCs w:val="20"/>
          <w:color w:val="auto"/>
        </w:rPr>
      </w:pPr>
    </w:p>
    <w:p>
      <w:pPr>
        <w:ind w:firstLine="510"/>
        <w:spacing w:after="0" w:line="261" w:lineRule="auto"/>
        <w:rPr>
          <w:sz w:val="20"/>
          <w:szCs w:val="20"/>
          <w:color w:val="auto"/>
        </w:rPr>
      </w:pPr>
      <w:r>
        <w:rPr>
          <w:rFonts w:ascii="Arial" w:cs="Arial" w:eastAsia="Arial" w:hAnsi="Arial"/>
          <w:sz w:val="22"/>
          <w:szCs w:val="22"/>
          <w:color w:val="auto"/>
        </w:rPr>
        <w:t>3.3. Subject to the terms and conditions of this Plan, any mandatory provisions of Applicable Law and any provisions of any Company policy required under mandatory provisions of Applicable Law, and in addition to the Committee's powers contained elsewhere in this Plan, the Committee shall have full authority, in its discretion, from time to time and at any time, to determine any of the following, or to recommend to the Board any of the following if it is not authorized to take such action according to Applicable Law:</w:t>
      </w:r>
    </w:p>
    <w:p>
      <w:pPr>
        <w:spacing w:after="0" w:line="245" w:lineRule="exact"/>
        <w:rPr>
          <w:sz w:val="20"/>
          <w:szCs w:val="20"/>
          <w:color w:val="auto"/>
        </w:rPr>
      </w:pPr>
    </w:p>
    <w:p>
      <w:pPr>
        <w:ind w:left="2040" w:hanging="736"/>
        <w:spacing w:after="0"/>
        <w:tabs>
          <w:tab w:leader="none" w:pos="2040" w:val="left"/>
        </w:tabs>
        <w:numPr>
          <w:ilvl w:val="0"/>
          <w:numId w:val="180"/>
        </w:numPr>
        <w:rPr>
          <w:rFonts w:ascii="Arial" w:cs="Arial" w:eastAsia="Arial" w:hAnsi="Arial"/>
          <w:sz w:val="22"/>
          <w:szCs w:val="22"/>
          <w:color w:val="auto"/>
        </w:rPr>
      </w:pPr>
      <w:r>
        <w:rPr>
          <w:rFonts w:ascii="Arial" w:cs="Arial" w:eastAsia="Arial" w:hAnsi="Arial"/>
          <w:sz w:val="22"/>
          <w:szCs w:val="22"/>
          <w:color w:val="auto"/>
        </w:rPr>
        <w:t>eligible Grantees,</w:t>
      </w:r>
    </w:p>
    <w:p>
      <w:pPr>
        <w:spacing w:after="0" w:line="287" w:lineRule="exact"/>
        <w:rPr>
          <w:rFonts w:ascii="Arial" w:cs="Arial" w:eastAsia="Arial" w:hAnsi="Arial"/>
          <w:sz w:val="22"/>
          <w:szCs w:val="22"/>
          <w:color w:val="auto"/>
        </w:rPr>
      </w:pPr>
    </w:p>
    <w:p>
      <w:pPr>
        <w:ind w:left="660" w:right="780" w:firstLine="644"/>
        <w:spacing w:after="0" w:line="262" w:lineRule="auto"/>
        <w:tabs>
          <w:tab w:leader="none" w:pos="2112" w:val="left"/>
        </w:tabs>
        <w:numPr>
          <w:ilvl w:val="0"/>
          <w:numId w:val="180"/>
        </w:numPr>
        <w:rPr>
          <w:rFonts w:ascii="Arial" w:cs="Arial" w:eastAsia="Arial" w:hAnsi="Arial"/>
          <w:sz w:val="22"/>
          <w:szCs w:val="22"/>
          <w:color w:val="auto"/>
        </w:rPr>
      </w:pPr>
      <w:r>
        <w:rPr>
          <w:rFonts w:ascii="Arial" w:cs="Arial" w:eastAsia="Arial" w:hAnsi="Arial"/>
          <w:sz w:val="22"/>
          <w:szCs w:val="22"/>
          <w:color w:val="auto"/>
        </w:rPr>
        <w:t>grants of Awards and setting the terms and provisions of Award Agreements (which need not be identical) and any other agreements or instruments under which Awards are made, including, but not limited to, the number of Shares underlying each Award and the class of Shares underlying each Award (if more than one class was designated by the Board),</w:t>
      </w:r>
    </w:p>
    <w:p>
      <w:pPr>
        <w:spacing w:after="0" w:line="245" w:lineRule="exact"/>
        <w:rPr>
          <w:rFonts w:ascii="Arial" w:cs="Arial" w:eastAsia="Arial" w:hAnsi="Arial"/>
          <w:sz w:val="22"/>
          <w:szCs w:val="22"/>
          <w:color w:val="auto"/>
        </w:rPr>
      </w:pPr>
    </w:p>
    <w:p>
      <w:pPr>
        <w:ind w:left="2160" w:hanging="856"/>
        <w:spacing w:after="0"/>
        <w:tabs>
          <w:tab w:leader="none" w:pos="2160" w:val="left"/>
        </w:tabs>
        <w:numPr>
          <w:ilvl w:val="0"/>
          <w:numId w:val="180"/>
        </w:numPr>
        <w:rPr>
          <w:rFonts w:ascii="Arial" w:cs="Arial" w:eastAsia="Arial" w:hAnsi="Arial"/>
          <w:sz w:val="22"/>
          <w:szCs w:val="22"/>
          <w:color w:val="auto"/>
        </w:rPr>
      </w:pPr>
      <w:r>
        <w:rPr>
          <w:rFonts w:ascii="Arial" w:cs="Arial" w:eastAsia="Arial" w:hAnsi="Arial"/>
          <w:sz w:val="22"/>
          <w:szCs w:val="22"/>
          <w:color w:val="auto"/>
        </w:rPr>
        <w:t>the time or times at which Awards shall be granted,</w:t>
      </w:r>
    </w:p>
    <w:p>
      <w:pPr>
        <w:spacing w:after="0" w:line="287" w:lineRule="exact"/>
        <w:rPr>
          <w:rFonts w:ascii="Arial" w:cs="Arial" w:eastAsia="Arial" w:hAnsi="Arial"/>
          <w:sz w:val="22"/>
          <w:szCs w:val="22"/>
          <w:color w:val="auto"/>
        </w:rPr>
      </w:pPr>
    </w:p>
    <w:p>
      <w:pPr>
        <w:ind w:left="660" w:right="800" w:firstLine="644"/>
        <w:spacing w:after="0" w:line="304" w:lineRule="auto"/>
        <w:tabs>
          <w:tab w:leader="none" w:pos="2160" w:val="left"/>
        </w:tabs>
        <w:numPr>
          <w:ilvl w:val="0"/>
          <w:numId w:val="180"/>
        </w:numPr>
        <w:rPr>
          <w:rFonts w:ascii="Arial" w:cs="Arial" w:eastAsia="Arial" w:hAnsi="Arial"/>
          <w:sz w:val="19"/>
          <w:szCs w:val="19"/>
          <w:color w:val="auto"/>
        </w:rPr>
      </w:pPr>
      <w:r>
        <w:rPr>
          <w:rFonts w:ascii="Arial" w:cs="Arial" w:eastAsia="Arial" w:hAnsi="Arial"/>
          <w:sz w:val="19"/>
          <w:szCs w:val="19"/>
          <w:color w:val="auto"/>
        </w:rPr>
        <w:t>the terms, conditions and restrictions applicable to each Award (which need not be identical) and any Shares acquired upon the exercise or (if applicable) vesting thereof, including, without limitation, (1) designating Awards under Section 1.2; (2) the vesting schedule, the acceleration thereof and terms and conditions upon which Awards may be exercised or become vested, (3) the Exercise Price, (4) the method of payment for Shares purchased upon the exercise or (if applicable) vesting of the Awards, (5) the method for satisfaction of any tax withholding obligation arising in connection with the Awards or such Shares, including by the withholding or delivery of Shares, (6) the time of the expiration of the Awards, (7) the effect of the Grantee’s termination of employment with the Company or any of its Affiliates, and (8) all other terms, conditions and restrictions applicable to the Award or the Shares not inconsistent with the terms of this Plan,</w:t>
      </w:r>
    </w:p>
    <w:p>
      <w:pPr>
        <w:spacing w:after="0" w:line="200" w:lineRule="exact"/>
        <w:rPr>
          <w:rFonts w:ascii="Arial" w:cs="Arial" w:eastAsia="Arial" w:hAnsi="Arial"/>
          <w:sz w:val="19"/>
          <w:szCs w:val="19"/>
          <w:color w:val="auto"/>
        </w:rPr>
      </w:pPr>
    </w:p>
    <w:p>
      <w:pPr>
        <w:spacing w:after="0" w:line="279" w:lineRule="exact"/>
        <w:rPr>
          <w:rFonts w:ascii="Arial" w:cs="Arial" w:eastAsia="Arial" w:hAnsi="Arial"/>
          <w:sz w:val="19"/>
          <w:szCs w:val="19"/>
          <w:color w:val="auto"/>
        </w:rPr>
      </w:pPr>
    </w:p>
    <w:p>
      <w:pPr>
        <w:ind w:left="660" w:right="1200" w:firstLine="644"/>
        <w:spacing w:after="0" w:line="266" w:lineRule="auto"/>
        <w:tabs>
          <w:tab w:leader="none" w:pos="2100" w:val="left"/>
        </w:tabs>
        <w:numPr>
          <w:ilvl w:val="0"/>
          <w:numId w:val="180"/>
        </w:numPr>
        <w:rPr>
          <w:rFonts w:ascii="Arial" w:cs="Arial" w:eastAsia="Arial" w:hAnsi="Arial"/>
          <w:sz w:val="22"/>
          <w:szCs w:val="22"/>
          <w:color w:val="auto"/>
        </w:rPr>
      </w:pPr>
      <w:r>
        <w:rPr>
          <w:rFonts w:ascii="Arial" w:cs="Arial" w:eastAsia="Arial" w:hAnsi="Arial"/>
          <w:sz w:val="22"/>
          <w:szCs w:val="22"/>
          <w:color w:val="auto"/>
        </w:rPr>
        <w:t>to accelerate, continue, extend or defer the exercisability of any Award or the vesting thereof, including with respect to the period following a Grantee’s termination of employment or other service,</w:t>
      </w:r>
    </w:p>
    <w:p>
      <w:pPr>
        <w:spacing w:after="0" w:line="238" w:lineRule="exact"/>
        <w:rPr>
          <w:rFonts w:ascii="Arial" w:cs="Arial" w:eastAsia="Arial" w:hAnsi="Arial"/>
          <w:sz w:val="22"/>
          <w:szCs w:val="22"/>
          <w:color w:val="auto"/>
        </w:rPr>
      </w:pPr>
    </w:p>
    <w:p>
      <w:pPr>
        <w:ind w:left="660" w:right="920" w:firstLine="644"/>
        <w:spacing w:after="0" w:line="276" w:lineRule="auto"/>
        <w:tabs>
          <w:tab w:leader="none" w:pos="2160" w:val="left"/>
        </w:tabs>
        <w:numPr>
          <w:ilvl w:val="0"/>
          <w:numId w:val="180"/>
        </w:numPr>
        <w:rPr>
          <w:rFonts w:ascii="Arial" w:cs="Arial" w:eastAsia="Arial" w:hAnsi="Arial"/>
          <w:sz w:val="22"/>
          <w:szCs w:val="22"/>
          <w:color w:val="auto"/>
        </w:rPr>
      </w:pPr>
      <w:r>
        <w:rPr>
          <w:rFonts w:ascii="Arial" w:cs="Arial" w:eastAsia="Arial" w:hAnsi="Arial"/>
          <w:sz w:val="22"/>
          <w:szCs w:val="22"/>
          <w:color w:val="auto"/>
        </w:rPr>
        <w:t>the interpretation of this Plan and any Award Agreement and the meaning, interpretation and applicability of terms referred to in Applicable Laws,</w:t>
      </w:r>
    </w:p>
    <w:p>
      <w:pPr>
        <w:spacing w:after="0" w:line="228" w:lineRule="exact"/>
        <w:rPr>
          <w:rFonts w:ascii="Arial" w:cs="Arial" w:eastAsia="Arial" w:hAnsi="Arial"/>
          <w:sz w:val="22"/>
          <w:szCs w:val="22"/>
          <w:color w:val="auto"/>
        </w:rPr>
      </w:pPr>
    </w:p>
    <w:p>
      <w:pPr>
        <w:ind w:left="660" w:right="1000" w:firstLine="644"/>
        <w:spacing w:after="0" w:line="276" w:lineRule="auto"/>
        <w:tabs>
          <w:tab w:leader="none" w:pos="2220" w:val="left"/>
        </w:tabs>
        <w:numPr>
          <w:ilvl w:val="0"/>
          <w:numId w:val="180"/>
        </w:numPr>
        <w:rPr>
          <w:rFonts w:ascii="Arial" w:cs="Arial" w:eastAsia="Arial" w:hAnsi="Arial"/>
          <w:sz w:val="22"/>
          <w:szCs w:val="22"/>
          <w:color w:val="auto"/>
        </w:rPr>
      </w:pPr>
      <w:r>
        <w:rPr>
          <w:rFonts w:ascii="Arial" w:cs="Arial" w:eastAsia="Arial" w:hAnsi="Arial"/>
          <w:sz w:val="22"/>
          <w:szCs w:val="22"/>
          <w:color w:val="auto"/>
        </w:rPr>
        <w:t>policies, guidelines, rules and regulations relating to and for carrying out this Plan, and any amendment, supplement or rescission thereof, as it may deem appropriate,</w:t>
      </w:r>
    </w:p>
    <w:p>
      <w:pPr>
        <w:sectPr>
          <w:pgSz w:w="11900" w:h="16838" w:orient="portrait"/>
          <w:cols w:equalWidth="0" w:num="1">
            <w:col w:w="10720"/>
          </w:cols>
          <w:pgMar w:left="320" w:top="125" w:right="859" w:bottom="718" w:gutter="0" w:footer="0" w:header="0"/>
        </w:sectPr>
      </w:pPr>
    </w:p>
    <w:p>
      <w:pPr>
        <w:spacing w:after="0" w:line="390" w:lineRule="exact"/>
        <w:rPr>
          <w:sz w:val="20"/>
          <w:szCs w:val="20"/>
          <w:color w:val="auto"/>
        </w:rPr>
      </w:pPr>
    </w:p>
    <w:p>
      <w:pPr>
        <w:jc w:val="center"/>
        <w:ind w:right="-53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25" w:right="859" w:bottom="718" w:gutter="0" w:footer="0" w:header="0"/>
          <w:type w:val="continuous"/>
        </w:sectPr>
      </w:pPr>
    </w:p>
    <w:bookmarkStart w:id="195" w:name="page196"/>
    <w:bookmarkEnd w:id="195"/>
    <w:p>
      <w:pPr>
        <w:ind w:left="660" w:right="740" w:firstLine="644"/>
        <w:spacing w:after="0" w:line="284" w:lineRule="auto"/>
        <w:tabs>
          <w:tab w:leader="none" w:pos="2280" w:val="left"/>
        </w:tabs>
        <w:numPr>
          <w:ilvl w:val="0"/>
          <w:numId w:val="181"/>
        </w:numPr>
        <w:rPr>
          <w:rFonts w:ascii="Arial" w:cs="Arial" w:eastAsia="Arial" w:hAnsi="Arial"/>
          <w:sz w:val="21"/>
          <w:szCs w:val="21"/>
          <w:color w:val="auto"/>
        </w:rPr>
      </w:pPr>
      <w:r>
        <w:rPr>
          <w:rFonts w:ascii="Arial" w:cs="Arial" w:eastAsia="Arial" w:hAnsi="Arial"/>
          <w:sz w:val="21"/>
          <w:szCs w:val="21"/>
          <w:color w:val="auto"/>
        </w:rPr>
        <w:t>to adopt supplements to, or alternative versions of, this Plan, including, without limitation, as it deems necessary or desirable to comply with the laws of, or to accommodate the tax regime or custom of, foreign jurisdictions whose citizens or residents may be granted Awards,</w:t>
      </w:r>
    </w:p>
    <w:p>
      <w:pPr>
        <w:spacing w:after="0" w:line="222" w:lineRule="exact"/>
        <w:rPr>
          <w:rFonts w:ascii="Arial" w:cs="Arial" w:eastAsia="Arial" w:hAnsi="Arial"/>
          <w:sz w:val="21"/>
          <w:szCs w:val="21"/>
          <w:color w:val="auto"/>
        </w:rPr>
      </w:pPr>
    </w:p>
    <w:p>
      <w:pPr>
        <w:ind w:left="2160" w:hanging="856"/>
        <w:spacing w:after="0"/>
        <w:tabs>
          <w:tab w:leader="none" w:pos="2160" w:val="left"/>
        </w:tabs>
        <w:numPr>
          <w:ilvl w:val="0"/>
          <w:numId w:val="181"/>
        </w:numPr>
        <w:rPr>
          <w:rFonts w:ascii="Arial" w:cs="Arial" w:eastAsia="Arial" w:hAnsi="Arial"/>
          <w:sz w:val="22"/>
          <w:szCs w:val="22"/>
          <w:color w:val="auto"/>
        </w:rPr>
      </w:pPr>
      <w:r>
        <w:rPr>
          <w:rFonts w:ascii="Arial" w:cs="Arial" w:eastAsia="Arial" w:hAnsi="Arial"/>
          <w:sz w:val="22"/>
          <w:szCs w:val="22"/>
          <w:color w:val="auto"/>
        </w:rPr>
        <w:t>the Fair Market Value of the Shares or other property,</w:t>
      </w:r>
    </w:p>
    <w:p>
      <w:pPr>
        <w:spacing w:after="0" w:line="287" w:lineRule="exact"/>
        <w:rPr>
          <w:rFonts w:ascii="Arial" w:cs="Arial" w:eastAsia="Arial" w:hAnsi="Arial"/>
          <w:sz w:val="22"/>
          <w:szCs w:val="22"/>
          <w:color w:val="auto"/>
        </w:rPr>
      </w:pPr>
    </w:p>
    <w:p>
      <w:pPr>
        <w:ind w:left="660" w:right="1000" w:firstLine="644"/>
        <w:spacing w:after="0" w:line="276" w:lineRule="auto"/>
        <w:tabs>
          <w:tab w:leader="none" w:pos="2100" w:val="left"/>
        </w:tabs>
        <w:numPr>
          <w:ilvl w:val="0"/>
          <w:numId w:val="181"/>
        </w:numPr>
        <w:rPr>
          <w:rFonts w:ascii="Arial" w:cs="Arial" w:eastAsia="Arial" w:hAnsi="Arial"/>
          <w:sz w:val="22"/>
          <w:szCs w:val="22"/>
          <w:color w:val="auto"/>
        </w:rPr>
      </w:pPr>
      <w:r>
        <w:rPr>
          <w:rFonts w:ascii="Arial" w:cs="Arial" w:eastAsia="Arial" w:hAnsi="Arial"/>
          <w:sz w:val="22"/>
          <w:szCs w:val="22"/>
          <w:color w:val="auto"/>
        </w:rPr>
        <w:t>the tax track (capital gains, ordinary income track or any other track available under the Section 102 of the Ordinance) for the purpose of 102 Awards,</w:t>
      </w:r>
    </w:p>
    <w:p>
      <w:pPr>
        <w:spacing w:after="0" w:line="228" w:lineRule="exact"/>
        <w:rPr>
          <w:rFonts w:ascii="Arial" w:cs="Arial" w:eastAsia="Arial" w:hAnsi="Arial"/>
          <w:sz w:val="22"/>
          <w:szCs w:val="22"/>
          <w:color w:val="auto"/>
        </w:rPr>
      </w:pPr>
    </w:p>
    <w:p>
      <w:pPr>
        <w:ind w:left="660" w:right="1160" w:firstLine="644"/>
        <w:spacing w:after="0" w:line="276" w:lineRule="auto"/>
        <w:tabs>
          <w:tab w:leader="none" w:pos="2160" w:val="left"/>
        </w:tabs>
        <w:numPr>
          <w:ilvl w:val="0"/>
          <w:numId w:val="181"/>
        </w:numPr>
        <w:rPr>
          <w:rFonts w:ascii="Arial" w:cs="Arial" w:eastAsia="Arial" w:hAnsi="Arial"/>
          <w:sz w:val="22"/>
          <w:szCs w:val="22"/>
          <w:color w:val="auto"/>
        </w:rPr>
      </w:pPr>
      <w:r>
        <w:rPr>
          <w:rFonts w:ascii="Arial" w:cs="Arial" w:eastAsia="Arial" w:hAnsi="Arial"/>
          <w:sz w:val="22"/>
          <w:szCs w:val="22"/>
          <w:color w:val="auto"/>
        </w:rPr>
        <w:t>the authorization and approval of conversion, substitution, cancellation or suspension under and in accordance with this Plan of any or all Awards or Shares,</w:t>
      </w:r>
    </w:p>
    <w:p>
      <w:pPr>
        <w:spacing w:after="0" w:line="228" w:lineRule="exact"/>
        <w:rPr>
          <w:rFonts w:ascii="Arial" w:cs="Arial" w:eastAsia="Arial" w:hAnsi="Arial"/>
          <w:sz w:val="22"/>
          <w:szCs w:val="22"/>
          <w:color w:val="auto"/>
        </w:rPr>
      </w:pPr>
    </w:p>
    <w:p>
      <w:pPr>
        <w:ind w:left="660" w:right="1100" w:firstLine="644"/>
        <w:spacing w:after="0" w:line="276" w:lineRule="auto"/>
        <w:tabs>
          <w:tab w:leader="none" w:pos="2220" w:val="left"/>
        </w:tabs>
        <w:numPr>
          <w:ilvl w:val="0"/>
          <w:numId w:val="181"/>
        </w:numPr>
        <w:rPr>
          <w:rFonts w:ascii="Arial" w:cs="Arial" w:eastAsia="Arial" w:hAnsi="Arial"/>
          <w:sz w:val="21"/>
          <w:szCs w:val="21"/>
          <w:color w:val="auto"/>
        </w:rPr>
      </w:pPr>
      <w:r>
        <w:rPr>
          <w:rFonts w:ascii="Arial" w:cs="Arial" w:eastAsia="Arial" w:hAnsi="Arial"/>
          <w:sz w:val="21"/>
          <w:szCs w:val="21"/>
          <w:color w:val="auto"/>
        </w:rPr>
        <w:t>the amendment, modification, waiver or supplement of the terms of each outstanding Award (with the consent of the applicable Grantee, if such amendments refers to the increase of the Exercise Price of Awards or reduction of the number of Shared underlying an Award (but, in each case, other than as a result of an adjustment or exercise of rights in accordance with Section 14)) unless otherwise provided under the terms of this Plan,</w:t>
      </w:r>
    </w:p>
    <w:p>
      <w:pPr>
        <w:spacing w:after="0" w:line="231" w:lineRule="exact"/>
        <w:rPr>
          <w:rFonts w:ascii="Arial" w:cs="Arial" w:eastAsia="Arial" w:hAnsi="Arial"/>
          <w:sz w:val="21"/>
          <w:szCs w:val="21"/>
          <w:color w:val="auto"/>
        </w:rPr>
      </w:pPr>
    </w:p>
    <w:p>
      <w:pPr>
        <w:ind w:left="660" w:right="800" w:firstLine="644"/>
        <w:spacing w:after="0" w:line="260" w:lineRule="auto"/>
        <w:tabs>
          <w:tab w:leader="none" w:pos="2280" w:val="left"/>
        </w:tabs>
        <w:numPr>
          <w:ilvl w:val="0"/>
          <w:numId w:val="181"/>
        </w:numPr>
        <w:rPr>
          <w:rFonts w:ascii="Arial" w:cs="Arial" w:eastAsia="Arial" w:hAnsi="Arial"/>
          <w:sz w:val="22"/>
          <w:szCs w:val="22"/>
          <w:color w:val="auto"/>
        </w:rPr>
      </w:pPr>
      <w:r>
        <w:rPr>
          <w:rFonts w:ascii="Arial" w:cs="Arial" w:eastAsia="Arial" w:hAnsi="Arial"/>
          <w:sz w:val="22"/>
          <w:szCs w:val="22"/>
          <w:color w:val="auto"/>
        </w:rPr>
        <w:t>without limiting the generality of the foregoing, and subject to the provisions of Applicable Law, to grant to a Grantee, who is the holder of an outstanding Award, in exchange for the cancellation of such Award, a new Award having an Exercise Price lower than that provided in the Award so canceled and containing such other terms and conditions as the Committee may prescribe in accordance with the provisions of this Plan or to set a new Exercise Price for the same Award lower than that previously provided in the Award,</w:t>
      </w:r>
    </w:p>
    <w:p>
      <w:pPr>
        <w:spacing w:after="0" w:line="245" w:lineRule="exact"/>
        <w:rPr>
          <w:rFonts w:ascii="Arial" w:cs="Arial" w:eastAsia="Arial" w:hAnsi="Arial"/>
          <w:sz w:val="22"/>
          <w:szCs w:val="22"/>
          <w:color w:val="auto"/>
        </w:rPr>
      </w:pPr>
    </w:p>
    <w:p>
      <w:pPr>
        <w:jc w:val="both"/>
        <w:ind w:left="660" w:right="820" w:firstLine="644"/>
        <w:spacing w:after="0" w:line="262" w:lineRule="auto"/>
        <w:tabs>
          <w:tab w:leader="none" w:pos="2268" w:val="left"/>
        </w:tabs>
        <w:numPr>
          <w:ilvl w:val="0"/>
          <w:numId w:val="181"/>
        </w:numPr>
        <w:rPr>
          <w:rFonts w:ascii="Arial" w:cs="Arial" w:eastAsia="Arial" w:hAnsi="Arial"/>
          <w:sz w:val="22"/>
          <w:szCs w:val="22"/>
          <w:color w:val="auto"/>
        </w:rPr>
      </w:pPr>
      <w:r>
        <w:rPr>
          <w:rFonts w:ascii="Arial" w:cs="Arial" w:eastAsia="Arial" w:hAnsi="Arial"/>
          <w:sz w:val="22"/>
          <w:szCs w:val="22"/>
          <w:color w:val="auto"/>
        </w:rPr>
        <w:t>to correct any defect, supply any omission or reconcile any inconsistency in this Plan or any Award Agreement and all other determinations and take such other actions with respect to this Plan or any Award as it may deem advisable to the extent not inconsistent with the provisions of this Plan or Applicable Law, and</w:t>
      </w:r>
    </w:p>
    <w:p>
      <w:pPr>
        <w:spacing w:after="0" w:line="245" w:lineRule="exact"/>
        <w:rPr>
          <w:rFonts w:ascii="Arial" w:cs="Arial" w:eastAsia="Arial" w:hAnsi="Arial"/>
          <w:sz w:val="22"/>
          <w:szCs w:val="22"/>
          <w:color w:val="auto"/>
        </w:rPr>
      </w:pPr>
    </w:p>
    <w:p>
      <w:pPr>
        <w:ind w:left="660" w:right="940" w:firstLine="644"/>
        <w:spacing w:after="0" w:line="276" w:lineRule="auto"/>
        <w:tabs>
          <w:tab w:leader="none" w:pos="2208" w:val="left"/>
        </w:tabs>
        <w:numPr>
          <w:ilvl w:val="0"/>
          <w:numId w:val="181"/>
        </w:numPr>
        <w:rPr>
          <w:rFonts w:ascii="Arial" w:cs="Arial" w:eastAsia="Arial" w:hAnsi="Arial"/>
          <w:sz w:val="22"/>
          <w:szCs w:val="22"/>
          <w:color w:val="auto"/>
        </w:rPr>
      </w:pPr>
      <w:r>
        <w:rPr>
          <w:rFonts w:ascii="Arial" w:cs="Arial" w:eastAsia="Arial" w:hAnsi="Arial"/>
          <w:sz w:val="22"/>
          <w:szCs w:val="22"/>
          <w:color w:val="auto"/>
        </w:rPr>
        <w:t>any other matter which is necessary or desirable for, or incidental to, the administration of this Plan and any Award thereunder.</w:t>
      </w:r>
    </w:p>
    <w:p>
      <w:pPr>
        <w:spacing w:after="0" w:line="228" w:lineRule="exact"/>
        <w:rPr>
          <w:sz w:val="20"/>
          <w:szCs w:val="20"/>
          <w:color w:val="auto"/>
        </w:rPr>
      </w:pPr>
    </w:p>
    <w:p>
      <w:pPr>
        <w:ind w:right="300" w:firstLine="510"/>
        <w:spacing w:after="0" w:line="284" w:lineRule="auto"/>
        <w:rPr>
          <w:sz w:val="20"/>
          <w:szCs w:val="20"/>
          <w:color w:val="auto"/>
        </w:rPr>
      </w:pPr>
      <w:r>
        <w:rPr>
          <w:rFonts w:ascii="Arial" w:cs="Arial" w:eastAsia="Arial" w:hAnsi="Arial"/>
          <w:sz w:val="21"/>
          <w:szCs w:val="21"/>
          <w:color w:val="auto"/>
        </w:rPr>
        <w:t>3.4. The authority granted hereunder includes the authority to modify Awards to eligible individuals who are foreign nationals or are individuals who are employed outside Israel to recognize differences in local law, tax policy or custom, in order to effectuate the purposes of this Plan but without amending this Plan.</w:t>
      </w:r>
    </w:p>
    <w:p>
      <w:pPr>
        <w:spacing w:after="0" w:line="223" w:lineRule="exact"/>
        <w:rPr>
          <w:sz w:val="20"/>
          <w:szCs w:val="20"/>
          <w:color w:val="auto"/>
        </w:rPr>
      </w:pPr>
    </w:p>
    <w:p>
      <w:pPr>
        <w:ind w:right="80" w:firstLine="506"/>
        <w:spacing w:after="0" w:line="261" w:lineRule="auto"/>
        <w:rPr>
          <w:sz w:val="20"/>
          <w:szCs w:val="20"/>
          <w:color w:val="auto"/>
        </w:rPr>
      </w:pPr>
      <w:r>
        <w:rPr>
          <w:rFonts w:ascii="Arial" w:cs="Arial" w:eastAsia="Arial" w:hAnsi="Arial"/>
          <w:sz w:val="22"/>
          <w:szCs w:val="22"/>
          <w:color w:val="auto"/>
        </w:rPr>
        <w:t>3.5. The Board and the Committee shall be free at all times to make such determinations and take such actions as they deem fit. The Board and the Committee need not take the same action or determination with respect to all Awards, with respect to certain types of Awards, with respect to all Service Providers or any certain type of Service Providers and actions and determinations may differ as among the Grantees, and as between the Grantees and any other holders of securities of the Company.</w:t>
      </w:r>
    </w:p>
    <w:p>
      <w:pPr>
        <w:spacing w:after="0" w:line="244" w:lineRule="exact"/>
        <w:rPr>
          <w:sz w:val="20"/>
          <w:szCs w:val="20"/>
          <w:color w:val="auto"/>
        </w:rPr>
      </w:pPr>
    </w:p>
    <w:p>
      <w:pPr>
        <w:ind w:right="60" w:firstLine="510"/>
        <w:spacing w:after="0" w:line="308" w:lineRule="auto"/>
        <w:rPr>
          <w:sz w:val="20"/>
          <w:szCs w:val="20"/>
          <w:color w:val="auto"/>
        </w:rPr>
      </w:pPr>
      <w:r>
        <w:rPr>
          <w:rFonts w:ascii="Arial" w:cs="Arial" w:eastAsia="Arial" w:hAnsi="Arial"/>
          <w:sz w:val="19"/>
          <w:szCs w:val="19"/>
          <w:color w:val="auto"/>
        </w:rPr>
        <w:t>3.6. All decisions, determinations, and interpretations of the Committee, the Board and the Company under this Plan shall be final and binding on all Grantees (whether before or after the issuance of Shares pursuant to Awards), unless otherwise determined by the Committee, the Board or the Company, respectively. The Committee shall have the authority (but not the obligation) to determine the interpretation and applicability of Applicable Laws to any Grantee or any Awards. No member of the Committee or the Board shall be liable to any Grantee for any action taken or determination made in good faith with respect to this Plan or any Award granted hereunder.</w:t>
      </w:r>
    </w:p>
    <w:p>
      <w:pPr>
        <w:spacing w:after="0" w:line="208" w:lineRule="exact"/>
        <w:rPr>
          <w:sz w:val="20"/>
          <w:szCs w:val="20"/>
          <w:color w:val="auto"/>
        </w:rPr>
      </w:pPr>
    </w:p>
    <w:p>
      <w:pPr>
        <w:ind w:firstLine="510"/>
        <w:spacing w:after="0" w:line="311" w:lineRule="auto"/>
        <w:rPr>
          <w:sz w:val="20"/>
          <w:szCs w:val="20"/>
          <w:color w:val="auto"/>
        </w:rPr>
      </w:pPr>
      <w:r>
        <w:rPr>
          <w:rFonts w:ascii="Arial" w:cs="Arial" w:eastAsia="Arial" w:hAnsi="Arial"/>
          <w:sz w:val="19"/>
          <w:szCs w:val="19"/>
          <w:color w:val="auto"/>
        </w:rPr>
        <w:t>3.7. Any officer or authorized signatory of the Company shall have the authority to act on behalf of the Company with respect to any matter, right, obligation, determination or election which is the responsibility of or which is allocated to the Company herein, provided such person has apparent authority with respect to such matter, right, obligation, determination or election. Such person or authorized signatory shall not be liable to any Grantee for any action taken or determination made in good faith with respect to this Plan or any Award granted hereunder.</w:t>
      </w:r>
    </w:p>
    <w:p>
      <w:pPr>
        <w:sectPr>
          <w:pgSz w:w="11900" w:h="16838" w:orient="portrait"/>
          <w:cols w:equalWidth="0" w:num="1">
            <w:col w:w="10680"/>
          </w:cols>
          <w:pgMar w:left="320" w:top="132" w:right="899" w:bottom="664" w:gutter="0" w:footer="0" w:header="0"/>
        </w:sectPr>
      </w:pPr>
    </w:p>
    <w:p>
      <w:pPr>
        <w:spacing w:after="0" w:line="366" w:lineRule="exact"/>
        <w:rPr>
          <w:sz w:val="20"/>
          <w:szCs w:val="20"/>
          <w:color w:val="auto"/>
        </w:rPr>
      </w:pPr>
    </w:p>
    <w:p>
      <w:pPr>
        <w:ind w:left="5580"/>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132320" cy="171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80"/>
          </w:cols>
          <w:pgMar w:left="320" w:top="132" w:right="899" w:bottom="664" w:gutter="0" w:footer="0" w:header="0"/>
          <w:type w:val="continuous"/>
        </w:sectPr>
      </w:pPr>
    </w:p>
    <w:bookmarkStart w:id="196" w:name="page197"/>
    <w:bookmarkEnd w:id="196"/>
    <w:p>
      <w:pPr>
        <w:ind w:left="500" w:hanging="492"/>
        <w:spacing w:after="0"/>
        <w:tabs>
          <w:tab w:leader="none" w:pos="500" w:val="left"/>
        </w:tabs>
        <w:numPr>
          <w:ilvl w:val="0"/>
          <w:numId w:val="182"/>
        </w:numPr>
        <w:rPr>
          <w:rFonts w:ascii="Arial" w:cs="Arial" w:eastAsia="Arial" w:hAnsi="Arial"/>
          <w:sz w:val="18"/>
          <w:szCs w:val="18"/>
          <w:color w:val="auto"/>
        </w:rPr>
      </w:pPr>
      <w:r>
        <w:rPr>
          <w:rFonts w:ascii="Arial" w:cs="Arial" w:eastAsia="Arial" w:hAnsi="Arial"/>
          <w:sz w:val="18"/>
          <w:szCs w:val="18"/>
          <w:u w:val="single" w:color="auto"/>
          <w:color w:val="auto"/>
        </w:rPr>
        <w:t>ELIGIBILITY</w:t>
      </w:r>
      <w:r>
        <w:rPr>
          <w:rFonts w:ascii="Arial" w:cs="Arial" w:eastAsia="Arial" w:hAnsi="Arial"/>
          <w:sz w:val="18"/>
          <w:szCs w:val="18"/>
          <w:color w:val="auto"/>
        </w:rPr>
        <w:t>.</w:t>
      </w:r>
    </w:p>
    <w:p>
      <w:pPr>
        <w:spacing w:after="0" w:line="285" w:lineRule="exact"/>
        <w:rPr>
          <w:sz w:val="20"/>
          <w:szCs w:val="20"/>
          <w:color w:val="auto"/>
        </w:rPr>
      </w:pPr>
    </w:p>
    <w:p>
      <w:pPr>
        <w:ind w:right="60" w:firstLine="510"/>
        <w:spacing w:after="0" w:line="308" w:lineRule="auto"/>
        <w:rPr>
          <w:sz w:val="20"/>
          <w:szCs w:val="20"/>
          <w:color w:val="auto"/>
        </w:rPr>
      </w:pPr>
      <w:r>
        <w:rPr>
          <w:rFonts w:ascii="Arial" w:cs="Arial" w:eastAsia="Arial" w:hAnsi="Arial"/>
          <w:sz w:val="19"/>
          <w:szCs w:val="19"/>
          <w:color w:val="auto"/>
        </w:rPr>
        <w:t>4.1. Awards may be granted to Service Providers of the Company or any Affiliate thereof, taking into account, at the Committee’s discretion and without an obligation to do so, the qualification under each tax regime pursuant to which such Awards are granted, subject to the limitation on the granting of Incentive Stock Options set forth in Section 8.1. A person who has been granted an Award hereunder may be granted additional Awards, if the Committee shall so determine, subject to the limitations herein. However, eligibility in accordance with this Section 4 shall not entitle any person to be granted an Award, or, having been granted an Award, to be granted an additional Award.</w:t>
      </w:r>
    </w:p>
    <w:p>
      <w:pPr>
        <w:spacing w:after="0" w:line="208" w:lineRule="exact"/>
        <w:rPr>
          <w:sz w:val="20"/>
          <w:szCs w:val="20"/>
          <w:color w:val="auto"/>
        </w:rPr>
      </w:pPr>
    </w:p>
    <w:p>
      <w:pPr>
        <w:ind w:right="80" w:firstLine="510"/>
        <w:spacing w:after="0" w:line="262" w:lineRule="auto"/>
        <w:rPr>
          <w:sz w:val="20"/>
          <w:szCs w:val="20"/>
          <w:color w:val="auto"/>
        </w:rPr>
      </w:pPr>
      <w:r>
        <w:rPr>
          <w:rFonts w:ascii="Arial" w:cs="Arial" w:eastAsia="Arial" w:hAnsi="Arial"/>
          <w:sz w:val="22"/>
          <w:szCs w:val="22"/>
          <w:color w:val="auto"/>
        </w:rPr>
        <w:t>4.2. Awards may differ in number of Shares covered thereby, the terms and conditions applying to them or on the Grantees or in any other respect (including, that there should not be any expectation (and it is hereby disclaimed) that a certain treatment, interpretation or position granted to one shall be applied to the other, regardless of whether or not the facts or circumstances are the same or similar).</w:t>
      </w:r>
    </w:p>
    <w:p>
      <w:pPr>
        <w:spacing w:after="0" w:line="239" w:lineRule="exact"/>
        <w:rPr>
          <w:sz w:val="20"/>
          <w:szCs w:val="20"/>
          <w:color w:val="auto"/>
        </w:rPr>
      </w:pPr>
    </w:p>
    <w:p>
      <w:pPr>
        <w:ind w:left="520" w:hanging="512"/>
        <w:spacing w:after="0"/>
        <w:tabs>
          <w:tab w:leader="none" w:pos="520" w:val="left"/>
        </w:tabs>
        <w:numPr>
          <w:ilvl w:val="0"/>
          <w:numId w:val="183"/>
        </w:numPr>
        <w:rPr>
          <w:rFonts w:ascii="Arial" w:cs="Arial" w:eastAsia="Arial" w:hAnsi="Arial"/>
          <w:sz w:val="18"/>
          <w:szCs w:val="18"/>
          <w:color w:val="auto"/>
        </w:rPr>
      </w:pPr>
      <w:r>
        <w:rPr>
          <w:rFonts w:ascii="Arial" w:cs="Arial" w:eastAsia="Arial" w:hAnsi="Arial"/>
          <w:sz w:val="18"/>
          <w:szCs w:val="18"/>
          <w:u w:val="single" w:color="auto"/>
          <w:color w:val="auto"/>
        </w:rPr>
        <w:t>SHARES</w:t>
      </w:r>
      <w:r>
        <w:rPr>
          <w:rFonts w:ascii="Arial" w:cs="Arial" w:eastAsia="Arial" w:hAnsi="Arial"/>
          <w:sz w:val="18"/>
          <w:szCs w:val="18"/>
          <w:color w:val="auto"/>
        </w:rPr>
        <w:t>.</w:t>
      </w:r>
    </w:p>
    <w:p>
      <w:pPr>
        <w:spacing w:after="0" w:line="285" w:lineRule="exact"/>
        <w:rPr>
          <w:sz w:val="20"/>
          <w:szCs w:val="20"/>
          <w:color w:val="auto"/>
        </w:rPr>
      </w:pPr>
    </w:p>
    <w:p>
      <w:pPr>
        <w:ind w:right="260" w:firstLine="510"/>
        <w:spacing w:after="0" w:line="261" w:lineRule="auto"/>
        <w:rPr>
          <w:sz w:val="20"/>
          <w:szCs w:val="20"/>
          <w:color w:val="auto"/>
        </w:rPr>
      </w:pPr>
      <w:r>
        <w:rPr>
          <w:rFonts w:ascii="Arial" w:cs="Arial" w:eastAsia="Arial" w:hAnsi="Arial"/>
          <w:sz w:val="22"/>
          <w:szCs w:val="22"/>
          <w:color w:val="auto"/>
        </w:rPr>
        <w:t>5.1. The maximum aggregate number of Shares that may be issued pursuant to Awards under this Plan (the “</w:t>
      </w:r>
      <w:r>
        <w:rPr>
          <w:rFonts w:ascii="Arial" w:cs="Arial" w:eastAsia="Arial" w:hAnsi="Arial"/>
          <w:sz w:val="22"/>
          <w:szCs w:val="22"/>
          <w:u w:val="single" w:color="auto"/>
          <w:color w:val="auto"/>
        </w:rPr>
        <w:t>Pool</w:t>
      </w:r>
      <w:r>
        <w:rPr>
          <w:rFonts w:ascii="Arial" w:cs="Arial" w:eastAsia="Arial" w:hAnsi="Arial"/>
          <w:sz w:val="22"/>
          <w:szCs w:val="22"/>
          <w:color w:val="auto"/>
        </w:rPr>
        <w:t>”) shall be 2,262,230 authorized but unissued Shares (except and as adjusted pursuant to Section 14.1 of this Plan). However, except as adjusted pursuant to Section 14.1, in no event shall more than such number of Shares included in the Pool, as adjusted in accordance with Section 5.2, be available for issuance pursuant to the exercise of Incentive Stock Options.</w:t>
      </w:r>
    </w:p>
    <w:p>
      <w:pPr>
        <w:spacing w:after="0" w:line="244" w:lineRule="exact"/>
        <w:rPr>
          <w:sz w:val="20"/>
          <w:szCs w:val="20"/>
          <w:color w:val="auto"/>
        </w:rPr>
      </w:pPr>
    </w:p>
    <w:p>
      <w:pPr>
        <w:ind w:firstLine="510"/>
        <w:spacing w:after="0" w:line="303" w:lineRule="auto"/>
        <w:rPr>
          <w:sz w:val="20"/>
          <w:szCs w:val="20"/>
          <w:color w:val="auto"/>
        </w:rPr>
      </w:pPr>
      <w:r>
        <w:rPr>
          <w:rFonts w:ascii="Arial" w:cs="Arial" w:eastAsia="Arial" w:hAnsi="Arial"/>
          <w:sz w:val="19"/>
          <w:szCs w:val="19"/>
          <w:color w:val="auto"/>
        </w:rPr>
        <w:t>5.2. Any Shares (a) underlying an Award granted hereunder that has expired, or was cancelled, terminated, forfeited or, repurchased or settled in cash in lieu of issuance of Shares, for any reason, without having been exercised; (b) if permitted by the Company, tendered to pay the Exercise Price of an Award, or withholding tax obligations with respect to an Award; or (c) if permitted by the Company, subject to an Award that are not delivered to a Grantee because such Shares are withheld to pay the Exercise Price of such Award, or withholding tax obligations with respect to such Award; shall automatically, and without any further action on the part of the Company or any Grantee, again be available for grant of Awards and Shares issued upon exercise of (if applicable) vesting thereof for the purposes of this Plan (unless this Plan shall have been terminated) or unless the Board determines otherwise. Such Shares may, in whole or in part, be authorized but unissued Shares, treasury shares (dormant shares) or Shares otherwise that shall have been or may be repurchased by the Company (to the extent permitted pursuant to the Companies Law).</w:t>
      </w:r>
    </w:p>
    <w:p>
      <w:pPr>
        <w:spacing w:after="0" w:line="212" w:lineRule="exact"/>
        <w:rPr>
          <w:sz w:val="20"/>
          <w:szCs w:val="20"/>
          <w:color w:val="auto"/>
        </w:rPr>
      </w:pPr>
    </w:p>
    <w:p>
      <w:pPr>
        <w:ind w:right="60" w:firstLine="510"/>
        <w:spacing w:after="0" w:line="276" w:lineRule="auto"/>
        <w:rPr>
          <w:sz w:val="20"/>
          <w:szCs w:val="20"/>
          <w:color w:val="auto"/>
        </w:rPr>
      </w:pPr>
      <w:r>
        <w:rPr>
          <w:rFonts w:ascii="Arial" w:cs="Arial" w:eastAsia="Arial" w:hAnsi="Arial"/>
          <w:sz w:val="22"/>
          <w:szCs w:val="22"/>
          <w:color w:val="auto"/>
        </w:rPr>
        <w:t>5.3. Any Shares under the Pool that are not subject to outstanding or exercised Awards at the termination of this Plan shall cease to be reserved for the purpose of this Plan.</w:t>
      </w:r>
    </w:p>
    <w:p>
      <w:pPr>
        <w:spacing w:after="0" w:line="222" w:lineRule="exact"/>
        <w:rPr>
          <w:sz w:val="20"/>
          <w:szCs w:val="20"/>
          <w:color w:val="auto"/>
        </w:rPr>
      </w:pPr>
    </w:p>
    <w:p>
      <w:pPr>
        <w:ind w:left="520" w:hanging="512"/>
        <w:spacing w:after="0"/>
        <w:tabs>
          <w:tab w:leader="none" w:pos="520" w:val="left"/>
        </w:tabs>
        <w:numPr>
          <w:ilvl w:val="0"/>
          <w:numId w:val="184"/>
        </w:numPr>
        <w:rPr>
          <w:rFonts w:ascii="Arial" w:cs="Arial" w:eastAsia="Arial" w:hAnsi="Arial"/>
          <w:sz w:val="18"/>
          <w:szCs w:val="18"/>
          <w:color w:val="auto"/>
        </w:rPr>
      </w:pPr>
      <w:r>
        <w:rPr>
          <w:rFonts w:ascii="Arial" w:cs="Arial" w:eastAsia="Arial" w:hAnsi="Arial"/>
          <w:sz w:val="18"/>
          <w:szCs w:val="18"/>
          <w:u w:val="single" w:color="auto"/>
          <w:color w:val="auto"/>
        </w:rPr>
        <w:t>TERMS AND CONDITIONS OF AWARDS</w:t>
      </w:r>
      <w:r>
        <w:rPr>
          <w:rFonts w:ascii="Arial" w:cs="Arial" w:eastAsia="Arial" w:hAnsi="Arial"/>
          <w:sz w:val="18"/>
          <w:szCs w:val="18"/>
          <w:color w:val="auto"/>
        </w:rPr>
        <w:t>.</w:t>
      </w:r>
    </w:p>
    <w:p>
      <w:pPr>
        <w:spacing w:after="0" w:line="285" w:lineRule="exact"/>
        <w:rPr>
          <w:sz w:val="20"/>
          <w:szCs w:val="20"/>
          <w:color w:val="auto"/>
        </w:rPr>
      </w:pPr>
    </w:p>
    <w:p>
      <w:pPr>
        <w:ind w:right="600"/>
        <w:spacing w:after="0" w:line="305" w:lineRule="auto"/>
        <w:rPr>
          <w:sz w:val="20"/>
          <w:szCs w:val="20"/>
          <w:color w:val="auto"/>
        </w:rPr>
      </w:pPr>
      <w:r>
        <w:rPr>
          <w:rFonts w:ascii="Arial" w:cs="Arial" w:eastAsia="Arial" w:hAnsi="Arial"/>
          <w:sz w:val="19"/>
          <w:szCs w:val="19"/>
          <w:color w:val="auto"/>
        </w:rPr>
        <w:t>Each Award granted pursuant to this Plan shall be evidenced by a written or electronic agreement between the Company and the Grantee or a written or electronic notice delivered by the Company (the “</w:t>
      </w:r>
      <w:r>
        <w:rPr>
          <w:rFonts w:ascii="Arial" w:cs="Arial" w:eastAsia="Arial" w:hAnsi="Arial"/>
          <w:sz w:val="19"/>
          <w:szCs w:val="19"/>
          <w:b w:val="1"/>
          <w:bCs w:val="1"/>
          <w:color w:val="auto"/>
        </w:rPr>
        <w:t>Award Agreement</w:t>
      </w:r>
      <w:r>
        <w:rPr>
          <w:rFonts w:ascii="Arial" w:cs="Arial" w:eastAsia="Arial" w:hAnsi="Arial"/>
          <w:sz w:val="19"/>
          <w:szCs w:val="19"/>
          <w:color w:val="auto"/>
        </w:rPr>
        <w:t>”), in substantially such form or forms and containing such terms and conditions, as the Committee shall from time to time approve. The Award Agreement shall comply with and be subject to the following general terms and conditions and the provisions of this Plan (except for any provisions applying to Awards under different tax regimes), unless otherwise specifically provided in such Award Agreement, or the terms referred to in other Sections of this Plan applying to Awards under such applicable tax regimes, or terms prescribed by Applicable Law. Award Agreements need not be in the same form and may differ in the terms and conditions included therein.</w:t>
      </w:r>
    </w:p>
    <w:p>
      <w:pPr>
        <w:spacing w:after="0" w:line="209" w:lineRule="exact"/>
        <w:rPr>
          <w:sz w:val="20"/>
          <w:szCs w:val="20"/>
          <w:color w:val="auto"/>
        </w:rPr>
      </w:pPr>
    </w:p>
    <w:p>
      <w:pPr>
        <w:ind w:left="520"/>
        <w:spacing w:after="0"/>
        <w:tabs>
          <w:tab w:leader="none" w:pos="1360" w:val="left"/>
        </w:tabs>
        <w:rPr>
          <w:sz w:val="20"/>
          <w:szCs w:val="20"/>
          <w:color w:val="auto"/>
        </w:rPr>
      </w:pPr>
      <w:r>
        <w:rPr>
          <w:rFonts w:ascii="Arial" w:cs="Arial" w:eastAsia="Arial" w:hAnsi="Arial"/>
          <w:sz w:val="22"/>
          <w:szCs w:val="22"/>
          <w:color w:val="auto"/>
        </w:rPr>
        <w:t>6.1.</w:t>
      </w:r>
      <w:r>
        <w:rPr>
          <w:sz w:val="20"/>
          <w:szCs w:val="20"/>
          <w:color w:val="auto"/>
        </w:rPr>
        <w:tab/>
      </w:r>
      <w:r>
        <w:rPr>
          <w:rFonts w:ascii="Arial" w:cs="Arial" w:eastAsia="Arial" w:hAnsi="Arial"/>
          <w:sz w:val="19"/>
          <w:szCs w:val="19"/>
          <w:u w:val="single" w:color="auto"/>
          <w:color w:val="auto"/>
        </w:rPr>
        <w:t>Number of Shares</w:t>
      </w:r>
      <w:r>
        <w:rPr>
          <w:rFonts w:ascii="Arial" w:cs="Arial" w:eastAsia="Arial" w:hAnsi="Arial"/>
          <w:sz w:val="19"/>
          <w:szCs w:val="19"/>
          <w:color w:val="auto"/>
        </w:rPr>
        <w:t>. Each Award Agreement shall state the number of Shares covered by the Award.</w:t>
      </w:r>
    </w:p>
    <w:p>
      <w:pPr>
        <w:spacing w:after="0" w:line="287" w:lineRule="exact"/>
        <w:rPr>
          <w:sz w:val="20"/>
          <w:szCs w:val="20"/>
          <w:color w:val="auto"/>
        </w:rPr>
      </w:pPr>
    </w:p>
    <w:p>
      <w:pPr>
        <w:ind w:right="80" w:firstLine="510"/>
        <w:spacing w:after="0" w:line="266" w:lineRule="auto"/>
        <w:rPr>
          <w:sz w:val="20"/>
          <w:szCs w:val="20"/>
          <w:color w:val="auto"/>
        </w:rPr>
      </w:pPr>
      <w:r>
        <w:rPr>
          <w:rFonts w:ascii="Arial" w:cs="Arial" w:eastAsia="Arial" w:hAnsi="Arial"/>
          <w:sz w:val="22"/>
          <w:szCs w:val="22"/>
          <w:color w:val="auto"/>
        </w:rPr>
        <w:t xml:space="preserve">6.2. </w:t>
      </w:r>
      <w:r>
        <w:rPr>
          <w:rFonts w:ascii="Arial" w:cs="Arial" w:eastAsia="Arial" w:hAnsi="Arial"/>
          <w:sz w:val="22"/>
          <w:szCs w:val="22"/>
          <w:u w:val="single" w:color="auto"/>
          <w:color w:val="auto"/>
        </w:rPr>
        <w:t>Type of Award</w:t>
      </w:r>
      <w:r>
        <w:rPr>
          <w:rFonts w:ascii="Arial" w:cs="Arial" w:eastAsia="Arial" w:hAnsi="Arial"/>
          <w:sz w:val="22"/>
          <w:szCs w:val="22"/>
          <w:color w:val="auto"/>
        </w:rPr>
        <w:t>. Each Award Agreement may state the type of Award granted thereunder, provided that the tax treatment of any Award, whether or not stated in the Award Agreement, shall be as determined in accordance with Applicable Laws.</w:t>
      </w:r>
    </w:p>
    <w:p>
      <w:pPr>
        <w:spacing w:after="0" w:line="239" w:lineRule="exact"/>
        <w:rPr>
          <w:sz w:val="20"/>
          <w:szCs w:val="20"/>
          <w:color w:val="auto"/>
        </w:rPr>
      </w:pPr>
    </w:p>
    <w:p>
      <w:pPr>
        <w:ind w:right="80" w:firstLine="510"/>
        <w:spacing w:after="0" w:line="276" w:lineRule="auto"/>
        <w:rPr>
          <w:sz w:val="20"/>
          <w:szCs w:val="20"/>
          <w:color w:val="auto"/>
        </w:rPr>
      </w:pPr>
      <w:r>
        <w:rPr>
          <w:rFonts w:ascii="Arial" w:cs="Arial" w:eastAsia="Arial" w:hAnsi="Arial"/>
          <w:sz w:val="21"/>
          <w:szCs w:val="21"/>
          <w:color w:val="auto"/>
        </w:rPr>
        <w:t xml:space="preserve">6.3. </w:t>
      </w:r>
      <w:r>
        <w:rPr>
          <w:rFonts w:ascii="Arial" w:cs="Arial" w:eastAsia="Arial" w:hAnsi="Arial"/>
          <w:sz w:val="21"/>
          <w:szCs w:val="21"/>
          <w:u w:val="single" w:color="auto"/>
          <w:color w:val="auto"/>
        </w:rPr>
        <w:t>Exercise Price</w:t>
      </w:r>
      <w:r>
        <w:rPr>
          <w:rFonts w:ascii="Arial" w:cs="Arial" w:eastAsia="Arial" w:hAnsi="Arial"/>
          <w:sz w:val="21"/>
          <w:szCs w:val="21"/>
          <w:color w:val="auto"/>
        </w:rPr>
        <w:t>. Each Award Agreement shall state the Exercise Price, if applicable. Unless otherwise set forth in this Plan, an Exercise Price of an Award of less than the par value of the Shares shall comply with Section 304 of the Companies Law, 1999, as amended. Subject to Sections 3 7.2 and 8.2 and to the foregoing, the Committee may reduce the Exercise Price of any outstanding Award, on terms and subject to such conditions as it deems advisable. The Exercise Price shall also be subject to adjustment as provided in Section 14 hereof.</w:t>
      </w:r>
    </w:p>
    <w:p>
      <w:pPr>
        <w:spacing w:after="0" w:line="393"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00"/>
          </w:cols>
          <w:pgMar w:left="320" w:top="395" w:right="879" w:bottom="0" w:gutter="0" w:footer="0" w:header="0"/>
        </w:sectPr>
      </w:pPr>
    </w:p>
    <w:bookmarkStart w:id="197" w:name="page198"/>
    <w:bookmarkEnd w:id="197"/>
    <w:p>
      <w:pPr>
        <w:ind w:left="520"/>
        <w:spacing w:after="0"/>
        <w:tabs>
          <w:tab w:leader="none" w:pos="1360" w:val="left"/>
        </w:tabs>
        <w:rPr>
          <w:sz w:val="20"/>
          <w:szCs w:val="20"/>
          <w:color w:val="auto"/>
        </w:rPr>
      </w:pPr>
      <w:r>
        <w:rPr>
          <w:rFonts w:ascii="Arial" w:cs="Arial" w:eastAsia="Arial" w:hAnsi="Arial"/>
          <w:sz w:val="22"/>
          <w:szCs w:val="22"/>
          <w:color w:val="auto"/>
        </w:rPr>
        <w:t>6.4.</w:t>
      </w:r>
      <w:r>
        <w:rPr>
          <w:sz w:val="20"/>
          <w:szCs w:val="20"/>
          <w:color w:val="auto"/>
        </w:rPr>
        <w:tab/>
      </w:r>
      <w:r>
        <w:rPr>
          <w:rFonts w:ascii="Arial" w:cs="Arial" w:eastAsia="Arial" w:hAnsi="Arial"/>
          <w:sz w:val="19"/>
          <w:szCs w:val="19"/>
          <w:u w:val="single" w:color="auto"/>
          <w:color w:val="auto"/>
        </w:rPr>
        <w:t>Manner of Exercise</w:t>
      </w:r>
      <w:r>
        <w:rPr>
          <w:rFonts w:ascii="Arial" w:cs="Arial" w:eastAsia="Arial" w:hAnsi="Arial"/>
          <w:sz w:val="19"/>
          <w:szCs w:val="19"/>
          <w:color w:val="auto"/>
        </w:rPr>
        <w:t>. An Award may be exercised, as to any or all Shares as to which the Award has</w:t>
      </w:r>
    </w:p>
    <w:p>
      <w:pPr>
        <w:spacing w:after="0" w:line="21" w:lineRule="exact"/>
        <w:rPr>
          <w:sz w:val="20"/>
          <w:szCs w:val="20"/>
          <w:color w:val="auto"/>
        </w:rPr>
      </w:pPr>
    </w:p>
    <w:p>
      <w:pPr>
        <w:spacing w:after="0" w:line="299" w:lineRule="auto"/>
        <w:rPr>
          <w:sz w:val="20"/>
          <w:szCs w:val="20"/>
          <w:color w:val="auto"/>
        </w:rPr>
      </w:pPr>
      <w:r>
        <w:rPr>
          <w:rFonts w:ascii="Arial" w:cs="Arial" w:eastAsia="Arial" w:hAnsi="Arial"/>
          <w:sz w:val="19"/>
          <w:szCs w:val="19"/>
          <w:color w:val="auto"/>
        </w:rPr>
        <w:t>become exercisable, by written notice delivered in person or by mail (or such other methods of delivery prescribed by the Company) to the Chief Financial Officer of the Company or to such other person as determined by the Committee, or in any other manner as the Committee shall prescribe from time to time, specifying the number of Shares with respect to which the Award is being exercised (which may be equal to or lower than the aggregate number of Shares that have become exercisable at such time, subject to the last sentence of this Section), accompanied by payment of the aggregate Exercise Price for such Shares in the manner specified in the following sentence. The Exercise Price shall be paid in full with respect to each Share, at the time of exercise, either in (i) cash, (ii) if the Company’s shares are listed for trading on any securities exchange or over-the-counter market, and if the Committee so determines, all or part of the Exercise Price and any withholding taxes may be paid by the delivery (on a form prescribed by the Company) of an irrevocable direction to a securities broker approved by the Company to sell Shares and to deliver all or part of the sales proceeds to the Company or the Trustee, (iii) if the Company’s shares are listed for trading on any securities exchange or over-the-counter market, and if the Committee so determines, all or part of the Exercise Price and any withholding taxes may be paid by the delivery (on a form prescribed by the Company) of an irrevocable direction to pledge Shares to a securities broker or lender approved by the Company, as security for a loan, and to deliver all or part of the loan proceeds to the Company or the Trustee, or (iv) in such other manner as the Committee shall determine, which may include procedures for cashless exercise. For as long as the Company’s shares are not listed for trading on any securities exchange or over-the-counter market and unless the Committee determines otherwise, a Grantee may not exercise Awards unless the aggregate Exercise Price thereof is equal to or in excess of the lower of: (a) the aggregate Exercise Price for all Shares as to which the Award has become exercisable at such time; or (b) US$2,000.</w:t>
      </w:r>
    </w:p>
    <w:p>
      <w:pPr>
        <w:spacing w:after="0" w:line="200" w:lineRule="exact"/>
        <w:rPr>
          <w:sz w:val="20"/>
          <w:szCs w:val="20"/>
          <w:color w:val="auto"/>
        </w:rPr>
      </w:pPr>
    </w:p>
    <w:p>
      <w:pPr>
        <w:spacing w:after="0" w:line="296" w:lineRule="exact"/>
        <w:rPr>
          <w:sz w:val="20"/>
          <w:szCs w:val="20"/>
          <w:color w:val="auto"/>
        </w:rPr>
      </w:pPr>
    </w:p>
    <w:p>
      <w:pPr>
        <w:ind w:left="520"/>
        <w:spacing w:after="0"/>
        <w:tabs>
          <w:tab w:leader="none" w:pos="1360" w:val="left"/>
        </w:tabs>
        <w:rPr>
          <w:sz w:val="20"/>
          <w:szCs w:val="20"/>
          <w:color w:val="auto"/>
        </w:rPr>
      </w:pPr>
      <w:r>
        <w:rPr>
          <w:rFonts w:ascii="Arial" w:cs="Arial" w:eastAsia="Arial" w:hAnsi="Arial"/>
          <w:sz w:val="22"/>
          <w:szCs w:val="22"/>
          <w:color w:val="auto"/>
        </w:rPr>
        <w:t>6.5.</w:t>
      </w:r>
      <w:r>
        <w:rPr>
          <w:sz w:val="20"/>
          <w:szCs w:val="20"/>
          <w:color w:val="auto"/>
        </w:rPr>
        <w:tab/>
      </w:r>
      <w:r>
        <w:rPr>
          <w:rFonts w:ascii="Arial" w:cs="Arial" w:eastAsia="Arial" w:hAnsi="Arial"/>
          <w:sz w:val="19"/>
          <w:szCs w:val="19"/>
          <w:u w:val="single" w:color="auto"/>
          <w:color w:val="auto"/>
        </w:rPr>
        <w:t>Term and Vesting of Awards</w:t>
      </w:r>
      <w:r>
        <w:rPr>
          <w:rFonts w:ascii="Arial" w:cs="Arial" w:eastAsia="Arial" w:hAnsi="Arial"/>
          <w:sz w:val="19"/>
          <w:szCs w:val="19"/>
          <w:color w:val="auto"/>
        </w:rPr>
        <w:t>.</w:t>
      </w:r>
    </w:p>
    <w:p>
      <w:pPr>
        <w:spacing w:after="0" w:line="287" w:lineRule="exact"/>
        <w:rPr>
          <w:sz w:val="20"/>
          <w:szCs w:val="20"/>
          <w:color w:val="auto"/>
        </w:rPr>
      </w:pPr>
    </w:p>
    <w:p>
      <w:pPr>
        <w:jc w:val="both"/>
        <w:ind w:left="500" w:right="220" w:firstLine="810"/>
        <w:spacing w:after="0" w:line="298" w:lineRule="auto"/>
        <w:rPr>
          <w:sz w:val="20"/>
          <w:szCs w:val="20"/>
          <w:color w:val="auto"/>
        </w:rPr>
      </w:pPr>
      <w:r>
        <w:rPr>
          <w:rFonts w:ascii="Arial" w:cs="Arial" w:eastAsia="Arial" w:hAnsi="Arial"/>
          <w:sz w:val="19"/>
          <w:szCs w:val="19"/>
          <w:color w:val="auto"/>
        </w:rPr>
        <w:t>6.5.1. Each Award Agreement shall provide the vesting schedule for the Award as determined by the Committee. The Committee shall have the authority to determine the vesting schedule and accelerate the vesting of any outstanding Award at such time and under such circumstances as it, in its sole discretion, deems appropriate.</w:t>
      </w:r>
    </w:p>
    <w:p>
      <w:pPr>
        <w:spacing w:after="0" w:line="1" w:lineRule="exact"/>
        <w:rPr>
          <w:sz w:val="20"/>
          <w:szCs w:val="20"/>
          <w:color w:val="auto"/>
        </w:rPr>
      </w:pPr>
    </w:p>
    <w:p>
      <w:pPr>
        <w:ind w:left="500"/>
        <w:spacing w:after="0" w:line="306" w:lineRule="auto"/>
        <w:rPr>
          <w:sz w:val="20"/>
          <w:szCs w:val="20"/>
          <w:color w:val="auto"/>
        </w:rPr>
      </w:pPr>
      <w:r>
        <w:rPr>
          <w:rFonts w:ascii="Arial" w:cs="Arial" w:eastAsia="Arial" w:hAnsi="Arial"/>
          <w:sz w:val="19"/>
          <w:szCs w:val="19"/>
          <w:color w:val="auto"/>
        </w:rPr>
        <w:t>Unless otherwise resolved by the Committee and stated in the Award Agreement, and subject to Sections 6.6 and 6.7 hereof, Awards shall vest and become exercisable under the following schedule: twenty-five percent (25%) of the Shares covered by the Award, on the first anniversary of the vesting commencement date determine by the Committee (and in the absence of such determination, of date on which such Award was granted), and six and one-quarter percent (6.25%) of the Shares covered by the Award at the end of each subsequent three-month period thereafter over the course of the following three (3) years; provided that the Grantee remains continuously as a Service Provider of the Company or its Affiliates throughout such vesting dates.</w:t>
      </w:r>
    </w:p>
    <w:p>
      <w:pPr>
        <w:spacing w:after="0" w:line="206" w:lineRule="exact"/>
        <w:rPr>
          <w:sz w:val="20"/>
          <w:szCs w:val="20"/>
          <w:color w:val="auto"/>
        </w:rPr>
      </w:pPr>
    </w:p>
    <w:p>
      <w:pPr>
        <w:ind w:left="500" w:right="20" w:firstLine="816"/>
        <w:spacing w:after="0" w:line="272" w:lineRule="auto"/>
        <w:rPr>
          <w:sz w:val="20"/>
          <w:szCs w:val="20"/>
          <w:color w:val="auto"/>
        </w:rPr>
      </w:pPr>
      <w:r>
        <w:rPr>
          <w:rFonts w:ascii="Arial" w:cs="Arial" w:eastAsia="Arial" w:hAnsi="Arial"/>
          <w:sz w:val="21"/>
          <w:szCs w:val="21"/>
          <w:color w:val="auto"/>
        </w:rPr>
        <w:t>6.5.2. The Award Agreement may contain performance goals and measurements (which, in case of 102 Awards, shall, if then required, be subject to obtaining a specific tax ruling or determination from the ITA), and the provisions with respect to any Award need not be the same as the provisions with respect to any other Award. Such performance goals may include, but are not limited to, sales, earnings before interest and taxes, return on investment, earnings per share, any combination of the foregoing or rate of growth of any of the foregoing, as determined by the Committee. The Committee may adjust performance goals pursuant to Awards previously granted to take into account changes in law and accounting and tax rules and to make such adjustments as the Committee deems necessary or appropriate to reflect the inclusion or the exclusion of the impact of extraordinary or unusual items, events or circumstances.</w:t>
      </w:r>
    </w:p>
    <w:p>
      <w:pPr>
        <w:spacing w:after="0" w:line="237" w:lineRule="exact"/>
        <w:rPr>
          <w:sz w:val="20"/>
          <w:szCs w:val="20"/>
          <w:color w:val="auto"/>
        </w:rPr>
      </w:pPr>
    </w:p>
    <w:p>
      <w:pPr>
        <w:ind w:left="500" w:right="280" w:firstLine="810"/>
        <w:spacing w:after="0" w:line="308" w:lineRule="auto"/>
        <w:rPr>
          <w:sz w:val="20"/>
          <w:szCs w:val="20"/>
          <w:color w:val="auto"/>
        </w:rPr>
      </w:pPr>
      <w:r>
        <w:rPr>
          <w:rFonts w:ascii="Arial" w:cs="Arial" w:eastAsia="Arial" w:hAnsi="Arial"/>
          <w:sz w:val="19"/>
          <w:szCs w:val="19"/>
          <w:color w:val="auto"/>
        </w:rPr>
        <w:t>6.5.3. The Exercise Period of an Award will be ten (10) years from the date of grant of the Award, unless otherwise determined by the Committee and stated in the Award Agreement, but subject to the vesting provisions described above and the early termination provisions set forth in Sections 6.6 and 6.7 hereof. At the expiration of the Exercise Period, any Award, or any part thereof, that has not been exercised within the term of the Award and the Shares covered thereby not paid for in accordance with this Plan and the Award Agreement shall terminate and become null and void, and all interests and rights of the Grantee in and to the same shall expire.</w:t>
      </w:r>
    </w:p>
    <w:p>
      <w:pPr>
        <w:spacing w:after="0" w:line="370" w:lineRule="exact"/>
        <w:rPr>
          <w:sz w:val="20"/>
          <w:szCs w:val="20"/>
          <w:color w:val="auto"/>
        </w:rPr>
      </w:pPr>
    </w:p>
    <w:p>
      <w:pPr>
        <w:jc w:val="center"/>
        <w:ind w:right="-519"/>
        <w:spacing w:after="0"/>
        <w:rPr>
          <w:sz w:val="20"/>
          <w:szCs w:val="20"/>
          <w:color w:val="auto"/>
        </w:rPr>
      </w:pPr>
      <w:r>
        <w:rPr>
          <w:rFonts w:ascii="Arial" w:cs="Arial" w:eastAsia="Arial" w:hAnsi="Arial"/>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402" w:right="859" w:bottom="1440" w:gutter="0" w:footer="0" w:header="0"/>
        </w:sectPr>
      </w:pPr>
    </w:p>
    <w:bookmarkStart w:id="198" w:name="page199"/>
    <w:bookmarkEnd w:id="198"/>
    <w:p>
      <w:pPr>
        <w:ind w:left="20"/>
        <w:spacing w:after="0"/>
        <w:tabs>
          <w:tab w:leader="none" w:pos="860" w:val="left"/>
        </w:tabs>
        <w:rPr>
          <w:sz w:val="20"/>
          <w:szCs w:val="20"/>
          <w:color w:val="auto"/>
        </w:rPr>
      </w:pPr>
      <w:r>
        <w:rPr>
          <w:rFonts w:ascii="Arial" w:cs="Arial" w:eastAsia="Arial" w:hAnsi="Arial"/>
          <w:sz w:val="22"/>
          <w:szCs w:val="22"/>
          <w:color w:val="auto"/>
        </w:rPr>
        <w:t>6.6.</w:t>
      </w:r>
      <w:r>
        <w:rPr>
          <w:sz w:val="20"/>
          <w:szCs w:val="20"/>
          <w:color w:val="auto"/>
        </w:rPr>
        <w:tab/>
      </w:r>
      <w:r>
        <w:rPr>
          <w:rFonts w:ascii="Arial" w:cs="Arial" w:eastAsia="Arial" w:hAnsi="Arial"/>
          <w:sz w:val="19"/>
          <w:szCs w:val="19"/>
          <w:u w:val="single" w:color="auto"/>
          <w:color w:val="auto"/>
        </w:rPr>
        <w:t>Termination</w:t>
      </w:r>
      <w:r>
        <w:rPr>
          <w:rFonts w:ascii="Arial" w:cs="Arial" w:eastAsia="Arial" w:hAnsi="Arial"/>
          <w:sz w:val="19"/>
          <w:szCs w:val="19"/>
          <w:color w:val="auto"/>
        </w:rPr>
        <w:t>.</w:t>
      </w:r>
    </w:p>
    <w:p>
      <w:pPr>
        <w:spacing w:after="0" w:line="287" w:lineRule="exact"/>
        <w:rPr>
          <w:sz w:val="20"/>
          <w:szCs w:val="20"/>
          <w:color w:val="auto"/>
        </w:rPr>
      </w:pPr>
    </w:p>
    <w:p>
      <w:pPr>
        <w:ind w:right="240" w:firstLine="810"/>
        <w:spacing w:after="0" w:line="311" w:lineRule="auto"/>
        <w:rPr>
          <w:sz w:val="20"/>
          <w:szCs w:val="20"/>
          <w:color w:val="auto"/>
        </w:rPr>
      </w:pPr>
      <w:r>
        <w:rPr>
          <w:rFonts w:ascii="Arial" w:cs="Arial" w:eastAsia="Arial" w:hAnsi="Arial"/>
          <w:sz w:val="19"/>
          <w:szCs w:val="19"/>
          <w:color w:val="auto"/>
        </w:rPr>
        <w:t>6.6.1. Unless otherwise determined by the Committee, and subject to Section 6.7 hereof, an Award may not be exercised unless the Grantee is then a Service Provider of the Company or an Affiliate thereof or, in the case of an Incentive Stock Option, a company or a parent or subsidiary company of such company issuing or assuming the Option in a transaction to which Section 424(a) of the Code applies, and unless the Grantee has remained continuously so employed since the date of grant of the Award and throughout the vesting dates.</w:t>
      </w:r>
    </w:p>
    <w:p>
      <w:pPr>
        <w:spacing w:after="0" w:line="204" w:lineRule="exact"/>
        <w:rPr>
          <w:sz w:val="20"/>
          <w:szCs w:val="20"/>
          <w:color w:val="auto"/>
        </w:rPr>
      </w:pPr>
    </w:p>
    <w:p>
      <w:pPr>
        <w:ind w:firstLine="810"/>
        <w:spacing w:after="0" w:line="298" w:lineRule="auto"/>
        <w:rPr>
          <w:sz w:val="20"/>
          <w:szCs w:val="20"/>
          <w:color w:val="auto"/>
        </w:rPr>
      </w:pPr>
      <w:r>
        <w:rPr>
          <w:rFonts w:ascii="Arial" w:cs="Arial" w:eastAsia="Arial" w:hAnsi="Arial"/>
          <w:sz w:val="19"/>
          <w:szCs w:val="19"/>
          <w:color w:val="auto"/>
        </w:rPr>
        <w:t>6.6.2. In the event that the employment or service of a Grantee shall terminate (other than by reason of death, Disability or Retirement), all Awards of such Grantee that are unvested at the time of such termination shall terminate on the date of such termination, and all Awards of such Grantee that are vested and exercisable at the time of such termination may be exercised within up to three (3) months after the date of such termination (or such different period as the Committee shall prescribe), but in any event no later than the date of expiration of the Award’s term as set forth in the Award Agreement or pursuant to this Plan; provided, however, that if the Company (or the Subsidiary or Affiliate, when applicable) shall terminate the Grantee’s employment or service for Cause (as defined below) or if at any time during the Exercise Period (whether prior to and after termination of employment or service, and whether or not the Grantee’s employment or service is terminated by either party as a result thereof), facts or circumstances arise or are discovered with respect to the Grantee that would have constituted Cause, all Awards theretofore granted to such Grantee (whether vested or not) shall, to the extent not theretofore exercised, terminate on the date of such termination (or on such subsequent date on which such facts or circumstances arise or are discovered, as the case may be) unless otherwise determined by the Committee; and any Shares issued upon exercise or (if applicable) vesting of Awards (including other Shares or securities issued or distributed with respect thereto), whether held by the Grantee or by the Trustee for the Grantee’s benefit, shall be deemed to be irrevocably offered for sale to the Company, any of its Affiliates or any person designated by the Company to purchase, at the Company’s election and subject to Applicable Law, either for no consideration, for the par value of such Shares or against payment of the Exercise Price previously received by the Company for such Shares upon their issuance, as the Committee deems fit, upon written notice to the Grantee at any time after the Grantee’s termination of employment or service. Such Shares or other securities shall be sold and transferred within 30 days from the date of the Company’s notice of its election to exercise its right. If the Grantee fails to transfer such Shares or other securities to the Company, the Company, at the decision of the Committee, shall be entitled to forfeit or repurchase such Shares and to authorize any person to execute on behalf of the Grantee any document necessary to effect such transfer, whether or not the share certificates are surrendered. The Company shall have the right and authority to affect the above either by: (i) repurchasing all of such Shares or other securities held by the Grantee or by the Trustee for the benefit of the Grantee, or designate any other person who shall have the right and authority to purchase all of Such Shares or other securities, for the Exercise Price paid for such Shares, the par value of such Shares or for no payment or consideration whatsoever, as the Committee deems fit; (ii) forfeiting all such Shares or other securities; (iii) redeeming all such Shares or other securities, for the Exercise Price paid for such Shares, the par value of such Shares or for no payment or consideration whatsoever, as the Committee deems fit; (iv) taking action in order to have such Shares or other securities converted into deferred shares entitling their holder only to their par value upon liquidation of the Company; or (v) taking any other action which may be required in order to achieve similar results; all as shall be determined by the Committee, at its sole and absolute discretion, and the Grantee is deemed to irrevocably empower the Company or any person which may be designated by it to take any action by, in the name of or on behalf of the Grantee to comply with and give effect to such actions (including, voting such shares, filling in, signing and delivering share transfer deeds, etc.).</w:t>
      </w:r>
    </w:p>
    <w:p>
      <w:pPr>
        <w:spacing w:after="0" w:line="387"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-311785</wp:posOffset>
            </wp:positionH>
            <wp:positionV relativeFrom="paragraph">
              <wp:posOffset>41275</wp:posOffset>
            </wp:positionV>
            <wp:extent cx="7132320" cy="171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200"/>
          </w:cols>
          <w:pgMar w:left="820" w:top="132" w:right="879" w:bottom="1440" w:gutter="0" w:footer="0" w:header="0"/>
        </w:sectPr>
      </w:pPr>
    </w:p>
    <w:bookmarkStart w:id="199" w:name="page200"/>
    <w:bookmarkEnd w:id="199"/>
    <w:p>
      <w:pPr>
        <w:ind w:right="40" w:firstLine="810"/>
        <w:spacing w:after="0" w:line="271" w:lineRule="auto"/>
        <w:rPr>
          <w:sz w:val="20"/>
          <w:szCs w:val="20"/>
          <w:color w:val="auto"/>
        </w:rPr>
      </w:pPr>
      <w:r>
        <w:rPr>
          <w:rFonts w:ascii="Arial" w:cs="Arial" w:eastAsia="Arial" w:hAnsi="Arial"/>
          <w:sz w:val="21"/>
          <w:szCs w:val="21"/>
          <w:color w:val="auto"/>
        </w:rPr>
        <w:t>6.6.3. Without derogating from the above, the Committee may determine, in its discretion, that any Grantee whose employment with or service to the Company or an Affiliate thereof (or, in the case of an Incentive Stock Option, a company or a parent or subsidiary company of such company issuing or assuming the Awards in a transaction to which Section 424(a) of the Code), has or shall terminate for any reason, shall be deemed to have irrevocably offered to the Company and any of its Affiliates (or any other person designated by the Company) to purchase all or part of the Shares issued pursuant to the exercise or (if applicable) the vesting of an Award (including other Shares or securities issued or distributed with respect thereto), whether held by the Grantee or by the Trustee for the Grantee’s benefit, in consideration for the Fair Market Value of such Shares or other consideration as shall be determined by the Committee, and subject to Applicable Law. In the event that such Shares are not purchased as set forth above, any subsequent sale or disposition thereof shall be subject to provisions of this Plan and the Company’s Article of Association.</w:t>
      </w:r>
    </w:p>
    <w:p>
      <w:pPr>
        <w:spacing w:after="0" w:line="241" w:lineRule="exact"/>
        <w:rPr>
          <w:sz w:val="20"/>
          <w:szCs w:val="20"/>
          <w:color w:val="auto"/>
        </w:rPr>
      </w:pPr>
    </w:p>
    <w:p>
      <w:pPr>
        <w:ind w:firstLine="810"/>
        <w:spacing w:after="0" w:line="306" w:lineRule="auto"/>
        <w:rPr>
          <w:sz w:val="20"/>
          <w:szCs w:val="20"/>
          <w:color w:val="auto"/>
        </w:rPr>
      </w:pPr>
      <w:r>
        <w:rPr>
          <w:rFonts w:ascii="Arial" w:cs="Arial" w:eastAsia="Arial" w:hAnsi="Arial"/>
          <w:sz w:val="19"/>
          <w:szCs w:val="19"/>
          <w:color w:val="auto"/>
        </w:rPr>
        <w:t>6.6.4. Notwithstanding anything to the contrary, the Committee, in its absolute discretion, may, on such terms and conditions as it may determine appropriate, extend the periods for which Awards held by any Grantee may continue to vest and be exercisable; it being clarified that such Awards may lose their entitlement to certain tax benefits under Applicable Law as a result of the modification of such Awards and/or in the event that the Award is exercised beyond the later of: (i) three (3) months after the date of termination of the employment or service relationship; or (ii) the applicable period under Section 6.7 below with respect to a termination of the employment or service relationship because of the death, Disability or Retirement of Grantee.</w:t>
      </w:r>
    </w:p>
    <w:p>
      <w:pPr>
        <w:spacing w:after="0" w:line="210" w:lineRule="exact"/>
        <w:rPr>
          <w:sz w:val="20"/>
          <w:szCs w:val="20"/>
          <w:color w:val="auto"/>
        </w:rPr>
      </w:pPr>
    </w:p>
    <w:p>
      <w:pPr>
        <w:ind w:left="800"/>
        <w:spacing w:after="0"/>
        <w:tabs>
          <w:tab w:leader="none" w:pos="1820" w:val="left"/>
        </w:tabs>
        <w:rPr>
          <w:sz w:val="20"/>
          <w:szCs w:val="20"/>
          <w:color w:val="auto"/>
        </w:rPr>
      </w:pPr>
      <w:r>
        <w:rPr>
          <w:rFonts w:ascii="Arial" w:cs="Arial" w:eastAsia="Arial" w:hAnsi="Arial"/>
          <w:sz w:val="22"/>
          <w:szCs w:val="22"/>
          <w:color w:val="auto"/>
        </w:rPr>
        <w:t>6.6.5.</w:t>
      </w:r>
      <w:r>
        <w:rPr>
          <w:sz w:val="20"/>
          <w:szCs w:val="20"/>
          <w:color w:val="auto"/>
        </w:rPr>
        <w:tab/>
      </w:r>
      <w:r>
        <w:rPr>
          <w:rFonts w:ascii="Arial" w:cs="Arial" w:eastAsia="Arial" w:hAnsi="Arial"/>
          <w:sz w:val="19"/>
          <w:szCs w:val="19"/>
          <w:color w:val="auto"/>
        </w:rPr>
        <w:t>For purposes of this Plan:</w:t>
      </w:r>
    </w:p>
    <w:p>
      <w:pPr>
        <w:spacing w:after="0" w:line="287" w:lineRule="exact"/>
        <w:rPr>
          <w:sz w:val="20"/>
          <w:szCs w:val="20"/>
          <w:color w:val="auto"/>
        </w:rPr>
      </w:pPr>
    </w:p>
    <w:p>
      <w:pPr>
        <w:ind w:firstLine="1274"/>
        <w:spacing w:after="0" w:line="259" w:lineRule="auto"/>
        <w:rPr>
          <w:sz w:val="20"/>
          <w:szCs w:val="20"/>
          <w:color w:val="auto"/>
        </w:rPr>
      </w:pPr>
      <w:r>
        <w:rPr>
          <w:rFonts w:ascii="Arial" w:cs="Arial" w:eastAsia="Arial" w:hAnsi="Arial"/>
          <w:sz w:val="22"/>
          <w:szCs w:val="22"/>
          <w:color w:val="auto"/>
        </w:rPr>
        <w:t>6.6.5.1. a termination of employment or service of a Grantee shall not be deemed to occur (except to the extent required by the Code with respect to the Incentive Stock Option status of an Option) in case of (i) a transition or transfer of a Grantee among the Company and its Affiliates, (ii) a change in the capacity in which the Grantee is employed or renders service to the Company or any of its Affiliates or a change in the identity of the employing or engagement entity among the Company and its Affiliates, provided, in case of (i) and (ii) above, that the Grantee has remained continuously employed by and/or in the service of the Company and its Affiliates since the date of grant of the Award and throughout the vesting period; or (iii) if the Grantee takes any unpaid leave as set forth in Section 6.8(i) below.</w:t>
      </w:r>
    </w:p>
    <w:p>
      <w:pPr>
        <w:spacing w:after="0" w:line="246" w:lineRule="exact"/>
        <w:rPr>
          <w:sz w:val="20"/>
          <w:szCs w:val="20"/>
          <w:color w:val="auto"/>
        </w:rPr>
      </w:pPr>
    </w:p>
    <w:p>
      <w:pPr>
        <w:ind w:right="60" w:firstLine="1274"/>
        <w:spacing w:after="0" w:line="262" w:lineRule="auto"/>
        <w:rPr>
          <w:sz w:val="20"/>
          <w:szCs w:val="20"/>
          <w:color w:val="auto"/>
        </w:rPr>
      </w:pPr>
      <w:r>
        <w:rPr>
          <w:rFonts w:ascii="Arial" w:cs="Arial" w:eastAsia="Arial" w:hAnsi="Arial"/>
          <w:sz w:val="22"/>
          <w:szCs w:val="22"/>
          <w:color w:val="auto"/>
        </w:rPr>
        <w:t>6.6.5.2. An entity or an Affiliate thereof assuming an Award or issuing in substitution thereof in a transaction to which Section 424(a) of the Code applies or in the event of a Change of Control in accordance with Section 14 shall be deemed as an Affiliate of the Company for purposes of this Section 6.6, unless the Committee determines otherwise.</w:t>
      </w:r>
    </w:p>
    <w:p>
      <w:pPr>
        <w:spacing w:after="0" w:line="245" w:lineRule="exact"/>
        <w:rPr>
          <w:sz w:val="20"/>
          <w:szCs w:val="20"/>
          <w:color w:val="auto"/>
        </w:rPr>
      </w:pPr>
    </w:p>
    <w:p>
      <w:pPr>
        <w:jc w:val="both"/>
        <w:ind w:right="60" w:firstLine="1274"/>
        <w:spacing w:after="0" w:line="284" w:lineRule="auto"/>
        <w:rPr>
          <w:sz w:val="20"/>
          <w:szCs w:val="20"/>
          <w:color w:val="auto"/>
        </w:rPr>
      </w:pPr>
      <w:r>
        <w:rPr>
          <w:rFonts w:ascii="Arial" w:cs="Arial" w:eastAsia="Arial" w:hAnsi="Arial"/>
          <w:sz w:val="21"/>
          <w:szCs w:val="21"/>
          <w:color w:val="auto"/>
        </w:rPr>
        <w:t>6.6.5.3. In the case of a Grantee whose principal employer or service recipient is a Subsidiary or Affiliate, the Grantee’s employment shall also be deemed terminated for purposes of this Section 6.6 as of the date on which such principal employer or service recipient ceases to be a Subsidiary or Affiliate.</w:t>
      </w: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-311785</wp:posOffset>
            </wp:positionH>
            <wp:positionV relativeFrom="paragraph">
              <wp:posOffset>41275</wp:posOffset>
            </wp:positionV>
            <wp:extent cx="7132320" cy="171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220"/>
          </w:cols>
          <w:pgMar w:left="820" w:top="402" w:right="859" w:bottom="1440" w:gutter="0" w:footer="0" w:header="0"/>
        </w:sectPr>
      </w:pPr>
    </w:p>
    <w:bookmarkStart w:id="200" w:name="page201"/>
    <w:bookmarkEnd w:id="200"/>
    <w:p>
      <w:pPr>
        <w:ind w:left="6" w:firstLine="1274"/>
        <w:spacing w:after="0" w:line="298" w:lineRule="auto"/>
        <w:rPr>
          <w:sz w:val="20"/>
          <w:szCs w:val="20"/>
          <w:color w:val="auto"/>
        </w:rPr>
      </w:pPr>
      <w:r>
        <w:rPr>
          <w:rFonts w:ascii="Arial" w:cs="Arial" w:eastAsia="Arial" w:hAnsi="Arial"/>
          <w:sz w:val="19"/>
          <w:szCs w:val="19"/>
          <w:color w:val="auto"/>
        </w:rPr>
        <w:t>6.6.5.4. The term “</w:t>
      </w:r>
      <w:r>
        <w:rPr>
          <w:rFonts w:ascii="Arial" w:cs="Arial" w:eastAsia="Arial" w:hAnsi="Arial"/>
          <w:sz w:val="19"/>
          <w:szCs w:val="19"/>
          <w:b w:val="1"/>
          <w:bCs w:val="1"/>
          <w:color w:val="auto"/>
        </w:rPr>
        <w:t>Cause</w:t>
      </w:r>
      <w:r>
        <w:rPr>
          <w:rFonts w:ascii="Arial" w:cs="Arial" w:eastAsia="Arial" w:hAnsi="Arial"/>
          <w:sz w:val="19"/>
          <w:szCs w:val="19"/>
          <w:color w:val="auto"/>
        </w:rPr>
        <w:t>” shall mean (irrespective of, and in addition to, any definition included in any other agreement or instrument applicable to the Grantee, and unless otherwise determined by the Committee) any of the following: (i) any theft, fraud, embezzlement, dishonesty, willful misconduct, breach of fiduciary duty for personal profit, falsification of any documents or records of the Company or any of its Affiliates, felony or similar act by the Grantee (whether or not related to the Grantee’s relationship with the Company); (ii) an act of moral turpitude by the Grantee, or any act that causes significant injury to, or is otherwise adversely affecting, the reputation, business, assets, operations or business relationship of the Company (or a Subsidiary or Affiliate, when applicable);</w:t>
      </w:r>
    </w:p>
    <w:p>
      <w:pPr>
        <w:spacing w:after="0" w:line="1" w:lineRule="exact"/>
        <w:rPr>
          <w:sz w:val="20"/>
          <w:szCs w:val="20"/>
          <w:color w:val="auto"/>
        </w:rPr>
      </w:pPr>
    </w:p>
    <w:p>
      <w:pPr>
        <w:ind w:left="6" w:hanging="6"/>
        <w:spacing w:after="0" w:line="296" w:lineRule="auto"/>
        <w:tabs>
          <w:tab w:leader="none" w:pos="384" w:val="left"/>
        </w:tabs>
        <w:numPr>
          <w:ilvl w:val="0"/>
          <w:numId w:val="185"/>
        </w:numPr>
        <w:rPr>
          <w:rFonts w:ascii="Arial" w:cs="Arial" w:eastAsia="Arial" w:hAnsi="Arial"/>
          <w:sz w:val="19"/>
          <w:szCs w:val="19"/>
          <w:color w:val="auto"/>
        </w:rPr>
      </w:pPr>
      <w:r>
        <w:rPr>
          <w:rFonts w:ascii="Arial" w:cs="Arial" w:eastAsia="Arial" w:hAnsi="Arial"/>
          <w:sz w:val="19"/>
          <w:szCs w:val="19"/>
          <w:color w:val="auto"/>
        </w:rPr>
        <w:t>any breach by the Grantee of any material agreement with or of any material duty of the Grantee to the Company or any Subsidiary or Affiliate thereof (including breach of confidentiality, non-disclosure, non-use non-competition or non-solicitation covenants towards the Company or any of its Affiliates) or failure to abide by code of conduct or other policies (including, without limitation, policies relating to confidentiality and reasonable workplace conduct); or</w:t>
      </w:r>
    </w:p>
    <w:p>
      <w:pPr>
        <w:spacing w:after="0" w:line="2" w:lineRule="exact"/>
        <w:rPr>
          <w:rFonts w:ascii="Arial" w:cs="Arial" w:eastAsia="Arial" w:hAnsi="Arial"/>
          <w:sz w:val="19"/>
          <w:szCs w:val="19"/>
          <w:color w:val="auto"/>
        </w:rPr>
      </w:pPr>
    </w:p>
    <w:p>
      <w:pPr>
        <w:ind w:left="6" w:right="60" w:hanging="6"/>
        <w:spacing w:after="0" w:line="302" w:lineRule="auto"/>
        <w:tabs>
          <w:tab w:leader="none" w:pos="372" w:val="left"/>
        </w:tabs>
        <w:numPr>
          <w:ilvl w:val="0"/>
          <w:numId w:val="185"/>
        </w:numPr>
        <w:rPr>
          <w:rFonts w:ascii="Arial" w:cs="Arial" w:eastAsia="Arial" w:hAnsi="Arial"/>
          <w:sz w:val="19"/>
          <w:szCs w:val="19"/>
          <w:color w:val="auto"/>
        </w:rPr>
      </w:pPr>
      <w:r>
        <w:rPr>
          <w:rFonts w:ascii="Arial" w:cs="Arial" w:eastAsia="Arial" w:hAnsi="Arial"/>
          <w:sz w:val="19"/>
          <w:szCs w:val="19"/>
          <w:color w:val="auto"/>
        </w:rPr>
        <w:t>any act which constitutes a breach of a Grantee’s fiduciary duty towards the Company or an Affiliate or Subsidiary, including disclosure of confidential or proprietary information thereof or acceptance or solicitation to receive unauthorized or undisclosed benefits, irrespective of their nature, or funds, or promises to receive either, from individuals, consultants or corporate entities that the Company or a Subsidiary does business with; (v) the Grantee’s unauthorized use, misappropriation, destruction, or diversion of any tangible or intangible asset or corporate opportunity of the Company or any of its Affiliates (including, without limitation, the improper use or disclosure of confidential or proprietary information); or (vi) any circumstances that constitute grounds for termination for cause under the Grantee’s employment or service agreement with the Company or Affiliate, to the extent applicable. For the avoidance of doubt, the determination as to whether a termination is for Cause for purposes of this Plan, shall be made in good faith by the Committee and shall be final and binding on the Grantee.</w:t>
      </w:r>
    </w:p>
    <w:p>
      <w:pPr>
        <w:spacing w:after="0" w:line="216" w:lineRule="exact"/>
        <w:rPr>
          <w:sz w:val="20"/>
          <w:szCs w:val="20"/>
          <w:color w:val="auto"/>
        </w:rPr>
      </w:pPr>
    </w:p>
    <w:p>
      <w:pPr>
        <w:ind w:left="26"/>
        <w:spacing w:after="0"/>
        <w:tabs>
          <w:tab w:leader="none" w:pos="866" w:val="left"/>
        </w:tabs>
        <w:rPr>
          <w:sz w:val="20"/>
          <w:szCs w:val="20"/>
          <w:color w:val="auto"/>
        </w:rPr>
      </w:pPr>
      <w:r>
        <w:rPr>
          <w:rFonts w:ascii="Arial" w:cs="Arial" w:eastAsia="Arial" w:hAnsi="Arial"/>
          <w:sz w:val="22"/>
          <w:szCs w:val="22"/>
          <w:color w:val="auto"/>
        </w:rPr>
        <w:t>6.7.</w:t>
      </w:r>
      <w:r>
        <w:rPr>
          <w:sz w:val="20"/>
          <w:szCs w:val="20"/>
          <w:color w:val="auto"/>
        </w:rPr>
        <w:tab/>
      </w:r>
      <w:r>
        <w:rPr>
          <w:rFonts w:ascii="Arial" w:cs="Arial" w:eastAsia="Arial" w:hAnsi="Arial"/>
          <w:sz w:val="19"/>
          <w:szCs w:val="19"/>
          <w:u w:val="single" w:color="auto"/>
          <w:color w:val="auto"/>
        </w:rPr>
        <w:t>Death, Disability or Retirement of Grantee</w:t>
      </w:r>
      <w:r>
        <w:rPr>
          <w:rFonts w:ascii="Arial" w:cs="Arial" w:eastAsia="Arial" w:hAnsi="Arial"/>
          <w:sz w:val="19"/>
          <w:szCs w:val="19"/>
          <w:color w:val="auto"/>
        </w:rPr>
        <w:t>.</w:t>
      </w:r>
    </w:p>
    <w:p>
      <w:pPr>
        <w:spacing w:after="0" w:line="287" w:lineRule="exact"/>
        <w:rPr>
          <w:sz w:val="20"/>
          <w:szCs w:val="20"/>
          <w:color w:val="auto"/>
        </w:rPr>
      </w:pPr>
    </w:p>
    <w:p>
      <w:pPr>
        <w:ind w:left="6" w:right="20" w:firstLine="810"/>
        <w:spacing w:after="0" w:line="301" w:lineRule="auto"/>
        <w:rPr>
          <w:sz w:val="20"/>
          <w:szCs w:val="20"/>
          <w:color w:val="auto"/>
        </w:rPr>
      </w:pPr>
      <w:r>
        <w:rPr>
          <w:rFonts w:ascii="Arial" w:cs="Arial" w:eastAsia="Arial" w:hAnsi="Arial"/>
          <w:sz w:val="19"/>
          <w:szCs w:val="19"/>
          <w:color w:val="auto"/>
        </w:rPr>
        <w:t>6.7.1. If a Grantee shall die while employed by, or performing service for, the Company or its Affiliates, or within the three (3) month period (or such longer period of time as determined by the Board, in its discretion) after the date of termination of such Grantee's employment or service (or within such different period as the Committee may have provided pursuant to Section 6.6 hereof), or if the Grantee's employment or service shall terminate by reason of Disability, all Awards theretofore granted to such Grantee may (to the extent otherwise vested and exercisable and unless earlier terminated in accordance with their terms) be exercised by the Grantee or by the Grantee's estate or by a person who acquired the legal right to exercise such Awards by bequest or inheritance, or by a person who acquired the legal right to exercise such Awards in accordance with applicable law in the case of Disability of the Grantee, as the case may be, at any time within one (1) year (or such longer period of time as determined by the Committee, in its discretion) after the death or Disability of the Grantee (or such different period as the Committee shall prescribe), but in any event no later than the date of expiration of the Award’s term as set forth in the Award Agreement or pursuant to this Plan. In the event that an Award granted hereunder shall be exercised as set forth above by any person other than the Grantee, written notice of such exercise shall be accompanied by a certified copy of letters testamentary or proof satisfactory to the Committee of the right of such person to exercise such Award.</w:t>
      </w:r>
    </w:p>
    <w:p>
      <w:pPr>
        <w:spacing w:after="0" w:line="214" w:lineRule="exact"/>
        <w:rPr>
          <w:sz w:val="20"/>
          <w:szCs w:val="20"/>
          <w:color w:val="auto"/>
        </w:rPr>
      </w:pPr>
    </w:p>
    <w:p>
      <w:pPr>
        <w:ind w:left="6" w:right="120" w:firstLine="810"/>
        <w:spacing w:after="0" w:line="279" w:lineRule="auto"/>
        <w:rPr>
          <w:sz w:val="20"/>
          <w:szCs w:val="20"/>
          <w:color w:val="auto"/>
        </w:rPr>
      </w:pPr>
      <w:r>
        <w:rPr>
          <w:rFonts w:ascii="Arial" w:cs="Arial" w:eastAsia="Arial" w:hAnsi="Arial"/>
          <w:sz w:val="21"/>
          <w:szCs w:val="21"/>
          <w:color w:val="auto"/>
        </w:rPr>
        <w:t>6.7.2. In the event that the employment or service of a Grantee shall terminate on account of such Grantee's Retirement, all Awards of such Grantee that are exercisable at the time of such Retirement may, unless earlier terminated in accordance with their terms, be exercised at any time within the three (3) month period after the date of such Retirement (or such different period as the Committee shall prescribe).</w:t>
      </w:r>
    </w:p>
    <w:p>
      <w:pPr>
        <w:spacing w:after="0" w:line="389" w:lineRule="exact"/>
        <w:rPr>
          <w:sz w:val="20"/>
          <w:szCs w:val="20"/>
          <w:color w:val="auto"/>
        </w:rPr>
      </w:pPr>
    </w:p>
    <w:p>
      <w:pPr>
        <w:jc w:val="center"/>
        <w:ind w:right="-45"/>
        <w:spacing w:after="0"/>
        <w:rPr>
          <w:sz w:val="20"/>
          <w:szCs w:val="20"/>
          <w:color w:val="auto"/>
        </w:rPr>
      </w:pPr>
      <w:r>
        <w:rPr>
          <w:rFonts w:ascii="Arial" w:cs="Arial" w:eastAsia="Arial" w:hAnsi="Arial"/>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-307975</wp:posOffset>
            </wp:positionH>
            <wp:positionV relativeFrom="paragraph">
              <wp:posOffset>41275</wp:posOffset>
            </wp:positionV>
            <wp:extent cx="7132320" cy="171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206"/>
          </w:cols>
          <w:pgMar w:left="814" w:top="126" w:right="879" w:bottom="1440" w:gutter="0" w:footer="0" w:header="0"/>
        </w:sectPr>
      </w:pPr>
    </w:p>
    <w:bookmarkStart w:id="201" w:name="page202"/>
    <w:bookmarkEnd w:id="201"/>
    <w:p>
      <w:pPr>
        <w:ind w:right="40" w:firstLine="510"/>
        <w:spacing w:after="0" w:line="260" w:lineRule="auto"/>
        <w:rPr>
          <w:sz w:val="20"/>
          <w:szCs w:val="20"/>
          <w:color w:val="auto"/>
        </w:rPr>
      </w:pPr>
      <w:r>
        <w:rPr>
          <w:rFonts w:ascii="Arial" w:cs="Arial" w:eastAsia="Arial" w:hAnsi="Arial"/>
          <w:sz w:val="22"/>
          <w:szCs w:val="22"/>
          <w:color w:val="auto"/>
        </w:rPr>
        <w:t xml:space="preserve">6.8. </w:t>
      </w:r>
      <w:r>
        <w:rPr>
          <w:rFonts w:ascii="Arial" w:cs="Arial" w:eastAsia="Arial" w:hAnsi="Arial"/>
          <w:sz w:val="22"/>
          <w:szCs w:val="22"/>
          <w:u w:val="single" w:color="auto"/>
          <w:color w:val="auto"/>
        </w:rPr>
        <w:t>Suspension of Vesting</w:t>
      </w:r>
      <w:r>
        <w:rPr>
          <w:rFonts w:ascii="Arial" w:cs="Arial" w:eastAsia="Arial" w:hAnsi="Arial"/>
          <w:sz w:val="22"/>
          <w:szCs w:val="22"/>
          <w:color w:val="auto"/>
        </w:rPr>
        <w:t>. Unless the Committee provides otherwise, vesting of Awards granted hereunder shall be suspended during any unpaid leave of absence, other than in the case of any (i) leave of absence which was pre-approved by the Company explicitly for purposes of continuing the vesting of Awards, or (ii) transfers between locations of the Company or any of its Affiliates, or between the Company and any of its Affiliates, or any respective successor thereof. For clarity, for purposes of this Plan, military leave, statutory maternity or paternity leave or sick leave are not deemed unpaid leave of absence.</w:t>
      </w:r>
    </w:p>
    <w:p>
      <w:pPr>
        <w:spacing w:after="0" w:line="246" w:lineRule="exact"/>
        <w:rPr>
          <w:sz w:val="20"/>
          <w:szCs w:val="20"/>
          <w:color w:val="auto"/>
        </w:rPr>
      </w:pPr>
    </w:p>
    <w:p>
      <w:pPr>
        <w:ind w:right="300" w:firstLine="510"/>
        <w:spacing w:after="0" w:line="297" w:lineRule="auto"/>
        <w:rPr>
          <w:sz w:val="20"/>
          <w:szCs w:val="20"/>
          <w:color w:val="auto"/>
        </w:rPr>
      </w:pPr>
      <w:r>
        <w:rPr>
          <w:rFonts w:ascii="Arial" w:cs="Arial" w:eastAsia="Arial" w:hAnsi="Arial"/>
          <w:sz w:val="19"/>
          <w:szCs w:val="19"/>
          <w:color w:val="auto"/>
        </w:rPr>
        <w:t xml:space="preserve">6.9. </w:t>
      </w:r>
      <w:r>
        <w:rPr>
          <w:rFonts w:ascii="Arial" w:cs="Arial" w:eastAsia="Arial" w:hAnsi="Arial"/>
          <w:sz w:val="19"/>
          <w:szCs w:val="19"/>
          <w:u w:val="single" w:color="auto"/>
          <w:color w:val="auto"/>
        </w:rPr>
        <w:t>Securities Law Restrictions</w:t>
      </w:r>
      <w:r>
        <w:rPr>
          <w:rFonts w:ascii="Arial" w:cs="Arial" w:eastAsia="Arial" w:hAnsi="Arial"/>
          <w:sz w:val="19"/>
          <w:szCs w:val="19"/>
          <w:color w:val="auto"/>
        </w:rPr>
        <w:t>. Except as otherwise provided in the applicable Award Agreement or other agreement between the Service Provider and the Company, if the exercise of an Award following the termination of the Service Provider’s employment or service (other than for Cause) would be prohibited at any time solely because the issuance of Shares would violate the registration requirements under the Securities Act or equivalent requirements under equivalent laws of other applicable jurisdictions, then the Award shall remain exercisable and terminate on the earlier of</w:t>
      </w:r>
    </w:p>
    <w:p>
      <w:pPr>
        <w:spacing w:after="0" w:line="3" w:lineRule="exact"/>
        <w:rPr>
          <w:sz w:val="20"/>
          <w:szCs w:val="20"/>
          <w:color w:val="auto"/>
        </w:rPr>
      </w:pPr>
    </w:p>
    <w:p>
      <w:pPr>
        <w:ind w:right="200" w:firstLine="8"/>
        <w:spacing w:after="0" w:line="271" w:lineRule="auto"/>
        <w:tabs>
          <w:tab w:leader="none" w:pos="258" w:val="left"/>
        </w:tabs>
        <w:numPr>
          <w:ilvl w:val="0"/>
          <w:numId w:val="186"/>
        </w:numPr>
        <w:rPr>
          <w:rFonts w:ascii="Arial" w:cs="Arial" w:eastAsia="Arial" w:hAnsi="Arial"/>
          <w:sz w:val="21"/>
          <w:szCs w:val="21"/>
          <w:color w:val="auto"/>
        </w:rPr>
      </w:pPr>
      <w:r>
        <w:rPr>
          <w:rFonts w:ascii="Arial" w:cs="Arial" w:eastAsia="Arial" w:hAnsi="Arial"/>
          <w:sz w:val="21"/>
          <w:szCs w:val="21"/>
          <w:color w:val="auto"/>
        </w:rPr>
        <w:t>the expiration of a period of three (3) months (or such longer period of time as determined by the Board, in its discretion) after the termination of the Service Provider’s employment or service during which the exercise of the Award would not be in such violation, or (ii) the expiration of the term of the Award as set forth in the Award Agreement or pursuant to this Plan. In addition, unless otherwise provided in a Grantee’s Award Agreement, if the sale of any Shares received upon exercise or (if applicable) vesting of an Award following the termination of the Grantee's employment or service (other than for Cause) would violate the Company’s insider trading policy, then the Award shall terminate on the earlier of (i) the expiration of a period equal to the applicable post-termination exercise period after the termination of the Grantee's employment or service during which the exercise of the Award would not be in violation of the Company’s insider trading policy, or (ii) the expiration of the term of the Award as set forth in the applicable Award Agreement or pursuant to this Plan.</w:t>
      </w:r>
    </w:p>
    <w:p>
      <w:pPr>
        <w:spacing w:after="0" w:line="239" w:lineRule="exact"/>
        <w:rPr>
          <w:sz w:val="20"/>
          <w:szCs w:val="20"/>
          <w:color w:val="auto"/>
        </w:rPr>
      </w:pPr>
    </w:p>
    <w:p>
      <w:pPr>
        <w:ind w:firstLine="510"/>
        <w:spacing w:after="0" w:line="300" w:lineRule="auto"/>
        <w:rPr>
          <w:sz w:val="20"/>
          <w:szCs w:val="20"/>
          <w:color w:val="auto"/>
        </w:rPr>
      </w:pPr>
      <w:r>
        <w:rPr>
          <w:rFonts w:ascii="Arial" w:cs="Arial" w:eastAsia="Arial" w:hAnsi="Arial"/>
          <w:sz w:val="19"/>
          <w:szCs w:val="19"/>
          <w:color w:val="auto"/>
        </w:rPr>
        <w:t xml:space="preserve">6.10. </w:t>
      </w:r>
      <w:r>
        <w:rPr>
          <w:rFonts w:ascii="Arial" w:cs="Arial" w:eastAsia="Arial" w:hAnsi="Arial"/>
          <w:sz w:val="19"/>
          <w:szCs w:val="19"/>
          <w:u w:val="single" w:color="auto"/>
          <w:color w:val="auto"/>
        </w:rPr>
        <w:t>Voting Proxy</w:t>
      </w:r>
      <w:r>
        <w:rPr>
          <w:rFonts w:ascii="Arial" w:cs="Arial" w:eastAsia="Arial" w:hAnsi="Arial"/>
          <w:sz w:val="19"/>
          <w:szCs w:val="19"/>
          <w:color w:val="auto"/>
        </w:rPr>
        <w:t>. Until immediately after the listing for trading on a stock exchange or market or trading system of the Company’s (or the Successor Corporation’s) shares, the Shares subject to an Award or to be issued pursuant to an Award or any other Securities, shall, unless otherwise determined by the Committee, be subject to an irrevocable proxy and power of attorney by the Grantee or the Trustee (if so requested from the Trustee), as the case may be, to the Company, which shall designate such person or persons (with a right of substitution) from time to time as determined by the Committee (and in the absence of such determination, the CEO or Chairman of the Board, ex officio). The Trustee is deemed to be instructed by the Grantee to sign such proxy, as requested by the Company. The proxy shall entitle the holder thereof to receive notices, vote and take such other actions in respect of the Shares or other Securities. Any person holding or exercising such voting proxies shall do so solely in his capacity as the proxy holder and not individually. All Awards granted hereunder shall be conditioned upon the execution of such irrevocable proxy in substantially the form prescribed by the Committee from time to time. So long as any such Shares are subject to such irrevocable proxy and power of attorney or held by a Trustee (and unless a proxy was given by the Trustee as aforesaid), (i) in any shareholders meeting or written consent in lieu thereof, such Shares shall be voted by the proxy holder (or the Trustee, as applicable), unless directed otherwise by the Board, in the same proportion as the result of the vote at the shareholders’ meeting (or written consent in lieu thereof) in respect of which the Shares are being voted (whether an extraordinary or annual meeting, and whether of the share capital as one class or of any class thereof), and (ii) or in any act or consent of shareholders under the Company’s Articles of Association or otherwise, such Shares shall be cast by the proxy holder (or the Trustee, as applicable), unless directed otherwise by the Board, in the same proportion as the result of the shareholders’ act or consent. The provisions of this Section shall apply to the Grantee and to any purchaser, assignee or transferee of any Shares.</w:t>
      </w:r>
    </w:p>
    <w:p>
      <w:pPr>
        <w:spacing w:after="0" w:line="373"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32" w:right="859" w:bottom="1440" w:gutter="0" w:footer="0" w:header="0"/>
        </w:sectPr>
      </w:pPr>
    </w:p>
    <w:bookmarkStart w:id="202" w:name="page203"/>
    <w:bookmarkEnd w:id="202"/>
    <w:p>
      <w:pPr>
        <w:ind w:firstLine="510"/>
        <w:spacing w:after="0" w:line="261" w:lineRule="auto"/>
        <w:rPr>
          <w:sz w:val="20"/>
          <w:szCs w:val="20"/>
          <w:color w:val="auto"/>
        </w:rPr>
      </w:pPr>
      <w:r>
        <w:rPr>
          <w:rFonts w:ascii="Arial" w:cs="Arial" w:eastAsia="Arial" w:hAnsi="Arial"/>
          <w:sz w:val="22"/>
          <w:szCs w:val="22"/>
          <w:color w:val="auto"/>
        </w:rPr>
        <w:t xml:space="preserve">6.11. </w:t>
      </w:r>
      <w:r>
        <w:rPr>
          <w:rFonts w:ascii="Arial" w:cs="Arial" w:eastAsia="Arial" w:hAnsi="Arial"/>
          <w:sz w:val="22"/>
          <w:szCs w:val="22"/>
          <w:u w:val="single" w:color="auto"/>
          <w:color w:val="auto"/>
        </w:rPr>
        <w:t>Other Provisions</w:t>
      </w:r>
      <w:r>
        <w:rPr>
          <w:rFonts w:ascii="Arial" w:cs="Arial" w:eastAsia="Arial" w:hAnsi="Arial"/>
          <w:sz w:val="22"/>
          <w:szCs w:val="22"/>
          <w:color w:val="auto"/>
        </w:rPr>
        <w:t>. The Award Agreement evidencing Awards under this Plan shall contain such other terms and conditions not inconsistent with this Plan as the Committee may determine, at or after the date of grant, including provisions in connection with the restrictions on transferring the Awards or Shares covered by such Awards, which shall be binding upon the Grantees and any purchaser, assignee or transferee of any Awards, and other terms and conditions as the Committee shall deem appropriate.</w:t>
      </w:r>
    </w:p>
    <w:p>
      <w:pPr>
        <w:spacing w:after="0" w:line="238" w:lineRule="exact"/>
        <w:rPr>
          <w:sz w:val="20"/>
          <w:szCs w:val="20"/>
          <w:color w:val="auto"/>
        </w:rPr>
      </w:pPr>
    </w:p>
    <w:p>
      <w:pPr>
        <w:ind w:left="520" w:hanging="512"/>
        <w:spacing w:after="0"/>
        <w:tabs>
          <w:tab w:leader="none" w:pos="520" w:val="left"/>
        </w:tabs>
        <w:numPr>
          <w:ilvl w:val="0"/>
          <w:numId w:val="187"/>
        </w:numPr>
        <w:rPr>
          <w:rFonts w:ascii="Arial" w:cs="Arial" w:eastAsia="Arial" w:hAnsi="Arial"/>
          <w:sz w:val="18"/>
          <w:szCs w:val="18"/>
          <w:color w:val="auto"/>
        </w:rPr>
      </w:pPr>
      <w:r>
        <w:rPr>
          <w:rFonts w:ascii="Arial" w:cs="Arial" w:eastAsia="Arial" w:hAnsi="Arial"/>
          <w:sz w:val="18"/>
          <w:szCs w:val="18"/>
          <w:u w:val="single" w:color="auto"/>
          <w:color w:val="auto"/>
        </w:rPr>
        <w:t>NONQUALIFIED STOCK OPTIONS</w:t>
      </w:r>
      <w:r>
        <w:rPr>
          <w:rFonts w:ascii="Arial" w:cs="Arial" w:eastAsia="Arial" w:hAnsi="Arial"/>
          <w:sz w:val="18"/>
          <w:szCs w:val="18"/>
          <w:color w:val="auto"/>
        </w:rPr>
        <w:t>.</w:t>
      </w:r>
    </w:p>
    <w:p>
      <w:pPr>
        <w:spacing w:after="0" w:line="285" w:lineRule="exact"/>
        <w:rPr>
          <w:sz w:val="20"/>
          <w:szCs w:val="20"/>
          <w:color w:val="auto"/>
        </w:rPr>
      </w:pPr>
    </w:p>
    <w:p>
      <w:pPr>
        <w:ind w:right="40" w:firstLine="510"/>
        <w:spacing w:after="0" w:line="317" w:lineRule="auto"/>
        <w:rPr>
          <w:sz w:val="20"/>
          <w:szCs w:val="20"/>
          <w:color w:val="auto"/>
        </w:rPr>
      </w:pPr>
      <w:r>
        <w:rPr>
          <w:rFonts w:ascii="Arial" w:cs="Arial" w:eastAsia="Arial" w:hAnsi="Arial"/>
          <w:sz w:val="19"/>
          <w:szCs w:val="19"/>
          <w:color w:val="auto"/>
        </w:rPr>
        <w:t>7.1. Awards granted pursuant to this Section 7 are intended to constitute Nonqualified Stock Options and shall be subject to the general terms and conditions specified in Section 6 hereof and other provisions of this Plan, except for any provisions of this Plan applying to Awards under different tax laws or regulations. In the event of any inconsistency or contradictions between the provisions of this Section 7 and the other terms of this Plan, this Section 7 shall prevail.</w:t>
      </w:r>
    </w:p>
    <w:p>
      <w:pPr>
        <w:spacing w:after="0" w:line="196" w:lineRule="exact"/>
        <w:rPr>
          <w:sz w:val="20"/>
          <w:szCs w:val="20"/>
          <w:color w:val="auto"/>
        </w:rPr>
      </w:pPr>
    </w:p>
    <w:p>
      <w:pPr>
        <w:ind w:right="60" w:firstLine="510"/>
        <w:spacing w:after="0" w:line="261" w:lineRule="auto"/>
        <w:rPr>
          <w:sz w:val="20"/>
          <w:szCs w:val="20"/>
          <w:color w:val="auto"/>
        </w:rPr>
      </w:pPr>
      <w:r>
        <w:rPr>
          <w:rFonts w:ascii="Arial" w:cs="Arial" w:eastAsia="Arial" w:hAnsi="Arial"/>
          <w:sz w:val="22"/>
          <w:szCs w:val="22"/>
          <w:color w:val="auto"/>
        </w:rPr>
        <w:t xml:space="preserve">7.2. </w:t>
      </w:r>
      <w:r>
        <w:rPr>
          <w:rFonts w:ascii="Arial" w:cs="Arial" w:eastAsia="Arial" w:hAnsi="Arial"/>
          <w:sz w:val="22"/>
          <w:szCs w:val="22"/>
          <w:u w:val="single" w:color="auto"/>
          <w:color w:val="auto"/>
        </w:rPr>
        <w:t>Certain Limitations on Eligibility for Nonqualified Stock Options</w:t>
      </w:r>
      <w:r>
        <w:rPr>
          <w:rFonts w:ascii="Arial" w:cs="Arial" w:eastAsia="Arial" w:hAnsi="Arial"/>
          <w:sz w:val="22"/>
          <w:szCs w:val="22"/>
          <w:color w:val="auto"/>
        </w:rPr>
        <w:t>. Nonqualified Stock Options may not be granted to a Service Provider who is deemed to be a resident of the United States for purposes of taxation or who is otherwise subject to United States federal income tax unless the Shares underlying such Options constitute “service recipient stock” under Section 409A of the Code or unless such Options comply with the payment requirements of Section 409A of the Code.</w:t>
      </w:r>
    </w:p>
    <w:p>
      <w:pPr>
        <w:spacing w:after="0" w:line="244" w:lineRule="exact"/>
        <w:rPr>
          <w:sz w:val="20"/>
          <w:szCs w:val="20"/>
          <w:color w:val="auto"/>
        </w:rPr>
      </w:pPr>
    </w:p>
    <w:p>
      <w:pPr>
        <w:ind w:right="20" w:firstLine="506"/>
        <w:spacing w:after="0" w:line="259" w:lineRule="auto"/>
        <w:rPr>
          <w:sz w:val="20"/>
          <w:szCs w:val="20"/>
          <w:color w:val="auto"/>
        </w:rPr>
      </w:pPr>
      <w:r>
        <w:rPr>
          <w:rFonts w:ascii="Arial" w:cs="Arial" w:eastAsia="Arial" w:hAnsi="Arial"/>
          <w:sz w:val="22"/>
          <w:szCs w:val="22"/>
          <w:color w:val="auto"/>
        </w:rPr>
        <w:t xml:space="preserve">7.3. </w:t>
      </w:r>
      <w:r>
        <w:rPr>
          <w:rFonts w:ascii="Arial" w:cs="Arial" w:eastAsia="Arial" w:hAnsi="Arial"/>
          <w:sz w:val="22"/>
          <w:szCs w:val="22"/>
          <w:u w:val="single" w:color="auto"/>
          <w:color w:val="auto"/>
        </w:rPr>
        <w:t>Exercise Price</w:t>
      </w:r>
      <w:r>
        <w:rPr>
          <w:rFonts w:ascii="Arial" w:cs="Arial" w:eastAsia="Arial" w:hAnsi="Arial"/>
          <w:sz w:val="22"/>
          <w:szCs w:val="22"/>
          <w:color w:val="auto"/>
        </w:rPr>
        <w:t>. The Exercise Price of a Nonqualified Stock Option shall not be less than 100% of the Fair Market Value of a Share on the date of grant of such Option unless the Committee specifically indicates that the Awards will have a lower Exercise Price and the Award complies with Section 409A of the Code. Notwithstanding the foregoing, a Nonqualified Stock Option may be granted with an exercise price lower than the minimum exercise price set forth above if such Award is granted pursuant to an assumption or substitution for another option in a manner qualifying under the provisions of that complies with Section 424(a) of the Code1.409A-1(b)(5)(v)(D) of the U.S. Treasury Regulations or any successor guidance.</w:t>
      </w:r>
    </w:p>
    <w:p>
      <w:pPr>
        <w:spacing w:after="0" w:line="243" w:lineRule="exact"/>
        <w:rPr>
          <w:sz w:val="20"/>
          <w:szCs w:val="20"/>
          <w:color w:val="auto"/>
        </w:rPr>
      </w:pPr>
    </w:p>
    <w:p>
      <w:pPr>
        <w:ind w:left="520" w:hanging="512"/>
        <w:spacing w:after="0"/>
        <w:tabs>
          <w:tab w:leader="none" w:pos="520" w:val="left"/>
        </w:tabs>
        <w:numPr>
          <w:ilvl w:val="0"/>
          <w:numId w:val="188"/>
        </w:numPr>
        <w:rPr>
          <w:rFonts w:ascii="Arial" w:cs="Arial" w:eastAsia="Arial" w:hAnsi="Arial"/>
          <w:sz w:val="18"/>
          <w:szCs w:val="18"/>
          <w:color w:val="auto"/>
        </w:rPr>
      </w:pPr>
      <w:r>
        <w:rPr>
          <w:rFonts w:ascii="Arial" w:cs="Arial" w:eastAsia="Arial" w:hAnsi="Arial"/>
          <w:sz w:val="18"/>
          <w:szCs w:val="18"/>
          <w:u w:val="single" w:color="auto"/>
          <w:color w:val="auto"/>
        </w:rPr>
        <w:t>INCENTIVE STOCK OPTIONS</w:t>
      </w:r>
      <w:r>
        <w:rPr>
          <w:rFonts w:ascii="Arial" w:cs="Arial" w:eastAsia="Arial" w:hAnsi="Arial"/>
          <w:sz w:val="18"/>
          <w:szCs w:val="18"/>
          <w:color w:val="auto"/>
        </w:rPr>
        <w:t>.</w:t>
      </w:r>
    </w:p>
    <w:p>
      <w:pPr>
        <w:spacing w:after="0" w:line="285" w:lineRule="exact"/>
        <w:rPr>
          <w:sz w:val="20"/>
          <w:szCs w:val="20"/>
          <w:color w:val="auto"/>
        </w:rPr>
      </w:pPr>
    </w:p>
    <w:p>
      <w:pPr>
        <w:ind w:right="720"/>
        <w:spacing w:after="0" w:line="276" w:lineRule="auto"/>
        <w:rPr>
          <w:sz w:val="20"/>
          <w:szCs w:val="20"/>
          <w:color w:val="auto"/>
        </w:rPr>
      </w:pPr>
      <w:r>
        <w:rPr>
          <w:rFonts w:ascii="Arial" w:cs="Arial" w:eastAsia="Arial" w:hAnsi="Arial"/>
          <w:sz w:val="21"/>
          <w:szCs w:val="21"/>
          <w:color w:val="auto"/>
        </w:rPr>
        <w:t>Awards granted pursuant to this Section 8 are intended to constitute Incentive Stock Options and shall be granted subject to the following special terms and conditions, the general terms and conditions specified in Section 6 hereof and other provisions of this Plan, except for any provisions of this Plan applying to Awards under different tax laws or regulations. In the event of any inconsistency or contradictions between the provisions of this Section 8 and the other terms of this Plan, this Section 8 shall prevail.</w:t>
      </w:r>
    </w:p>
    <w:p>
      <w:pPr>
        <w:spacing w:after="0" w:line="231" w:lineRule="exact"/>
        <w:rPr>
          <w:sz w:val="20"/>
          <w:szCs w:val="20"/>
          <w:color w:val="auto"/>
        </w:rPr>
      </w:pPr>
    </w:p>
    <w:p>
      <w:pPr>
        <w:ind w:right="20" w:firstLine="510"/>
        <w:spacing w:after="0" w:line="261" w:lineRule="auto"/>
        <w:rPr>
          <w:sz w:val="20"/>
          <w:szCs w:val="20"/>
          <w:color w:val="auto"/>
        </w:rPr>
      </w:pPr>
      <w:r>
        <w:rPr>
          <w:rFonts w:ascii="Arial" w:cs="Arial" w:eastAsia="Arial" w:hAnsi="Arial"/>
          <w:sz w:val="22"/>
          <w:szCs w:val="22"/>
          <w:color w:val="auto"/>
        </w:rPr>
        <w:t xml:space="preserve">8.1. </w:t>
      </w:r>
      <w:r>
        <w:rPr>
          <w:rFonts w:ascii="Arial" w:cs="Arial" w:eastAsia="Arial" w:hAnsi="Arial"/>
          <w:sz w:val="22"/>
          <w:szCs w:val="22"/>
          <w:u w:val="single" w:color="auto"/>
          <w:color w:val="auto"/>
        </w:rPr>
        <w:t>Eligibility for Incentive Stock Options</w:t>
      </w:r>
      <w:r>
        <w:rPr>
          <w:rFonts w:ascii="Arial" w:cs="Arial" w:eastAsia="Arial" w:hAnsi="Arial"/>
          <w:sz w:val="22"/>
          <w:szCs w:val="22"/>
          <w:color w:val="auto"/>
        </w:rPr>
        <w:t>. Incentive Stock Options may be granted only to Employees of the Company, or to Employees of a Parent or Subsidiary, determined as of the date of grant of such Options. An Incentive Stock Option granted to a prospective Employee upon the condition that such person become an Employee shall be deemed granted effective on the date such person commences employment, with an exercise price determined as of such date in accordance with Section 8.2.</w:t>
      </w:r>
    </w:p>
    <w:p>
      <w:pPr>
        <w:spacing w:after="0" w:line="244" w:lineRule="exact"/>
        <w:rPr>
          <w:sz w:val="20"/>
          <w:szCs w:val="20"/>
          <w:color w:val="auto"/>
        </w:rPr>
      </w:pPr>
    </w:p>
    <w:p>
      <w:pPr>
        <w:ind w:right="80" w:firstLine="510"/>
        <w:spacing w:after="0" w:line="260" w:lineRule="auto"/>
        <w:rPr>
          <w:sz w:val="20"/>
          <w:szCs w:val="20"/>
          <w:color w:val="auto"/>
        </w:rPr>
      </w:pPr>
      <w:r>
        <w:rPr>
          <w:rFonts w:ascii="Arial" w:cs="Arial" w:eastAsia="Arial" w:hAnsi="Arial"/>
          <w:sz w:val="22"/>
          <w:szCs w:val="22"/>
          <w:color w:val="auto"/>
        </w:rPr>
        <w:t xml:space="preserve">8.2. </w:t>
      </w:r>
      <w:r>
        <w:rPr>
          <w:rFonts w:ascii="Arial" w:cs="Arial" w:eastAsia="Arial" w:hAnsi="Arial"/>
          <w:sz w:val="22"/>
          <w:szCs w:val="22"/>
          <w:u w:val="single" w:color="auto"/>
          <w:color w:val="auto"/>
        </w:rPr>
        <w:t>Exercise Price</w:t>
      </w:r>
      <w:r>
        <w:rPr>
          <w:rFonts w:ascii="Arial" w:cs="Arial" w:eastAsia="Arial" w:hAnsi="Arial"/>
          <w:sz w:val="22"/>
          <w:szCs w:val="22"/>
          <w:color w:val="auto"/>
        </w:rPr>
        <w:t>. The Exercise Price of an Incentive Stock Option shall not be less than one hundred percent (100%) of the Fair Market Value of the Shares covered by the Awards on the date of grant of such Option or such other price as may be determined pursuant to the Code. Notwithstanding the foregoing, an Incentive Stock Option may be granted with an exercise price lower than the minimum exercise price set forth above if such Award is granted pursuant to an assumption or substitution for another option in a manner that complies with the provisions of Section 424(a) of the Code.</w:t>
      </w:r>
    </w:p>
    <w:p>
      <w:pPr>
        <w:spacing w:after="0" w:line="246" w:lineRule="exact"/>
        <w:rPr>
          <w:sz w:val="20"/>
          <w:szCs w:val="20"/>
          <w:color w:val="auto"/>
        </w:rPr>
      </w:pPr>
    </w:p>
    <w:p>
      <w:pPr>
        <w:ind w:right="40" w:firstLine="510"/>
        <w:spacing w:after="0" w:line="266" w:lineRule="auto"/>
        <w:rPr>
          <w:sz w:val="20"/>
          <w:szCs w:val="20"/>
          <w:color w:val="auto"/>
        </w:rPr>
      </w:pPr>
      <w:r>
        <w:rPr>
          <w:rFonts w:ascii="Arial" w:cs="Arial" w:eastAsia="Arial" w:hAnsi="Arial"/>
          <w:sz w:val="22"/>
          <w:szCs w:val="22"/>
          <w:color w:val="auto"/>
        </w:rPr>
        <w:t xml:space="preserve">8.3. </w:t>
      </w:r>
      <w:r>
        <w:rPr>
          <w:rFonts w:ascii="Arial" w:cs="Arial" w:eastAsia="Arial" w:hAnsi="Arial"/>
          <w:sz w:val="22"/>
          <w:szCs w:val="22"/>
          <w:u w:val="single" w:color="auto"/>
          <w:color w:val="auto"/>
        </w:rPr>
        <w:t>Date of Grant</w:t>
      </w:r>
      <w:r>
        <w:rPr>
          <w:rFonts w:ascii="Arial" w:cs="Arial" w:eastAsia="Arial" w:hAnsi="Arial"/>
          <w:sz w:val="22"/>
          <w:szCs w:val="22"/>
          <w:color w:val="auto"/>
        </w:rPr>
        <w:t>. Notwithstanding any other provision of this Plan to the contrary, no Incentive Stock Option may be granted under this Plan after 10 years from the date this Plan is adopted, or the date this Plan is approved by the shareholders, whichever is earlier.</w:t>
      </w:r>
    </w:p>
    <w:p>
      <w:pPr>
        <w:spacing w:after="0" w:line="239" w:lineRule="exact"/>
        <w:rPr>
          <w:sz w:val="20"/>
          <w:szCs w:val="20"/>
          <w:color w:val="auto"/>
        </w:rPr>
      </w:pPr>
    </w:p>
    <w:p>
      <w:pPr>
        <w:ind w:right="120" w:firstLine="510"/>
        <w:spacing w:after="0" w:line="284" w:lineRule="auto"/>
        <w:rPr>
          <w:sz w:val="20"/>
          <w:szCs w:val="20"/>
          <w:color w:val="auto"/>
        </w:rPr>
      </w:pPr>
      <w:r>
        <w:rPr>
          <w:rFonts w:ascii="Arial" w:cs="Arial" w:eastAsia="Arial" w:hAnsi="Arial"/>
          <w:sz w:val="21"/>
          <w:szCs w:val="21"/>
          <w:color w:val="auto"/>
        </w:rPr>
        <w:t xml:space="preserve">8.4. </w:t>
      </w:r>
      <w:r>
        <w:rPr>
          <w:rFonts w:ascii="Arial" w:cs="Arial" w:eastAsia="Arial" w:hAnsi="Arial"/>
          <w:sz w:val="21"/>
          <w:szCs w:val="21"/>
          <w:u w:val="single" w:color="auto"/>
          <w:color w:val="auto"/>
        </w:rPr>
        <w:t>Exercise Period</w:t>
      </w:r>
      <w:r>
        <w:rPr>
          <w:rFonts w:ascii="Arial" w:cs="Arial" w:eastAsia="Arial" w:hAnsi="Arial"/>
          <w:sz w:val="21"/>
          <w:szCs w:val="21"/>
          <w:color w:val="auto"/>
        </w:rPr>
        <w:t>. No Incentive Stock Option shall be exercisable after the expiration of ten (10) years after the effective date of grant of such Award, subject to Section 8.6. No Incentive Stock Option granted to a prospective Employee may become exercisable prior to the date on which such person commences employment.</w:t>
      </w:r>
    </w:p>
    <w:p>
      <w:pPr>
        <w:spacing w:after="0" w:line="385"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402" w:right="859" w:bottom="445" w:gutter="0" w:footer="0" w:header="0"/>
        </w:sectPr>
      </w:pPr>
    </w:p>
    <w:bookmarkStart w:id="203" w:name="page204"/>
    <w:bookmarkEnd w:id="203"/>
    <w:p>
      <w:pPr>
        <w:ind w:firstLine="510"/>
        <w:spacing w:after="0" w:line="301" w:lineRule="auto"/>
        <w:rPr>
          <w:sz w:val="20"/>
          <w:szCs w:val="20"/>
          <w:color w:val="auto"/>
        </w:rPr>
      </w:pPr>
      <w:r>
        <w:rPr>
          <w:rFonts w:ascii="Arial" w:cs="Arial" w:eastAsia="Arial" w:hAnsi="Arial"/>
          <w:sz w:val="19"/>
          <w:szCs w:val="19"/>
          <w:color w:val="auto"/>
        </w:rPr>
        <w:t xml:space="preserve">8.5. </w:t>
      </w:r>
      <w:r>
        <w:rPr>
          <w:rFonts w:ascii="Arial" w:cs="Arial" w:eastAsia="Arial" w:hAnsi="Arial"/>
          <w:sz w:val="19"/>
          <w:szCs w:val="19"/>
          <w:u w:val="single" w:color="auto"/>
          <w:color w:val="auto"/>
        </w:rPr>
        <w:t>$100,000 Per Year Limitation</w:t>
      </w:r>
      <w:r>
        <w:rPr>
          <w:rFonts w:ascii="Arial" w:cs="Arial" w:eastAsia="Arial" w:hAnsi="Arial"/>
          <w:sz w:val="19"/>
          <w:szCs w:val="19"/>
          <w:color w:val="auto"/>
        </w:rPr>
        <w:t>. The aggregate Fair Market Value (determined as of the date the Incentive Stock Option is granted) of the Shares with respect to which all Incentive Stock Options granted under this Plan and all other “incentive stock option” plans of the Company, or of any Parent or Subsidiary or Affiliate, become exercisable for the first time by each Grantee during any calendar year shall not exceed one hundred thousand United States dollars ($100,000) with respect to such Grantee. To the extent that the aggregate Fair Market Value of Shares with respect to which such Incentive Stock Options and any other such incentive stock options are exercisable for the first time by any Grantee during any calendar year exceeds one hundred thousand United States dollars ($100,000), such options shall be treated as Nonqualified Stock Options. The foregoing shall be applied by taking options into account in the order in which they were granted. If the Code is amended to provide for a different limitation from that set forth in this Section 8.5, such different limitation shall be deemed incorporated herein effective as of the date and with respect to such Awards as required or permitted by such amendment to the Code. If an Option is treated as an Incentive Stock Option in part and as a Nonqualifed Stock Option in part by reason of the limitation set forth in this Section 8.5, the Grantee may designate which portion of such Option the Grantee is exercising. In the absence of such designation, the Grantee shall be deemed to have exercised the Incentive Stock Option portion of the Option first. Separate certificates representing each such portion may be issued upon the exercise of the Option.</w:t>
      </w:r>
    </w:p>
    <w:p>
      <w:pPr>
        <w:spacing w:after="0" w:line="200" w:lineRule="exact"/>
        <w:rPr>
          <w:sz w:val="20"/>
          <w:szCs w:val="20"/>
          <w:color w:val="auto"/>
        </w:rPr>
      </w:pPr>
    </w:p>
    <w:p>
      <w:pPr>
        <w:spacing w:after="0" w:line="284" w:lineRule="exact"/>
        <w:rPr>
          <w:sz w:val="20"/>
          <w:szCs w:val="20"/>
          <w:color w:val="auto"/>
        </w:rPr>
      </w:pPr>
    </w:p>
    <w:p>
      <w:pPr>
        <w:ind w:firstLine="510"/>
        <w:spacing w:after="0" w:line="262" w:lineRule="auto"/>
        <w:rPr>
          <w:sz w:val="20"/>
          <w:szCs w:val="20"/>
          <w:color w:val="auto"/>
        </w:rPr>
      </w:pPr>
      <w:r>
        <w:rPr>
          <w:rFonts w:ascii="Arial" w:cs="Arial" w:eastAsia="Arial" w:hAnsi="Arial"/>
          <w:sz w:val="22"/>
          <w:szCs w:val="22"/>
          <w:color w:val="auto"/>
        </w:rPr>
        <w:t xml:space="preserve">8.6. </w:t>
      </w:r>
      <w:r>
        <w:rPr>
          <w:rFonts w:ascii="Arial" w:cs="Arial" w:eastAsia="Arial" w:hAnsi="Arial"/>
          <w:sz w:val="22"/>
          <w:szCs w:val="22"/>
          <w:u w:val="single" w:color="auto"/>
          <w:color w:val="auto"/>
        </w:rPr>
        <w:t>Ten Percent Shareholder</w:t>
      </w:r>
      <w:r>
        <w:rPr>
          <w:rFonts w:ascii="Arial" w:cs="Arial" w:eastAsia="Arial" w:hAnsi="Arial"/>
          <w:sz w:val="22"/>
          <w:szCs w:val="22"/>
          <w:color w:val="auto"/>
        </w:rPr>
        <w:t>. In the case of an Incentive Stock Option granted to a Ten Percent Shareholder, (i) the Exercise Price shall not be less than one hundred and ten percent (110%) of the Fair Market Value of a Share on the date of grant of such Incentive Stock Option, and (ii) the Exercise Period shall not exceed five (5) years from the effective date of grant of such Incentive Stock Option.</w:t>
      </w:r>
    </w:p>
    <w:p>
      <w:pPr>
        <w:spacing w:after="0" w:line="245" w:lineRule="exact"/>
        <w:rPr>
          <w:sz w:val="20"/>
          <w:szCs w:val="20"/>
          <w:color w:val="auto"/>
        </w:rPr>
      </w:pPr>
    </w:p>
    <w:p>
      <w:pPr>
        <w:ind w:right="140" w:firstLine="510"/>
        <w:spacing w:after="0" w:line="276" w:lineRule="auto"/>
        <w:rPr>
          <w:sz w:val="20"/>
          <w:szCs w:val="20"/>
          <w:color w:val="auto"/>
        </w:rPr>
      </w:pPr>
      <w:r>
        <w:rPr>
          <w:rFonts w:ascii="Arial" w:cs="Arial" w:eastAsia="Arial" w:hAnsi="Arial"/>
          <w:sz w:val="22"/>
          <w:szCs w:val="22"/>
          <w:color w:val="auto"/>
        </w:rPr>
        <w:t xml:space="preserve">8.7. </w:t>
      </w:r>
      <w:r>
        <w:rPr>
          <w:rFonts w:ascii="Arial" w:cs="Arial" w:eastAsia="Arial" w:hAnsi="Arial"/>
          <w:sz w:val="22"/>
          <w:szCs w:val="22"/>
          <w:u w:val="single" w:color="auto"/>
          <w:color w:val="auto"/>
        </w:rPr>
        <w:t>Payment of Exercise Price</w:t>
      </w:r>
      <w:r>
        <w:rPr>
          <w:rFonts w:ascii="Arial" w:cs="Arial" w:eastAsia="Arial" w:hAnsi="Arial"/>
          <w:sz w:val="22"/>
          <w:szCs w:val="22"/>
          <w:color w:val="auto"/>
        </w:rPr>
        <w:t>. Each Award Agreement evidencing an Incentive Stock Option shall state each alternative method by which the Exercise Price thereof may be paid.</w:t>
      </w:r>
    </w:p>
    <w:p>
      <w:pPr>
        <w:spacing w:after="0" w:line="228" w:lineRule="exact"/>
        <w:rPr>
          <w:sz w:val="20"/>
          <w:szCs w:val="20"/>
          <w:color w:val="auto"/>
        </w:rPr>
      </w:pPr>
    </w:p>
    <w:p>
      <w:pPr>
        <w:ind w:right="140" w:firstLine="510"/>
        <w:spacing w:after="0" w:line="311" w:lineRule="auto"/>
        <w:rPr>
          <w:sz w:val="20"/>
          <w:szCs w:val="20"/>
          <w:color w:val="auto"/>
        </w:rPr>
      </w:pPr>
      <w:r>
        <w:rPr>
          <w:rFonts w:ascii="Arial" w:cs="Arial" w:eastAsia="Arial" w:hAnsi="Arial"/>
          <w:sz w:val="19"/>
          <w:szCs w:val="19"/>
          <w:color w:val="auto"/>
        </w:rPr>
        <w:t xml:space="preserve">8.8. </w:t>
      </w:r>
      <w:r>
        <w:rPr>
          <w:rFonts w:ascii="Arial" w:cs="Arial" w:eastAsia="Arial" w:hAnsi="Arial"/>
          <w:sz w:val="19"/>
          <w:szCs w:val="19"/>
          <w:u w:val="single" w:color="auto"/>
          <w:color w:val="auto"/>
        </w:rPr>
        <w:t>Leave of Absence</w:t>
      </w:r>
      <w:r>
        <w:rPr>
          <w:rFonts w:ascii="Arial" w:cs="Arial" w:eastAsia="Arial" w:hAnsi="Arial"/>
          <w:sz w:val="19"/>
          <w:szCs w:val="19"/>
          <w:color w:val="auto"/>
        </w:rPr>
        <w:t>. Notwithstanding Section 6.8, a Grantee’s employment shall not be deemed to have terminated if the Grantee takes any leave as set forth in Section 6.8(i); provided, however, that if any such leave exceeds three (3) months, on the day that is six (6) months following the commencement of such leave any Incentive Stock Option held by the Grantee shall cease to be treated as an Incentive Stock Option and instead shall be treated thereafter as a Nonqualified Stock Option, unless the Grantee’s right to return to employment is guaranteed by statute or contract.</w:t>
      </w:r>
    </w:p>
    <w:p>
      <w:pPr>
        <w:spacing w:after="0" w:line="204" w:lineRule="exact"/>
        <w:rPr>
          <w:sz w:val="20"/>
          <w:szCs w:val="20"/>
          <w:color w:val="auto"/>
        </w:rPr>
      </w:pPr>
    </w:p>
    <w:p>
      <w:pPr>
        <w:ind w:right="140" w:firstLine="510"/>
        <w:spacing w:after="0" w:line="308" w:lineRule="auto"/>
        <w:rPr>
          <w:sz w:val="20"/>
          <w:szCs w:val="20"/>
          <w:color w:val="auto"/>
        </w:rPr>
      </w:pPr>
      <w:r>
        <w:rPr>
          <w:rFonts w:ascii="Arial" w:cs="Arial" w:eastAsia="Arial" w:hAnsi="Arial"/>
          <w:sz w:val="19"/>
          <w:szCs w:val="19"/>
          <w:color w:val="auto"/>
        </w:rPr>
        <w:t xml:space="preserve">8.9. </w:t>
      </w:r>
      <w:r>
        <w:rPr>
          <w:rFonts w:ascii="Arial" w:cs="Arial" w:eastAsia="Arial" w:hAnsi="Arial"/>
          <w:sz w:val="19"/>
          <w:szCs w:val="19"/>
          <w:u w:val="single" w:color="auto"/>
          <w:color w:val="auto"/>
        </w:rPr>
        <w:t>Exercise Following Termination for Disability</w:t>
      </w:r>
      <w:r>
        <w:rPr>
          <w:rFonts w:ascii="Arial" w:cs="Arial" w:eastAsia="Arial" w:hAnsi="Arial"/>
          <w:sz w:val="19"/>
          <w:szCs w:val="19"/>
          <w:color w:val="auto"/>
        </w:rPr>
        <w:t>. Notwithstanding anything else in this Plan to the contrary, Incentive Stock Options that are not exercised within three (3) months following termination of the Grantee’s employment with the Company or its Parent or Subsidiary or a corporation or a Parent or Subsidiary of such corporation issuing or assuming an Option in a transaction to which Section 424(a) of the Code applies, or within one year in case of termination of the Grantee’s employment with the Company or its Parent or Subsidiary due to a Disability (within the meaning of Section 22(e)(3) of the Code), shall be deemed to be Nonqualified Stock Options.</w:t>
      </w:r>
    </w:p>
    <w:p>
      <w:pPr>
        <w:spacing w:after="0" w:line="208" w:lineRule="exact"/>
        <w:rPr>
          <w:sz w:val="20"/>
          <w:szCs w:val="20"/>
          <w:color w:val="auto"/>
        </w:rPr>
      </w:pPr>
    </w:p>
    <w:p>
      <w:pPr>
        <w:ind w:right="60" w:firstLine="510"/>
        <w:spacing w:after="0" w:line="260" w:lineRule="auto"/>
        <w:rPr>
          <w:sz w:val="20"/>
          <w:szCs w:val="20"/>
          <w:color w:val="auto"/>
        </w:rPr>
      </w:pPr>
      <w:r>
        <w:rPr>
          <w:rFonts w:ascii="Arial" w:cs="Arial" w:eastAsia="Arial" w:hAnsi="Arial"/>
          <w:sz w:val="22"/>
          <w:szCs w:val="22"/>
          <w:color w:val="auto"/>
        </w:rPr>
        <w:t xml:space="preserve">8.10. </w:t>
      </w:r>
      <w:r>
        <w:rPr>
          <w:rFonts w:ascii="Arial" w:cs="Arial" w:eastAsia="Arial" w:hAnsi="Arial"/>
          <w:sz w:val="22"/>
          <w:szCs w:val="22"/>
          <w:u w:val="single" w:color="auto"/>
          <w:color w:val="auto"/>
        </w:rPr>
        <w:t>Adjustments to Incentive Stock Options</w:t>
      </w:r>
      <w:r>
        <w:rPr>
          <w:rFonts w:ascii="Arial" w:cs="Arial" w:eastAsia="Arial" w:hAnsi="Arial"/>
          <w:sz w:val="22"/>
          <w:szCs w:val="22"/>
          <w:color w:val="auto"/>
        </w:rPr>
        <w:t>. Any Awards Agreement providing for the grant of Incentive Stock Options shall indicate that adjustments made pursuant to this Plan with respect to Incentive Stock Options could constitute a “modification” of such Incentive Stock Options (as that term is defined in Section 424(h) of the Code) or could cause adverse tax consequences for the holder of such Incentive Stock Options and that the holder should consult with his or her tax advisor regarding the consequences of such “modification” on his or her income tax treatment with respect to the Incentive Stock Option.</w:t>
      </w:r>
    </w:p>
    <w:p>
      <w:pPr>
        <w:spacing w:after="0" w:line="246" w:lineRule="exact"/>
        <w:rPr>
          <w:sz w:val="20"/>
          <w:szCs w:val="20"/>
          <w:color w:val="auto"/>
        </w:rPr>
      </w:pPr>
    </w:p>
    <w:p>
      <w:pPr>
        <w:ind w:right="180" w:firstLine="506"/>
        <w:spacing w:after="0" w:line="273" w:lineRule="auto"/>
        <w:rPr>
          <w:sz w:val="20"/>
          <w:szCs w:val="20"/>
          <w:color w:val="auto"/>
        </w:rPr>
      </w:pPr>
      <w:r>
        <w:rPr>
          <w:rFonts w:ascii="Arial" w:cs="Arial" w:eastAsia="Arial" w:hAnsi="Arial"/>
          <w:sz w:val="21"/>
          <w:szCs w:val="21"/>
          <w:color w:val="auto"/>
        </w:rPr>
        <w:t xml:space="preserve">8.11. </w:t>
      </w:r>
      <w:r>
        <w:rPr>
          <w:rFonts w:ascii="Arial" w:cs="Arial" w:eastAsia="Arial" w:hAnsi="Arial"/>
          <w:sz w:val="21"/>
          <w:szCs w:val="21"/>
          <w:u w:val="single" w:color="auto"/>
          <w:color w:val="auto"/>
        </w:rPr>
        <w:t>Notice to Company of Disqualifying Disposition</w:t>
      </w:r>
      <w:r>
        <w:rPr>
          <w:rFonts w:ascii="Arial" w:cs="Arial" w:eastAsia="Arial" w:hAnsi="Arial"/>
          <w:sz w:val="21"/>
          <w:szCs w:val="21"/>
          <w:color w:val="auto"/>
        </w:rPr>
        <w:t>. Each Grantee who receives an Incentive Stock Option must agree to notify the Company in writing immediately after the Grantee makes a Disqualifying Disposition of any Shares received pursuant to the exercise of Incentive Stock Options. A “Disqualifying Disposition” is any disposition (including any sale) of such Shares before the later of (i) two years after the date the Grantee was granted the Incentive Stock Option, or (ii) one year after the date the Grantee acquired Shares by exercising the Incentive Stock Option. If the Grantee dies before such Shares are sold, these holding period requirements do not apply and no disposition of the Shares will be deemed a Disqualifying Disposition.</w:t>
      </w:r>
    </w:p>
    <w:p>
      <w:pPr>
        <w:sectPr>
          <w:pgSz w:w="11900" w:h="16838" w:orient="portrait"/>
          <w:cols w:equalWidth="0" w:num="1">
            <w:col w:w="10720"/>
          </w:cols>
          <w:pgMar w:left="320" w:top="132" w:right="859" w:bottom="1440" w:gutter="0" w:footer="0" w:header="0"/>
        </w:sectPr>
      </w:pPr>
    </w:p>
    <w:p>
      <w:pPr>
        <w:spacing w:after="0" w:line="399" w:lineRule="exact"/>
        <w:rPr>
          <w:sz w:val="20"/>
          <w:szCs w:val="20"/>
          <w:color w:val="auto"/>
        </w:rPr>
      </w:pPr>
    </w:p>
    <w:p>
      <w:pPr>
        <w:jc w:val="center"/>
        <w:ind w:right="-539"/>
        <w:spacing w:after="0"/>
        <w:rPr>
          <w:sz w:val="20"/>
          <w:szCs w:val="20"/>
          <w:color w:val="auto"/>
        </w:rPr>
      </w:pPr>
      <w:r>
        <w:rPr>
          <w:rFonts w:ascii="Arial" w:cs="Arial" w:eastAsia="Arial" w:hAnsi="Arial"/>
          <w:sz w:val="19"/>
          <w:szCs w:val="19"/>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32" w:right="859" w:bottom="1440" w:gutter="0" w:footer="0" w:header="0"/>
          <w:type w:val="continuous"/>
        </w:sectPr>
      </w:pPr>
    </w:p>
    <w:bookmarkStart w:id="204" w:name="page205"/>
    <w:bookmarkEnd w:id="204"/>
    <w:p>
      <w:pPr>
        <w:ind w:left="520" w:hanging="512"/>
        <w:spacing w:after="0"/>
        <w:tabs>
          <w:tab w:leader="none" w:pos="520" w:val="left"/>
        </w:tabs>
        <w:numPr>
          <w:ilvl w:val="0"/>
          <w:numId w:val="189"/>
        </w:numPr>
        <w:rPr>
          <w:rFonts w:ascii="Arial" w:cs="Arial" w:eastAsia="Arial" w:hAnsi="Arial"/>
          <w:sz w:val="18"/>
          <w:szCs w:val="18"/>
          <w:color w:val="auto"/>
        </w:rPr>
      </w:pPr>
      <w:r>
        <w:rPr>
          <w:rFonts w:ascii="Arial" w:cs="Arial" w:eastAsia="Arial" w:hAnsi="Arial"/>
          <w:sz w:val="18"/>
          <w:szCs w:val="18"/>
          <w:u w:val="single" w:color="auto"/>
          <w:color w:val="auto"/>
        </w:rPr>
        <w:t>102 AWARDS</w:t>
      </w:r>
      <w:r>
        <w:rPr>
          <w:rFonts w:ascii="Arial" w:cs="Arial" w:eastAsia="Arial" w:hAnsi="Arial"/>
          <w:sz w:val="18"/>
          <w:szCs w:val="18"/>
          <w:color w:val="auto"/>
        </w:rPr>
        <w:t>.</w:t>
      </w:r>
    </w:p>
    <w:p>
      <w:pPr>
        <w:spacing w:after="0" w:line="285" w:lineRule="exact"/>
        <w:rPr>
          <w:sz w:val="20"/>
          <w:szCs w:val="20"/>
          <w:color w:val="auto"/>
        </w:rPr>
      </w:pPr>
    </w:p>
    <w:p>
      <w:pPr>
        <w:ind w:right="760"/>
        <w:spacing w:after="0" w:line="261" w:lineRule="auto"/>
        <w:rPr>
          <w:sz w:val="20"/>
          <w:szCs w:val="20"/>
          <w:color w:val="auto"/>
        </w:rPr>
      </w:pPr>
      <w:r>
        <w:rPr>
          <w:rFonts w:ascii="Arial" w:cs="Arial" w:eastAsia="Arial" w:hAnsi="Arial"/>
          <w:sz w:val="22"/>
          <w:szCs w:val="22"/>
          <w:color w:val="auto"/>
        </w:rPr>
        <w:t>Awards granted pursuant to this Section 9 are intended to constitute 102 Awards and shall be granted subject to the following special terms and conditions, the general terms and conditions specified in Section 6 hereof and other provisions of this Plan, except for any provisions of this Plan applying to Awards under different tax laws or regulations. In the event of any inconsistency or contradictions between the provisions of this Section 9 and the other terms of this Plan, this Section 9 shall prevail.</w:t>
      </w:r>
    </w:p>
    <w:p>
      <w:pPr>
        <w:spacing w:after="0" w:line="244" w:lineRule="exact"/>
        <w:rPr>
          <w:sz w:val="20"/>
          <w:szCs w:val="20"/>
          <w:color w:val="auto"/>
        </w:rPr>
      </w:pPr>
    </w:p>
    <w:p>
      <w:pPr>
        <w:ind w:firstLine="510"/>
        <w:spacing w:after="0" w:line="259" w:lineRule="auto"/>
        <w:rPr>
          <w:sz w:val="20"/>
          <w:szCs w:val="20"/>
          <w:color w:val="auto"/>
        </w:rPr>
      </w:pPr>
      <w:r>
        <w:rPr>
          <w:rFonts w:ascii="Arial" w:cs="Arial" w:eastAsia="Arial" w:hAnsi="Arial"/>
          <w:sz w:val="22"/>
          <w:szCs w:val="22"/>
          <w:color w:val="auto"/>
        </w:rPr>
        <w:t xml:space="preserve">9.1. </w:t>
      </w:r>
      <w:r>
        <w:rPr>
          <w:rFonts w:ascii="Arial" w:cs="Arial" w:eastAsia="Arial" w:hAnsi="Arial"/>
          <w:sz w:val="22"/>
          <w:szCs w:val="22"/>
          <w:u w:val="single" w:color="auto"/>
          <w:color w:val="auto"/>
        </w:rPr>
        <w:t>Tracks</w:t>
      </w:r>
      <w:r>
        <w:rPr>
          <w:rFonts w:ascii="Arial" w:cs="Arial" w:eastAsia="Arial" w:hAnsi="Arial"/>
          <w:sz w:val="22"/>
          <w:szCs w:val="22"/>
          <w:color w:val="auto"/>
        </w:rPr>
        <w:t>. Awards granted pursuant to this Section 9 are intended to be granted pursuant to Section 102 of the Ordinance pursuant to either (i) Section 102(b)(2) thereof, under the capital gain track (“</w:t>
      </w:r>
      <w:r>
        <w:rPr>
          <w:rFonts w:ascii="Arial" w:cs="Arial" w:eastAsia="Arial" w:hAnsi="Arial"/>
          <w:sz w:val="22"/>
          <w:szCs w:val="22"/>
          <w:b w:val="1"/>
          <w:bCs w:val="1"/>
          <w:color w:val="auto"/>
        </w:rPr>
        <w:t>102 Capital Gain Track</w:t>
      </w:r>
      <w:r>
        <w:rPr>
          <w:rFonts w:ascii="Arial" w:cs="Arial" w:eastAsia="Arial" w:hAnsi="Arial"/>
          <w:sz w:val="22"/>
          <w:szCs w:val="22"/>
          <w:color w:val="auto"/>
        </w:rPr>
        <w:t xml:space="preserve"> </w:t>
      </w:r>
      <w:r>
        <w:rPr>
          <w:rFonts w:ascii="Arial" w:cs="Arial" w:eastAsia="Arial" w:hAnsi="Arial"/>
          <w:sz w:val="22"/>
          <w:szCs w:val="22"/>
          <w:b w:val="1"/>
          <w:bCs w:val="1"/>
          <w:color w:val="auto"/>
        </w:rPr>
        <w:t>Awards</w:t>
      </w:r>
      <w:r>
        <w:rPr>
          <w:rFonts w:ascii="Arial" w:cs="Arial" w:eastAsia="Arial" w:hAnsi="Arial"/>
          <w:sz w:val="22"/>
          <w:szCs w:val="22"/>
          <w:color w:val="auto"/>
        </w:rPr>
        <w:t>”), or (ii) Section 102(b)(1) thereof under the ordinary income track (“</w:t>
      </w:r>
      <w:r>
        <w:rPr>
          <w:rFonts w:ascii="Arial" w:cs="Arial" w:eastAsia="Arial" w:hAnsi="Arial"/>
          <w:sz w:val="22"/>
          <w:szCs w:val="22"/>
          <w:b w:val="1"/>
          <w:bCs w:val="1"/>
          <w:color w:val="auto"/>
        </w:rPr>
        <w:t>102 Ordinary Income Track Awards</w:t>
      </w:r>
      <w:r>
        <w:rPr>
          <w:rFonts w:ascii="Arial" w:cs="Arial" w:eastAsia="Arial" w:hAnsi="Arial"/>
          <w:sz w:val="22"/>
          <w:szCs w:val="22"/>
          <w:color w:val="auto"/>
        </w:rPr>
        <w:t>”, and</w:t>
      </w:r>
      <w:r>
        <w:rPr>
          <w:rFonts w:ascii="Arial" w:cs="Arial" w:eastAsia="Arial" w:hAnsi="Arial"/>
          <w:sz w:val="22"/>
          <w:szCs w:val="22"/>
          <w:b w:val="1"/>
          <w:bCs w:val="1"/>
          <w:color w:val="auto"/>
        </w:rPr>
        <w:t xml:space="preserve"> </w:t>
      </w:r>
      <w:r>
        <w:rPr>
          <w:rFonts w:ascii="Arial" w:cs="Arial" w:eastAsia="Arial" w:hAnsi="Arial"/>
          <w:sz w:val="22"/>
          <w:szCs w:val="22"/>
          <w:color w:val="auto"/>
        </w:rPr>
        <w:t>together with 102 Capital Gain Track Awards, “</w:t>
      </w:r>
      <w:r>
        <w:rPr>
          <w:rFonts w:ascii="Arial" w:cs="Arial" w:eastAsia="Arial" w:hAnsi="Arial"/>
          <w:sz w:val="22"/>
          <w:szCs w:val="22"/>
          <w:b w:val="1"/>
          <w:bCs w:val="1"/>
          <w:color w:val="auto"/>
        </w:rPr>
        <w:t>102 Trustee Awards</w:t>
      </w:r>
      <w:r>
        <w:rPr>
          <w:rFonts w:ascii="Arial" w:cs="Arial" w:eastAsia="Arial" w:hAnsi="Arial"/>
          <w:sz w:val="22"/>
          <w:szCs w:val="22"/>
          <w:color w:val="auto"/>
        </w:rPr>
        <w:t>”). 102 Trustee Awards shall be granted subject to the special terms and conditions contained in this Section 9, the general terms and conditions specified in Section 6 hereof and other provisions of this Plan, except for any provisions of this Plan applying to Options under different tax laws or regulations.</w:t>
      </w:r>
    </w:p>
    <w:p>
      <w:pPr>
        <w:spacing w:after="0" w:line="249" w:lineRule="exact"/>
        <w:rPr>
          <w:sz w:val="20"/>
          <w:szCs w:val="20"/>
          <w:color w:val="auto"/>
        </w:rPr>
      </w:pPr>
    </w:p>
    <w:p>
      <w:pPr>
        <w:ind w:right="20" w:firstLine="510"/>
        <w:spacing w:after="0" w:line="272" w:lineRule="auto"/>
        <w:rPr>
          <w:sz w:val="20"/>
          <w:szCs w:val="20"/>
          <w:color w:val="auto"/>
        </w:rPr>
      </w:pPr>
      <w:r>
        <w:rPr>
          <w:rFonts w:ascii="Arial" w:cs="Arial" w:eastAsia="Arial" w:hAnsi="Arial"/>
          <w:sz w:val="21"/>
          <w:szCs w:val="21"/>
          <w:color w:val="auto"/>
        </w:rPr>
        <w:t xml:space="preserve">9.2. </w:t>
      </w:r>
      <w:r>
        <w:rPr>
          <w:rFonts w:ascii="Arial" w:cs="Arial" w:eastAsia="Arial" w:hAnsi="Arial"/>
          <w:sz w:val="21"/>
          <w:szCs w:val="21"/>
          <w:u w:val="single" w:color="auto"/>
          <w:color w:val="auto"/>
        </w:rPr>
        <w:t>Election of Track</w:t>
      </w:r>
      <w:r>
        <w:rPr>
          <w:rFonts w:ascii="Arial" w:cs="Arial" w:eastAsia="Arial" w:hAnsi="Arial"/>
          <w:sz w:val="21"/>
          <w:szCs w:val="21"/>
          <w:color w:val="auto"/>
        </w:rPr>
        <w:t>. Subject to Applicable Law, the Company may grant only one type of 102 Trustee Awards at any given time to all Grantees who are to be granted 102 Trustee Awards pursuant to this Plan, and shall file an election with the ITA regarding the type of 102 Trustee Awards it elects to grant before the date of grant of any 102 Trustee Awards (the “</w:t>
      </w:r>
      <w:r>
        <w:rPr>
          <w:rFonts w:ascii="Arial" w:cs="Arial" w:eastAsia="Arial" w:hAnsi="Arial"/>
          <w:sz w:val="21"/>
          <w:szCs w:val="21"/>
          <w:b w:val="1"/>
          <w:bCs w:val="1"/>
          <w:color w:val="auto"/>
        </w:rPr>
        <w:t>Election</w:t>
      </w:r>
      <w:r>
        <w:rPr>
          <w:rFonts w:ascii="Arial" w:cs="Arial" w:eastAsia="Arial" w:hAnsi="Arial"/>
          <w:sz w:val="21"/>
          <w:szCs w:val="21"/>
          <w:color w:val="auto"/>
        </w:rPr>
        <w:t>”). Such Election shall also apply to any other securities, including bonus shares, received by any Grantee as a result of holding the 102 Trustee Awards. The Company may change the type of 102 Trustee Awards that it elects to grant only after the expiration of at least 12 months from the end of the year in which the first grant was made in accordance with the previous Election, or as otherwise provided by Applicable Law. Any Election shall not prevent the Company from granting Awards, pursuant to Section 102(c) of the Ordinance without a Trustee (“</w:t>
      </w:r>
      <w:r>
        <w:rPr>
          <w:rFonts w:ascii="Arial" w:cs="Arial" w:eastAsia="Arial" w:hAnsi="Arial"/>
          <w:sz w:val="21"/>
          <w:szCs w:val="21"/>
          <w:b w:val="1"/>
          <w:bCs w:val="1"/>
          <w:color w:val="auto"/>
        </w:rPr>
        <w:t>102 Non-Trustee</w:t>
      </w:r>
      <w:r>
        <w:rPr>
          <w:rFonts w:ascii="Arial" w:cs="Arial" w:eastAsia="Arial" w:hAnsi="Arial"/>
          <w:sz w:val="21"/>
          <w:szCs w:val="21"/>
          <w:color w:val="auto"/>
        </w:rPr>
        <w:t xml:space="preserve"> </w:t>
      </w:r>
      <w:r>
        <w:rPr>
          <w:rFonts w:ascii="Arial" w:cs="Arial" w:eastAsia="Arial" w:hAnsi="Arial"/>
          <w:sz w:val="21"/>
          <w:szCs w:val="21"/>
          <w:b w:val="1"/>
          <w:bCs w:val="1"/>
          <w:color w:val="auto"/>
        </w:rPr>
        <w:t>Awards</w:t>
      </w:r>
      <w:r>
        <w:rPr>
          <w:rFonts w:ascii="Arial" w:cs="Arial" w:eastAsia="Arial" w:hAnsi="Arial"/>
          <w:sz w:val="21"/>
          <w:szCs w:val="21"/>
          <w:color w:val="auto"/>
        </w:rPr>
        <w:t>”).</w:t>
      </w:r>
    </w:p>
    <w:p>
      <w:pPr>
        <w:spacing w:after="0" w:line="237" w:lineRule="exact"/>
        <w:rPr>
          <w:sz w:val="20"/>
          <w:szCs w:val="20"/>
          <w:color w:val="auto"/>
        </w:rPr>
      </w:pPr>
    </w:p>
    <w:p>
      <w:pPr>
        <w:ind w:left="520"/>
        <w:spacing w:after="0"/>
        <w:tabs>
          <w:tab w:leader="none" w:pos="1360" w:val="left"/>
        </w:tabs>
        <w:rPr>
          <w:sz w:val="20"/>
          <w:szCs w:val="20"/>
          <w:color w:val="auto"/>
        </w:rPr>
      </w:pPr>
      <w:r>
        <w:rPr>
          <w:rFonts w:ascii="Arial" w:cs="Arial" w:eastAsia="Arial" w:hAnsi="Arial"/>
          <w:sz w:val="22"/>
          <w:szCs w:val="22"/>
          <w:color w:val="auto"/>
        </w:rPr>
        <w:t>9.3.</w:t>
      </w:r>
      <w:r>
        <w:rPr>
          <w:sz w:val="20"/>
          <w:szCs w:val="20"/>
          <w:color w:val="auto"/>
        </w:rPr>
        <w:tab/>
      </w:r>
      <w:r>
        <w:rPr>
          <w:rFonts w:ascii="Arial" w:cs="Arial" w:eastAsia="Arial" w:hAnsi="Arial"/>
          <w:sz w:val="21"/>
          <w:szCs w:val="21"/>
          <w:u w:val="single" w:color="auto"/>
          <w:color w:val="auto"/>
        </w:rPr>
        <w:t>Eligibility for Awards</w:t>
      </w:r>
      <w:r>
        <w:rPr>
          <w:rFonts w:ascii="Arial" w:cs="Arial" w:eastAsia="Arial" w:hAnsi="Arial"/>
          <w:sz w:val="21"/>
          <w:szCs w:val="21"/>
          <w:color w:val="auto"/>
        </w:rPr>
        <w:t>.</w:t>
      </w:r>
    </w:p>
    <w:p>
      <w:pPr>
        <w:spacing w:after="0" w:line="287" w:lineRule="exact"/>
        <w:rPr>
          <w:sz w:val="20"/>
          <w:szCs w:val="20"/>
          <w:color w:val="auto"/>
        </w:rPr>
      </w:pPr>
    </w:p>
    <w:p>
      <w:pPr>
        <w:ind w:left="500" w:right="120" w:firstLine="810"/>
        <w:spacing w:after="0" w:line="308" w:lineRule="auto"/>
        <w:rPr>
          <w:sz w:val="20"/>
          <w:szCs w:val="20"/>
          <w:color w:val="auto"/>
        </w:rPr>
      </w:pPr>
      <w:r>
        <w:rPr>
          <w:rFonts w:ascii="Arial" w:cs="Arial" w:eastAsia="Arial" w:hAnsi="Arial"/>
          <w:sz w:val="19"/>
          <w:szCs w:val="19"/>
          <w:color w:val="auto"/>
        </w:rPr>
        <w:t>9.3.1. Subject to Applicable Law, 102 Awards may only be granted to an "employee" within the meaning of Section 102(a) of the Ordinance (which as of the date of the adoption of this Plan means (i) individuals employed by an Israeli company being the Company or any of its Affiliates, and (ii) individuals who are serving and are engaged personally (and not through an entity) as “office holders” by such an Israeli company), but may not be granted to a Controlling Shareholder (“</w:t>
      </w:r>
      <w:r>
        <w:rPr>
          <w:rFonts w:ascii="Arial" w:cs="Arial" w:eastAsia="Arial" w:hAnsi="Arial"/>
          <w:sz w:val="19"/>
          <w:szCs w:val="19"/>
          <w:b w:val="1"/>
          <w:bCs w:val="1"/>
          <w:color w:val="auto"/>
        </w:rPr>
        <w:t>Eligible 102 Grantees</w:t>
      </w:r>
      <w:r>
        <w:rPr>
          <w:rFonts w:ascii="Arial" w:cs="Arial" w:eastAsia="Arial" w:hAnsi="Arial"/>
          <w:sz w:val="19"/>
          <w:szCs w:val="19"/>
          <w:color w:val="auto"/>
        </w:rPr>
        <w:t>”). Eligible 102 Grantees may receive only 102 Awards, which may either be granted to a Trustee or granted under Section 102 of the Ordinance without a Trustee.</w:t>
      </w:r>
    </w:p>
    <w:p>
      <w:pPr>
        <w:spacing w:after="0" w:line="208" w:lineRule="exact"/>
        <w:rPr>
          <w:sz w:val="20"/>
          <w:szCs w:val="20"/>
          <w:color w:val="auto"/>
        </w:rPr>
      </w:pPr>
    </w:p>
    <w:p>
      <w:pPr>
        <w:ind w:left="520"/>
        <w:spacing w:after="0"/>
        <w:tabs>
          <w:tab w:leader="none" w:pos="1360" w:val="left"/>
        </w:tabs>
        <w:rPr>
          <w:sz w:val="20"/>
          <w:szCs w:val="20"/>
          <w:color w:val="auto"/>
        </w:rPr>
      </w:pPr>
      <w:r>
        <w:rPr>
          <w:rFonts w:ascii="Arial" w:cs="Arial" w:eastAsia="Arial" w:hAnsi="Arial"/>
          <w:sz w:val="22"/>
          <w:szCs w:val="22"/>
          <w:color w:val="auto"/>
        </w:rPr>
        <w:t>9.4.</w:t>
      </w:r>
      <w:r>
        <w:rPr>
          <w:sz w:val="20"/>
          <w:szCs w:val="20"/>
          <w:color w:val="auto"/>
        </w:rPr>
        <w:tab/>
      </w:r>
      <w:r>
        <w:rPr>
          <w:rFonts w:ascii="Arial" w:cs="Arial" w:eastAsia="Arial" w:hAnsi="Arial"/>
          <w:sz w:val="19"/>
          <w:szCs w:val="19"/>
          <w:u w:val="single" w:color="auto"/>
          <w:color w:val="auto"/>
        </w:rPr>
        <w:t>102 Award Grant Date</w:t>
      </w:r>
      <w:r>
        <w:rPr>
          <w:rFonts w:ascii="Arial" w:cs="Arial" w:eastAsia="Arial" w:hAnsi="Arial"/>
          <w:sz w:val="19"/>
          <w:szCs w:val="19"/>
          <w:color w:val="auto"/>
        </w:rPr>
        <w:t>.</w:t>
      </w:r>
    </w:p>
    <w:p>
      <w:pPr>
        <w:spacing w:after="0" w:line="287" w:lineRule="exact"/>
        <w:rPr>
          <w:sz w:val="20"/>
          <w:szCs w:val="20"/>
          <w:color w:val="auto"/>
        </w:rPr>
      </w:pPr>
    </w:p>
    <w:p>
      <w:pPr>
        <w:ind w:left="500" w:firstLine="810"/>
        <w:spacing w:after="0" w:line="304" w:lineRule="auto"/>
        <w:rPr>
          <w:sz w:val="20"/>
          <w:szCs w:val="20"/>
          <w:color w:val="auto"/>
        </w:rPr>
      </w:pPr>
      <w:r>
        <w:rPr>
          <w:rFonts w:ascii="Arial" w:cs="Arial" w:eastAsia="Arial" w:hAnsi="Arial"/>
          <w:sz w:val="19"/>
          <w:szCs w:val="19"/>
          <w:color w:val="auto"/>
        </w:rPr>
        <w:t>9.4.1. Each 102 Award will be deemed granted on the date determined by the Committee, subject to Section 9.4.2, provided that (i) the Grantee has signed all documents required by the Company or pursuant to Applicable Law, and (ii) with respect to 102 Trustee Award, the Company has provided all applicable documents to the Trustee in accordance with the guidelines published by the ITA, and if an agreement is not signed and delivered by the Grantee within 90 days from the date determined by the Committee (subject to Section 9.4.2), then such 102 Trustee Award shall be deemed granted on such later date as such agreement is signed and delivered and on which the Company has provided all applicable documents to the Trustee in accordance with the guidelines published by the ITA. In the case of any contradiction, this provision and the date of grant determined pursuant hereto shall supersede and be deemed to amend any date of grant indicated in any corporate resolution or Award Agreement.</w:t>
      </w:r>
    </w:p>
    <w:p>
      <w:pPr>
        <w:spacing w:after="0" w:line="371" w:lineRule="exact"/>
        <w:rPr>
          <w:sz w:val="20"/>
          <w:szCs w:val="20"/>
          <w:color w:val="auto"/>
        </w:rPr>
      </w:pPr>
    </w:p>
    <w:p>
      <w:pPr>
        <w:ind w:left="5520"/>
        <w:spacing w:after="0"/>
        <w:rPr>
          <w:sz w:val="20"/>
          <w:szCs w:val="20"/>
          <w:color w:val="auto"/>
        </w:rPr>
      </w:pPr>
      <w:r>
        <w:rPr>
          <w:rFonts w:ascii="Arial" w:cs="Arial" w:eastAsia="Arial" w:hAnsi="Arial"/>
          <w:sz w:val="22"/>
          <w:szCs w:val="2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80"/>
          </w:cols>
          <w:pgMar w:left="320" w:top="395" w:right="899" w:bottom="1440" w:gutter="0" w:footer="0" w:header="0"/>
        </w:sectPr>
      </w:pPr>
    </w:p>
    <w:bookmarkStart w:id="205" w:name="page206"/>
    <w:bookmarkEnd w:id="205"/>
    <w:p>
      <w:pPr>
        <w:ind w:left="6" w:firstLine="810"/>
        <w:spacing w:after="0" w:line="271" w:lineRule="auto"/>
        <w:rPr>
          <w:sz w:val="20"/>
          <w:szCs w:val="20"/>
          <w:color w:val="auto"/>
        </w:rPr>
      </w:pPr>
      <w:r>
        <w:rPr>
          <w:rFonts w:ascii="Arial" w:cs="Arial" w:eastAsia="Arial" w:hAnsi="Arial"/>
          <w:sz w:val="21"/>
          <w:szCs w:val="21"/>
          <w:color w:val="auto"/>
        </w:rPr>
        <w:t>9.4.2. Unless otherwise permitted by the Ordinance, any grants of 102 Trustee Awards that are made on or after the date of the adoption of this Plan or an amendment to this Plan, as the case may be, that may become effective only at the expiration of thirty (30) days after the filing of this Plan or any amendment thereof (as the case may be) with the ITA in accordance with the Ordinance shall be conditional upon the expiration of such 30-day period, such condition shall be read and is incorporated by reference into any corporate resolutions approving such grants and into any Award Agreement evidencing such grants (whether or not explicitly referring to such condition), and the date of grant shall be at the expiration of such 30-day period, whether or not the date of grant indicated therein corresponds with this Section. In the case of any contradiction, this provision and the date of grant determined pursuant hereto shall supersede and be deemed to amend any date of grant indicated in any corporate resolution or Award Agreement.</w:t>
      </w:r>
    </w:p>
    <w:p>
      <w:pPr>
        <w:spacing w:after="0" w:line="243" w:lineRule="exact"/>
        <w:rPr>
          <w:sz w:val="20"/>
          <w:szCs w:val="20"/>
          <w:color w:val="auto"/>
        </w:rPr>
      </w:pPr>
    </w:p>
    <w:p>
      <w:pPr>
        <w:ind w:left="26"/>
        <w:spacing w:after="0"/>
        <w:tabs>
          <w:tab w:leader="none" w:pos="866" w:val="left"/>
        </w:tabs>
        <w:rPr>
          <w:sz w:val="20"/>
          <w:szCs w:val="20"/>
          <w:color w:val="auto"/>
        </w:rPr>
      </w:pPr>
      <w:r>
        <w:rPr>
          <w:rFonts w:ascii="Arial" w:cs="Arial" w:eastAsia="Arial" w:hAnsi="Arial"/>
          <w:sz w:val="22"/>
          <w:szCs w:val="22"/>
          <w:color w:val="auto"/>
        </w:rPr>
        <w:t>9.5.</w:t>
      </w:r>
      <w:r>
        <w:rPr>
          <w:sz w:val="20"/>
          <w:szCs w:val="20"/>
          <w:color w:val="auto"/>
        </w:rPr>
        <w:tab/>
      </w:r>
      <w:r>
        <w:rPr>
          <w:rFonts w:ascii="Arial" w:cs="Arial" w:eastAsia="Arial" w:hAnsi="Arial"/>
          <w:sz w:val="19"/>
          <w:szCs w:val="19"/>
          <w:u w:val="single" w:color="auto"/>
          <w:color w:val="auto"/>
        </w:rPr>
        <w:t>102 Trustee Awards</w:t>
      </w:r>
      <w:r>
        <w:rPr>
          <w:rFonts w:ascii="Arial" w:cs="Arial" w:eastAsia="Arial" w:hAnsi="Arial"/>
          <w:sz w:val="19"/>
          <w:szCs w:val="19"/>
          <w:color w:val="auto"/>
        </w:rPr>
        <w:t>.</w:t>
      </w:r>
    </w:p>
    <w:p>
      <w:pPr>
        <w:spacing w:after="0" w:line="287" w:lineRule="exact"/>
        <w:rPr>
          <w:sz w:val="20"/>
          <w:szCs w:val="20"/>
          <w:color w:val="auto"/>
        </w:rPr>
      </w:pPr>
    </w:p>
    <w:p>
      <w:pPr>
        <w:ind w:left="6" w:right="60" w:firstLine="810"/>
        <w:spacing w:after="0" w:line="297" w:lineRule="auto"/>
        <w:rPr>
          <w:sz w:val="20"/>
          <w:szCs w:val="20"/>
          <w:color w:val="auto"/>
        </w:rPr>
      </w:pPr>
      <w:r>
        <w:rPr>
          <w:rFonts w:ascii="Arial" w:cs="Arial" w:eastAsia="Arial" w:hAnsi="Arial"/>
          <w:sz w:val="19"/>
          <w:szCs w:val="19"/>
          <w:color w:val="auto"/>
        </w:rPr>
        <w:t>9.5.1. Each 102 Trustee Award, each Share issued pursuant to the exercise of any 102 Trustee Award, and any rights granted thereunder, including bonus shares, shall be issued to and registered in the name of the Trustee and shall be held in trust for the benefit of the Grantee for the requisite period prescribed by the Ordinance or such longer period as set by the Committee (the “</w:t>
      </w:r>
      <w:r>
        <w:rPr>
          <w:rFonts w:ascii="Arial" w:cs="Arial" w:eastAsia="Arial" w:hAnsi="Arial"/>
          <w:sz w:val="19"/>
          <w:szCs w:val="19"/>
          <w:b w:val="1"/>
          <w:bCs w:val="1"/>
          <w:color w:val="auto"/>
        </w:rPr>
        <w:t>Required Holding Period</w:t>
      </w:r>
      <w:r>
        <w:rPr>
          <w:rFonts w:ascii="Arial" w:cs="Arial" w:eastAsia="Arial" w:hAnsi="Arial"/>
          <w:sz w:val="19"/>
          <w:szCs w:val="19"/>
          <w:color w:val="auto"/>
        </w:rPr>
        <w:t>”). In the event that the requirements under Section 102 of the Ordinance to qualify an Award as a 102 Trustee Award are not met, then the Award may be treated as a 102 Non-Trustee Award or 3(9) Award, all in accordance with the provisions of the Ordinance. After expiration of the Required Holding Period, the Trustee may release such 102 Trustee Awards and any such Shares, provided that</w:t>
      </w:r>
    </w:p>
    <w:p>
      <w:pPr>
        <w:spacing w:after="0" w:line="2" w:lineRule="exact"/>
        <w:rPr>
          <w:sz w:val="20"/>
          <w:szCs w:val="20"/>
          <w:color w:val="auto"/>
        </w:rPr>
      </w:pPr>
    </w:p>
    <w:p>
      <w:pPr>
        <w:ind w:left="6" w:right="300" w:hanging="6"/>
        <w:spacing w:after="0" w:line="273" w:lineRule="auto"/>
        <w:tabs>
          <w:tab w:leader="none" w:pos="264" w:val="left"/>
        </w:tabs>
        <w:numPr>
          <w:ilvl w:val="0"/>
          <w:numId w:val="190"/>
        </w:numPr>
        <w:rPr>
          <w:rFonts w:ascii="Arial" w:cs="Arial" w:eastAsia="Arial" w:hAnsi="Arial"/>
          <w:sz w:val="21"/>
          <w:szCs w:val="21"/>
          <w:color w:val="auto"/>
        </w:rPr>
      </w:pPr>
      <w:r>
        <w:rPr>
          <w:rFonts w:ascii="Arial" w:cs="Arial" w:eastAsia="Arial" w:hAnsi="Arial"/>
          <w:sz w:val="21"/>
          <w:szCs w:val="21"/>
          <w:color w:val="auto"/>
        </w:rPr>
        <w:t>the Trustee has received an acknowledgment from the ITA that the Grantee has paid any applicable taxes due pursuant to the Ordinance, or (ii) the Trustee and/or the Company and/or its Affiliate withholds all applicable taxes and compulsory payments due pursuant to the Ordinance arising from the 102 Trustee Awards and/or any Shares issued upon exercise or (if applicable) vesting of such 102 Trustee Awards. The Trustee shall not release any 102 Trustee Awards or Shares issued upon exercise or (if applicable) vesting thereof prior to the payment in full of the Grantee’s tax and compulsory payments arising from such 102 Trustee Awards and/or Shares or the withholding referred to in (ii) above.</w:t>
      </w:r>
    </w:p>
    <w:p>
      <w:pPr>
        <w:spacing w:after="0" w:line="233" w:lineRule="exact"/>
        <w:rPr>
          <w:sz w:val="20"/>
          <w:szCs w:val="20"/>
          <w:color w:val="auto"/>
        </w:rPr>
      </w:pPr>
    </w:p>
    <w:p>
      <w:pPr>
        <w:ind w:left="6" w:right="100" w:firstLine="810"/>
        <w:spacing w:after="0" w:line="304" w:lineRule="auto"/>
        <w:rPr>
          <w:sz w:val="20"/>
          <w:szCs w:val="20"/>
          <w:color w:val="auto"/>
        </w:rPr>
      </w:pPr>
      <w:r>
        <w:rPr>
          <w:rFonts w:ascii="Arial" w:cs="Arial" w:eastAsia="Arial" w:hAnsi="Arial"/>
          <w:sz w:val="19"/>
          <w:szCs w:val="19"/>
          <w:color w:val="auto"/>
        </w:rPr>
        <w:t>9.5.2. Each 102 Trustee Award shall be subject to the relevant terms of the Ordinance, the Rules and any determinations, rulings or approvals issued by the ITA, which shall be deemed an integral part of the 102 Trustee Awards and shall prevail over any term contained in this Plan or Award Agreement that is not consistent therewith. Any provision of the Ordinance, the Rules and any determinations, rulings or approvals by the ITA not expressly specified in this Plan or Award Agreement that are necessary to receive or maintain any tax benefit pursuant to Section 102 of the Ordinance shall be binding on the Grantee. The Grantee granted a 102 Trustee Awards shall comply with the Ordinance and the terms and conditions of the trust agreement entered into between the Company and the Trustee. The Grantee shall execute any and all documents that the Company and/or its Affiliates and/or the Trustee determine from time to time to be necessary in order to comply with the Ordinance and the Rules.</w:t>
      </w:r>
    </w:p>
    <w:p>
      <w:pPr>
        <w:spacing w:after="0" w:line="371" w:lineRule="exact"/>
        <w:rPr>
          <w:sz w:val="20"/>
          <w:szCs w:val="20"/>
          <w:color w:val="auto"/>
        </w:rPr>
      </w:pPr>
    </w:p>
    <w:p>
      <w:pPr>
        <w:jc w:val="center"/>
        <w:ind w:right="-25"/>
        <w:spacing w:after="0"/>
        <w:rPr>
          <w:sz w:val="20"/>
          <w:szCs w:val="20"/>
          <w:color w:val="auto"/>
        </w:rPr>
      </w:pPr>
      <w:r>
        <w:rPr>
          <w:rFonts w:ascii="Arial" w:cs="Arial" w:eastAsia="Arial" w:hAnsi="Arial"/>
          <w:sz w:val="22"/>
          <w:szCs w:val="2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-307975</wp:posOffset>
            </wp:positionH>
            <wp:positionV relativeFrom="paragraph">
              <wp:posOffset>41275</wp:posOffset>
            </wp:positionV>
            <wp:extent cx="7132320" cy="171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226"/>
          </w:cols>
          <w:pgMar w:left="814" w:top="132" w:right="859" w:bottom="1440" w:gutter="0" w:footer="0" w:header="0"/>
        </w:sectPr>
      </w:pPr>
    </w:p>
    <w:bookmarkStart w:id="206" w:name="page207"/>
    <w:bookmarkEnd w:id="206"/>
    <w:p>
      <w:pPr>
        <w:ind w:left="500" w:right="60" w:firstLine="810"/>
        <w:spacing w:after="0" w:line="301" w:lineRule="auto"/>
        <w:rPr>
          <w:sz w:val="20"/>
          <w:szCs w:val="20"/>
          <w:color w:val="auto"/>
        </w:rPr>
      </w:pPr>
      <w:r>
        <w:rPr>
          <w:rFonts w:ascii="Arial" w:cs="Arial" w:eastAsia="Arial" w:hAnsi="Arial"/>
          <w:sz w:val="19"/>
          <w:szCs w:val="19"/>
          <w:color w:val="auto"/>
        </w:rPr>
        <w:t>9.5.3. During the Required Holding Period, the Grantee shall not release from trust or sell, assign, transfer or give as collateral, the Shares issuable upon the exercise or (if applicable) vesting of a 102 Trustee Awards and/or any securities issued or distributed with respect thereto, until the expiration of the Required Holding Period. Notwithstanding the above, if any such sale, release or other action occurs during the Required Holding Period it may result in adverse tax consequences to the Grantee under Section 102 of the Ordinance and the Rules, which shall apply to and shall be borne solely by such Grantee. Subject to the foregoing, the Trustee may, pursuant to a written request from the Grantee, but subject to the terms of this Plan, release and transfer such Shares to a designated third party, provided that both of the following conditions have been fulfilled prior to such release or transfer: (i) payment has been made to the ITA of all taxes and compulsory payments required to be paid upon the release and transfer of the Shares, and confirmation of such payment has been received by the Trustee and the Company, and (ii) the Trustee has received written confirmation from the Company that all requirements for such release and transfer have been fulfilled according to the terms of the Company’s corporate documents, any agreement governing the Shares, this Plan, the Award Agreement and any Applicable Law.</w:t>
      </w:r>
    </w:p>
    <w:p>
      <w:pPr>
        <w:spacing w:after="0" w:line="218" w:lineRule="exact"/>
        <w:rPr>
          <w:sz w:val="20"/>
          <w:szCs w:val="20"/>
          <w:color w:val="auto"/>
        </w:rPr>
      </w:pPr>
    </w:p>
    <w:p>
      <w:pPr>
        <w:ind w:left="500" w:right="700" w:firstLine="810"/>
        <w:spacing w:after="0" w:line="358" w:lineRule="auto"/>
        <w:rPr>
          <w:sz w:val="20"/>
          <w:szCs w:val="20"/>
          <w:color w:val="auto"/>
        </w:rPr>
      </w:pPr>
      <w:r>
        <w:rPr>
          <w:rFonts w:ascii="Arial" w:cs="Arial" w:eastAsia="Arial" w:hAnsi="Arial"/>
          <w:sz w:val="19"/>
          <w:szCs w:val="19"/>
          <w:color w:val="auto"/>
        </w:rPr>
        <w:t>9.5.4. If a 102 Trustee Award is exercised or (if applicable) vested, the Shares issued upon such exercise or (if applicable) vesting shall be issued in the name of the Trustee for the benefit of the Grantee.</w:t>
      </w:r>
    </w:p>
    <w:p>
      <w:pPr>
        <w:spacing w:after="0" w:line="158" w:lineRule="exact"/>
        <w:rPr>
          <w:sz w:val="20"/>
          <w:szCs w:val="20"/>
          <w:color w:val="auto"/>
        </w:rPr>
      </w:pPr>
    </w:p>
    <w:p>
      <w:pPr>
        <w:ind w:left="500" w:right="40" w:firstLine="810"/>
        <w:spacing w:after="0" w:line="262" w:lineRule="auto"/>
        <w:rPr>
          <w:sz w:val="20"/>
          <w:szCs w:val="20"/>
          <w:color w:val="auto"/>
        </w:rPr>
      </w:pPr>
      <w:r>
        <w:rPr>
          <w:rFonts w:ascii="Arial" w:cs="Arial" w:eastAsia="Arial" w:hAnsi="Arial"/>
          <w:sz w:val="22"/>
          <w:szCs w:val="22"/>
          <w:color w:val="auto"/>
        </w:rPr>
        <w:t>9.5.5. Upon or after receipt of a 102 Trustee Award, if required, the Grantee may be required to sign an undertaking to release the Trustee from any liability with respect to any action or decision duly taken and executed in good faith by the Trustee in relation to this Plan, or any 102 Trustee Awards or Share granted to such Grantee thereunder.</w:t>
      </w:r>
    </w:p>
    <w:p>
      <w:pPr>
        <w:spacing w:after="0" w:line="245" w:lineRule="exact"/>
        <w:rPr>
          <w:sz w:val="20"/>
          <w:szCs w:val="20"/>
          <w:color w:val="auto"/>
        </w:rPr>
      </w:pPr>
    </w:p>
    <w:p>
      <w:pPr>
        <w:ind w:right="20" w:firstLine="510"/>
        <w:spacing w:after="0" w:line="303" w:lineRule="auto"/>
        <w:rPr>
          <w:sz w:val="20"/>
          <w:szCs w:val="20"/>
          <w:color w:val="auto"/>
        </w:rPr>
      </w:pPr>
      <w:r>
        <w:rPr>
          <w:rFonts w:ascii="Arial" w:cs="Arial" w:eastAsia="Arial" w:hAnsi="Arial"/>
          <w:sz w:val="19"/>
          <w:szCs w:val="19"/>
          <w:color w:val="auto"/>
        </w:rPr>
        <w:t xml:space="preserve">9.6. </w:t>
      </w:r>
      <w:r>
        <w:rPr>
          <w:rFonts w:ascii="Arial" w:cs="Arial" w:eastAsia="Arial" w:hAnsi="Arial"/>
          <w:sz w:val="19"/>
          <w:szCs w:val="19"/>
          <w:u w:val="single" w:color="auto"/>
          <w:color w:val="auto"/>
        </w:rPr>
        <w:t>102 Non-Trustee Awards</w:t>
      </w:r>
      <w:r>
        <w:rPr>
          <w:rFonts w:ascii="Arial" w:cs="Arial" w:eastAsia="Arial" w:hAnsi="Arial"/>
          <w:sz w:val="19"/>
          <w:szCs w:val="19"/>
          <w:color w:val="auto"/>
        </w:rPr>
        <w:t>. The foregoing provisions of this Section 9 relating to 102 Trustee Awards shall not apply with respect to 102 Non-Trustee Awards, which shall, however, be subject to the relevant provisions of Section 102 of the Ordinance and the applicable Rules. The Committee may determine that 102 Non-Trustee Awards, the Shares issuable upon the exercise or (if applicable) vesting of a 102 Non-Trustee Awards and/or any securities issued or distributed with respect thereto, shall be allocated or issued to the Trustee, who shall hold such 102 Non-Trustee Awards and all accrued rights thereon (if any), in trust for the benefit of the Grantee and/or the Company, as the case may be, until the full payment of tax arising from the 102 Non-Trustee Awards, the Shares issuable upon the exercise or (if applicable) vesting of a 102 Non-Trustee Awards and/or any securities issued or distributed with respect thereto. The Company may choose, alternatively, to force the Grantee to provide it with a guarantee or other security, to the satisfaction of each of the Trustee and the Company, until the full payment of the applicable taxes.</w:t>
      </w:r>
    </w:p>
    <w:p>
      <w:pPr>
        <w:spacing w:after="0" w:line="212" w:lineRule="exact"/>
        <w:rPr>
          <w:sz w:val="20"/>
          <w:szCs w:val="20"/>
          <w:color w:val="auto"/>
        </w:rPr>
      </w:pPr>
    </w:p>
    <w:p>
      <w:pPr>
        <w:ind w:firstLine="506"/>
        <w:spacing w:after="0" w:line="262" w:lineRule="auto"/>
        <w:rPr>
          <w:sz w:val="20"/>
          <w:szCs w:val="20"/>
          <w:color w:val="auto"/>
        </w:rPr>
      </w:pPr>
      <w:r>
        <w:rPr>
          <w:rFonts w:ascii="Arial" w:cs="Arial" w:eastAsia="Arial" w:hAnsi="Arial"/>
          <w:sz w:val="22"/>
          <w:szCs w:val="22"/>
          <w:color w:val="auto"/>
        </w:rPr>
        <w:t xml:space="preserve">9.7. </w:t>
      </w:r>
      <w:r>
        <w:rPr>
          <w:rFonts w:ascii="Arial" w:cs="Arial" w:eastAsia="Arial" w:hAnsi="Arial"/>
          <w:sz w:val="22"/>
          <w:szCs w:val="22"/>
          <w:u w:val="single" w:color="auto"/>
          <w:color w:val="auto"/>
        </w:rPr>
        <w:t>Israeli Index Base for 102 Awards</w:t>
      </w:r>
      <w:r>
        <w:rPr>
          <w:rFonts w:ascii="Arial" w:cs="Arial" w:eastAsia="Arial" w:hAnsi="Arial"/>
          <w:sz w:val="22"/>
          <w:szCs w:val="22"/>
          <w:color w:val="auto"/>
        </w:rPr>
        <w:t>. Each 102 Award will be subject to the Israeli index base of the Value of Benefit, as defined in Section 102(a) of the Ordinance, as determined by the Committee in its discretion, pursuant to the Rules, from time to time. The Committee may amend (which may have a retroactive effect) the Israeli index base, pursuant to the Ordinance, without the Grantee’s consent.</w:t>
      </w:r>
    </w:p>
    <w:p>
      <w:pPr>
        <w:spacing w:after="0" w:line="245" w:lineRule="exact"/>
        <w:rPr>
          <w:sz w:val="20"/>
          <w:szCs w:val="20"/>
          <w:color w:val="auto"/>
        </w:rPr>
      </w:pPr>
    </w:p>
    <w:p>
      <w:pPr>
        <w:ind w:right="80" w:firstLine="510"/>
        <w:spacing w:after="0" w:line="308" w:lineRule="auto"/>
        <w:rPr>
          <w:sz w:val="20"/>
          <w:szCs w:val="20"/>
          <w:color w:val="auto"/>
        </w:rPr>
      </w:pPr>
      <w:r>
        <w:rPr>
          <w:rFonts w:ascii="Arial" w:cs="Arial" w:eastAsia="Arial" w:hAnsi="Arial"/>
          <w:sz w:val="19"/>
          <w:szCs w:val="19"/>
          <w:color w:val="auto"/>
        </w:rPr>
        <w:t xml:space="preserve">9.8. </w:t>
      </w:r>
      <w:r>
        <w:rPr>
          <w:rFonts w:ascii="Arial" w:cs="Arial" w:eastAsia="Arial" w:hAnsi="Arial"/>
          <w:sz w:val="19"/>
          <w:szCs w:val="19"/>
          <w:u w:val="single" w:color="auto"/>
          <w:color w:val="auto"/>
        </w:rPr>
        <w:t>Written Grantee Undertaking</w:t>
      </w:r>
      <w:r>
        <w:rPr>
          <w:rFonts w:ascii="Arial" w:cs="Arial" w:eastAsia="Arial" w:hAnsi="Arial"/>
          <w:sz w:val="19"/>
          <w:szCs w:val="19"/>
          <w:color w:val="auto"/>
        </w:rPr>
        <w:t>. To the extent and with respect to any 102 Trustee Award, and as required by Section 102 of the Ordinance and the Rules, by virtue of the receipt of such Award, the Grantee is deemed to have undertaken and confirm in writing the following (and such undertaking is deemed incorporated into any documents signed by the Grantee in connection with the employment or service of the Grantee and/or the grant of such Award). The following written undertaking shall be deemed to apply and relate to all 102 Trustee Awards granted to the Grantee, whether under this Plan or other plans maintained by the Company, and whether prior to or after the date hereof.</w:t>
      </w:r>
    </w:p>
    <w:p>
      <w:pPr>
        <w:spacing w:after="0" w:line="208" w:lineRule="exact"/>
        <w:rPr>
          <w:sz w:val="20"/>
          <w:szCs w:val="20"/>
          <w:color w:val="auto"/>
        </w:rPr>
      </w:pPr>
    </w:p>
    <w:p>
      <w:pPr>
        <w:ind w:left="500" w:right="20" w:firstLine="810"/>
        <w:spacing w:after="0" w:line="266" w:lineRule="auto"/>
        <w:rPr>
          <w:sz w:val="20"/>
          <w:szCs w:val="20"/>
          <w:color w:val="auto"/>
        </w:rPr>
      </w:pPr>
      <w:r>
        <w:rPr>
          <w:rFonts w:ascii="Arial" w:cs="Arial" w:eastAsia="Arial" w:hAnsi="Arial"/>
          <w:sz w:val="22"/>
          <w:szCs w:val="22"/>
          <w:color w:val="auto"/>
        </w:rPr>
        <w:t>9.8.1. The Grantee shall comply with all terms and conditions set forth in Section 102 of the Ordinance with regard to the “Capital Gain Track” or the “Ordinary Income Track”, as applicable, and the applicable rules and regulations promulgated thereunder, as amended from time to time;</w:t>
      </w:r>
    </w:p>
    <w:p>
      <w:pPr>
        <w:sectPr>
          <w:pgSz w:w="11900" w:h="16838" w:orient="portrait"/>
          <w:cols w:equalWidth="0" w:num="1">
            <w:col w:w="10720"/>
          </w:cols>
          <w:pgMar w:left="320" w:top="132" w:right="85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ind w:right="-539"/>
        <w:spacing w:after="0"/>
        <w:rPr>
          <w:sz w:val="20"/>
          <w:szCs w:val="20"/>
          <w:color w:val="auto"/>
        </w:rPr>
      </w:pPr>
      <w:r>
        <w:rPr>
          <w:rFonts w:ascii="Arial" w:cs="Arial" w:eastAsia="Arial" w:hAnsi="Arial"/>
          <w:sz w:val="19"/>
          <w:szCs w:val="19"/>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32" w:right="859" w:bottom="1440" w:gutter="0" w:footer="0" w:header="0"/>
          <w:type w:val="continuous"/>
        </w:sectPr>
      </w:pPr>
    </w:p>
    <w:bookmarkStart w:id="207" w:name="page208"/>
    <w:bookmarkEnd w:id="207"/>
    <w:p>
      <w:pPr>
        <w:ind w:left="500" w:firstLine="810"/>
        <w:spacing w:after="0" w:line="304" w:lineRule="auto"/>
        <w:rPr>
          <w:sz w:val="20"/>
          <w:szCs w:val="20"/>
          <w:color w:val="auto"/>
        </w:rPr>
      </w:pPr>
      <w:r>
        <w:rPr>
          <w:rFonts w:ascii="Arial" w:cs="Arial" w:eastAsia="Arial" w:hAnsi="Arial"/>
          <w:sz w:val="19"/>
          <w:szCs w:val="19"/>
          <w:color w:val="auto"/>
        </w:rPr>
        <w:t>9.8.2. The Grantee is familiar with, and understands the provisions of, Section 102 of the Ordinance in general, and the tax arrangement under the “Capital Gain Track” or the “Ordinary Income Track” in particular, and its tax consequences; the Grantee agrees that the 102 Trustee Awards and Shares that may be issued upon exercise or (if applicable) vesting of the 102 Trustee Awards (or otherwise in relation to the 102 Trustee Awards), will be held by a trustee appointed pursuant to Section 102 of the Ordinance for at least the duration of the "Holding Period" (as such term is defined in Section 102) under the "Capital Gain Track" or the “Ordinary Income Track”, as applicable. The Grantee understands that any release of such 102 Trustee Awards or Shares from trust, or any sale of the Share prior to the termination of the Holding Period, as defined above, will result in taxation at marginal tax rate, in addition to deductions of appropriate social security, health tax contributions or other compulsory payments; and</w:t>
      </w:r>
    </w:p>
    <w:p>
      <w:pPr>
        <w:spacing w:after="0" w:line="209" w:lineRule="exact"/>
        <w:rPr>
          <w:sz w:val="20"/>
          <w:szCs w:val="20"/>
          <w:color w:val="auto"/>
        </w:rPr>
      </w:pPr>
    </w:p>
    <w:p>
      <w:pPr>
        <w:ind w:left="500" w:right="100" w:firstLine="810"/>
        <w:spacing w:after="0" w:line="276" w:lineRule="auto"/>
        <w:rPr>
          <w:sz w:val="20"/>
          <w:szCs w:val="20"/>
          <w:color w:val="auto"/>
        </w:rPr>
      </w:pPr>
      <w:r>
        <w:rPr>
          <w:rFonts w:ascii="Arial" w:cs="Arial" w:eastAsia="Arial" w:hAnsi="Arial"/>
          <w:sz w:val="22"/>
          <w:szCs w:val="22"/>
          <w:color w:val="auto"/>
        </w:rPr>
        <w:t>9.8.3. The Grantee agrees to the trust deed signed between the Company, his employing company and the trustee appointed pursuant to Section 102 of the Ordinance.</w:t>
      </w:r>
    </w:p>
    <w:p>
      <w:pPr>
        <w:spacing w:after="0" w:line="222" w:lineRule="exact"/>
        <w:rPr>
          <w:sz w:val="20"/>
          <w:szCs w:val="20"/>
          <w:color w:val="auto"/>
        </w:rPr>
      </w:pPr>
    </w:p>
    <w:p>
      <w:pPr>
        <w:ind w:left="520" w:hanging="512"/>
        <w:spacing w:after="0"/>
        <w:tabs>
          <w:tab w:leader="none" w:pos="520" w:val="left"/>
        </w:tabs>
        <w:numPr>
          <w:ilvl w:val="0"/>
          <w:numId w:val="191"/>
        </w:numPr>
        <w:rPr>
          <w:rFonts w:ascii="Arial" w:cs="Arial" w:eastAsia="Arial" w:hAnsi="Arial"/>
          <w:sz w:val="18"/>
          <w:szCs w:val="18"/>
          <w:color w:val="auto"/>
        </w:rPr>
      </w:pPr>
      <w:r>
        <w:rPr>
          <w:rFonts w:ascii="Arial" w:cs="Arial" w:eastAsia="Arial" w:hAnsi="Arial"/>
          <w:sz w:val="18"/>
          <w:szCs w:val="18"/>
          <w:u w:val="single" w:color="auto"/>
          <w:color w:val="auto"/>
        </w:rPr>
        <w:t>3(9) AWARDS</w:t>
      </w:r>
      <w:r>
        <w:rPr>
          <w:rFonts w:ascii="Arial" w:cs="Arial" w:eastAsia="Arial" w:hAnsi="Arial"/>
          <w:sz w:val="18"/>
          <w:szCs w:val="18"/>
          <w:color w:val="auto"/>
        </w:rPr>
        <w:t>.</w:t>
      </w:r>
    </w:p>
    <w:p>
      <w:pPr>
        <w:spacing w:after="0" w:line="285" w:lineRule="exact"/>
        <w:rPr>
          <w:sz w:val="20"/>
          <w:szCs w:val="20"/>
          <w:color w:val="auto"/>
        </w:rPr>
      </w:pPr>
    </w:p>
    <w:p>
      <w:pPr>
        <w:ind w:right="260" w:firstLine="510"/>
        <w:spacing w:after="0" w:line="317" w:lineRule="auto"/>
        <w:rPr>
          <w:sz w:val="20"/>
          <w:szCs w:val="20"/>
          <w:color w:val="auto"/>
        </w:rPr>
      </w:pPr>
      <w:r>
        <w:rPr>
          <w:rFonts w:ascii="Arial" w:cs="Arial" w:eastAsia="Arial" w:hAnsi="Arial"/>
          <w:sz w:val="19"/>
          <w:szCs w:val="19"/>
          <w:color w:val="auto"/>
        </w:rPr>
        <w:t>10.1. Awards granted pursuant to this Section 10 are intended to constitute 3(9) Awards and shall be granted subject to the general terms and conditions specified in Section 6 hereof and other provisions of this Plan, except for any provisions of this Plan applying to Awards under different tax laws or regulations. In the event of any inconsistency or contradictions between the provisions of this Section 10 and the other terms of this Plan, this Section 10 shall prevail.</w:t>
      </w:r>
    </w:p>
    <w:p>
      <w:pPr>
        <w:spacing w:after="0" w:line="196" w:lineRule="exact"/>
        <w:rPr>
          <w:sz w:val="20"/>
          <w:szCs w:val="20"/>
          <w:color w:val="auto"/>
        </w:rPr>
      </w:pPr>
    </w:p>
    <w:p>
      <w:pPr>
        <w:ind w:right="40" w:firstLine="510"/>
        <w:spacing w:after="0" w:line="304" w:lineRule="auto"/>
        <w:rPr>
          <w:sz w:val="20"/>
          <w:szCs w:val="20"/>
          <w:color w:val="auto"/>
        </w:rPr>
      </w:pPr>
      <w:r>
        <w:rPr>
          <w:rFonts w:ascii="Arial" w:cs="Arial" w:eastAsia="Arial" w:hAnsi="Arial"/>
          <w:sz w:val="19"/>
          <w:szCs w:val="19"/>
          <w:color w:val="auto"/>
        </w:rPr>
        <w:t>10.2. To the extent required by the Ordinance or the ITA or otherwise deemed by the Committee to be advisable, the 3(9) Awards and/or any shares or other securities issued or distributed with respect thereto granted pursuant to this Plan shall be issued to a Trustee nominated by the Committee in accordance with the provisions of the Ordinance. In such event, the Trustee shall hold such Awards and/or any shares or other securities issued or distributed with respect thereto in trust, until exercised or (if applicable) vested by the Grantee and the full payment of tax arising therefrom, pursuant to the Company's instructions from time to time as set forth in a trust agreement, which will have been entered into between the Company and the Trustee. If determined by the Board or the Committee, and subject to such trust agreement, the Trustee shall be responsible for withholding any taxes to which a Grantee may become liable upon issuance of Shares, whether due to the exercise or (if applicable) vesting of Awards.</w:t>
      </w:r>
    </w:p>
    <w:p>
      <w:pPr>
        <w:spacing w:after="0" w:line="209" w:lineRule="exact"/>
        <w:rPr>
          <w:sz w:val="20"/>
          <w:szCs w:val="20"/>
          <w:color w:val="auto"/>
        </w:rPr>
      </w:pPr>
    </w:p>
    <w:p>
      <w:pPr>
        <w:ind w:right="20" w:firstLine="506"/>
        <w:spacing w:after="0" w:line="262" w:lineRule="auto"/>
        <w:rPr>
          <w:sz w:val="20"/>
          <w:szCs w:val="20"/>
          <w:color w:val="auto"/>
        </w:rPr>
      </w:pPr>
      <w:r>
        <w:rPr>
          <w:rFonts w:ascii="Arial" w:cs="Arial" w:eastAsia="Arial" w:hAnsi="Arial"/>
          <w:sz w:val="22"/>
          <w:szCs w:val="22"/>
          <w:color w:val="auto"/>
        </w:rPr>
        <w:t>10.3. Shares pursuant to a 3(9) Award shall not be issued, unless the Grantee delivers to the Company payment in cash or by bank check or such other form acceptable to the Committee of all withholding taxes due, if any, on account of the Grantee acquired Shares under the Award or gives other assurance satisfactory to the Committee of the payment of those withholding taxes.</w:t>
      </w:r>
    </w:p>
    <w:p>
      <w:pPr>
        <w:spacing w:after="0" w:line="200" w:lineRule="exact"/>
        <w:rPr>
          <w:sz w:val="20"/>
          <w:szCs w:val="20"/>
          <w:color w:val="auto"/>
        </w:rPr>
      </w:pPr>
    </w:p>
    <w:p>
      <w:pPr>
        <w:spacing w:after="0" w:line="207" w:lineRule="exact"/>
        <w:rPr>
          <w:sz w:val="20"/>
          <w:szCs w:val="20"/>
          <w:color w:val="auto"/>
        </w:rPr>
      </w:pPr>
    </w:p>
    <w:p>
      <w:pPr>
        <w:ind w:left="5520"/>
        <w:spacing w:after="0"/>
        <w:rPr>
          <w:sz w:val="20"/>
          <w:szCs w:val="20"/>
          <w:color w:val="auto"/>
        </w:rPr>
      </w:pPr>
      <w:r>
        <w:rPr>
          <w:rFonts w:ascii="Arial" w:cs="Arial" w:eastAsia="Arial" w:hAnsi="Arial"/>
          <w:sz w:val="22"/>
          <w:szCs w:val="2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80"/>
          </w:cols>
          <w:pgMar w:left="320" w:top="402" w:right="899" w:bottom="1440" w:gutter="0" w:footer="0" w:header="0"/>
        </w:sectPr>
      </w:pPr>
    </w:p>
    <w:bookmarkStart w:id="208" w:name="page209"/>
    <w:bookmarkEnd w:id="208"/>
    <w:p>
      <w:pPr>
        <w:ind w:left="520" w:hanging="512"/>
        <w:spacing w:after="0"/>
        <w:tabs>
          <w:tab w:leader="none" w:pos="520" w:val="left"/>
        </w:tabs>
        <w:numPr>
          <w:ilvl w:val="0"/>
          <w:numId w:val="192"/>
        </w:numPr>
        <w:rPr>
          <w:rFonts w:ascii="Arial" w:cs="Arial" w:eastAsia="Arial" w:hAnsi="Arial"/>
          <w:sz w:val="18"/>
          <w:szCs w:val="18"/>
          <w:color w:val="auto"/>
        </w:rPr>
      </w:pPr>
      <w:r>
        <w:rPr>
          <w:rFonts w:ascii="Arial" w:cs="Arial" w:eastAsia="Arial" w:hAnsi="Arial"/>
          <w:sz w:val="18"/>
          <w:szCs w:val="18"/>
          <w:u w:val="single" w:color="auto"/>
          <w:color w:val="auto"/>
        </w:rPr>
        <w:t>RESTRICTED SHARES</w:t>
      </w:r>
      <w:r>
        <w:rPr>
          <w:rFonts w:ascii="Arial" w:cs="Arial" w:eastAsia="Arial" w:hAnsi="Arial"/>
          <w:sz w:val="18"/>
          <w:szCs w:val="18"/>
          <w:color w:val="auto"/>
        </w:rPr>
        <w:t>.</w:t>
      </w:r>
    </w:p>
    <w:p>
      <w:pPr>
        <w:spacing w:after="0" w:line="285" w:lineRule="exact"/>
        <w:rPr>
          <w:sz w:val="20"/>
          <w:szCs w:val="20"/>
          <w:color w:val="auto"/>
        </w:rPr>
      </w:pPr>
    </w:p>
    <w:p>
      <w:pPr>
        <w:ind w:right="640"/>
        <w:spacing w:after="0" w:line="304" w:lineRule="auto"/>
        <w:rPr>
          <w:sz w:val="20"/>
          <w:szCs w:val="20"/>
          <w:color w:val="auto"/>
        </w:rPr>
      </w:pPr>
      <w:r>
        <w:rPr>
          <w:rFonts w:ascii="Arial" w:cs="Arial" w:eastAsia="Arial" w:hAnsi="Arial"/>
          <w:sz w:val="19"/>
          <w:szCs w:val="19"/>
          <w:color w:val="auto"/>
        </w:rPr>
        <w:t>The Committee may award Restricted Shares to any eligible Grantee, including under Section 102 of the Ordinance. Each Award of Restricted Shares under this Plan shall be evidenced by a written agreement between the Company and the Grantee (the “</w:t>
      </w:r>
      <w:r>
        <w:rPr>
          <w:rFonts w:ascii="Arial" w:cs="Arial" w:eastAsia="Arial" w:hAnsi="Arial"/>
          <w:sz w:val="19"/>
          <w:szCs w:val="19"/>
          <w:b w:val="1"/>
          <w:bCs w:val="1"/>
          <w:color w:val="auto"/>
        </w:rPr>
        <w:t>Restricted Share Agreement</w:t>
      </w:r>
      <w:r>
        <w:rPr>
          <w:rFonts w:ascii="Arial" w:cs="Arial" w:eastAsia="Arial" w:hAnsi="Arial"/>
          <w:sz w:val="19"/>
          <w:szCs w:val="19"/>
          <w:color w:val="auto"/>
        </w:rPr>
        <w:t>”), in such form as the Committee shall from time to time approve. The Restricted Shares shall be subject to all applicable terms of this Plan, which in the case of Restricted Shares granted under Section 102 of the Ordinance shall include Section 9 hereof, and may be subject to any other terms that are not inconsistent with this Plan. The provisions of the various Restricted Shares Agreements entered into under this Plan need not be identical. The Restricted Share Agreement shall comply with and be subject to Section 6 and the following terms and conditions, unless otherwise specifically provided in such Agreement and not inconsistent with this Plan, or Applicable Law:</w:t>
      </w:r>
    </w:p>
    <w:p>
      <w:pPr>
        <w:spacing w:after="0" w:line="209" w:lineRule="exact"/>
        <w:rPr>
          <w:sz w:val="20"/>
          <w:szCs w:val="20"/>
          <w:color w:val="auto"/>
        </w:rPr>
      </w:pPr>
    </w:p>
    <w:p>
      <w:pPr>
        <w:ind w:right="160" w:firstLine="510"/>
        <w:spacing w:after="0" w:line="317" w:lineRule="auto"/>
        <w:rPr>
          <w:sz w:val="20"/>
          <w:szCs w:val="20"/>
          <w:color w:val="auto"/>
        </w:rPr>
      </w:pPr>
      <w:r>
        <w:rPr>
          <w:rFonts w:ascii="Arial" w:cs="Arial" w:eastAsia="Arial" w:hAnsi="Arial"/>
          <w:sz w:val="19"/>
          <w:szCs w:val="19"/>
          <w:color w:val="auto"/>
        </w:rPr>
        <w:t xml:space="preserve">11.1. </w:t>
      </w:r>
      <w:r>
        <w:rPr>
          <w:rFonts w:ascii="Arial" w:cs="Arial" w:eastAsia="Arial" w:hAnsi="Arial"/>
          <w:sz w:val="19"/>
          <w:szCs w:val="19"/>
          <w:u w:val="single" w:color="auto"/>
          <w:color w:val="auto"/>
        </w:rPr>
        <w:t>Purchase Price</w:t>
      </w:r>
      <w:r>
        <w:rPr>
          <w:rFonts w:ascii="Arial" w:cs="Arial" w:eastAsia="Arial" w:hAnsi="Arial"/>
          <w:sz w:val="19"/>
          <w:szCs w:val="19"/>
          <w:color w:val="auto"/>
        </w:rPr>
        <w:t>. Section 6.4 shall not apply. Each Restricted Share Agreement shall state an amount of Exercise Price to be paid by the Grantee, if any, in consideration for the issuance of the Restricted Shares and the terms of payment thereof, which may include, payment in cash or, subject to the Committee’s approval, by issuance of promissory notes or other evidence of indebtedness on such terms and conditions as determined by the Committee.</w:t>
      </w:r>
    </w:p>
    <w:p>
      <w:pPr>
        <w:spacing w:after="0" w:line="196" w:lineRule="exact"/>
        <w:rPr>
          <w:sz w:val="20"/>
          <w:szCs w:val="20"/>
          <w:color w:val="auto"/>
        </w:rPr>
      </w:pPr>
    </w:p>
    <w:p>
      <w:pPr>
        <w:ind w:left="520"/>
        <w:spacing w:after="0"/>
        <w:tabs>
          <w:tab w:leader="none" w:pos="1460" w:val="left"/>
        </w:tabs>
        <w:rPr>
          <w:sz w:val="20"/>
          <w:szCs w:val="20"/>
          <w:color w:val="auto"/>
        </w:rPr>
      </w:pPr>
      <w:r>
        <w:rPr>
          <w:rFonts w:ascii="Arial" w:cs="Arial" w:eastAsia="Arial" w:hAnsi="Arial"/>
          <w:sz w:val="22"/>
          <w:szCs w:val="22"/>
          <w:color w:val="auto"/>
        </w:rPr>
        <w:t>11.2.</w:t>
      </w:r>
      <w:r>
        <w:rPr>
          <w:sz w:val="20"/>
          <w:szCs w:val="20"/>
          <w:color w:val="auto"/>
        </w:rPr>
        <w:tab/>
      </w:r>
      <w:r>
        <w:rPr>
          <w:rFonts w:ascii="Arial" w:cs="Arial" w:eastAsia="Arial" w:hAnsi="Arial"/>
          <w:sz w:val="19"/>
          <w:szCs w:val="19"/>
          <w:u w:val="single" w:color="auto"/>
          <w:color w:val="auto"/>
        </w:rPr>
        <w:t>Restrictions</w:t>
      </w:r>
      <w:r>
        <w:rPr>
          <w:rFonts w:ascii="Arial" w:cs="Arial" w:eastAsia="Arial" w:hAnsi="Arial"/>
          <w:sz w:val="19"/>
          <w:szCs w:val="19"/>
          <w:color w:val="auto"/>
        </w:rPr>
        <w:t>. Restricted Shares may not be sold, assigned, transferred, pledged, hypothecated or otherwise</w:t>
      </w:r>
    </w:p>
    <w:p>
      <w:pPr>
        <w:spacing w:after="0" w:line="21" w:lineRule="exact"/>
        <w:rPr>
          <w:sz w:val="20"/>
          <w:szCs w:val="20"/>
          <w:color w:val="auto"/>
        </w:rPr>
      </w:pPr>
    </w:p>
    <w:p>
      <w:pPr>
        <w:spacing w:after="0"/>
        <w:rPr>
          <w:sz w:val="20"/>
          <w:szCs w:val="20"/>
          <w:color w:val="auto"/>
        </w:rPr>
      </w:pPr>
      <w:r>
        <w:rPr>
          <w:rFonts w:ascii="Arial" w:cs="Arial" w:eastAsia="Arial" w:hAnsi="Arial"/>
          <w:sz w:val="19"/>
          <w:szCs w:val="19"/>
          <w:color w:val="auto"/>
        </w:rPr>
        <w:t>disposed of, except by will or the laws of descent and distribution (in which case they shall be transferred subject to all</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restrictions then or thereafter applicable thereto), until such Restricted Shares shall have vested (the period from the date on</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which the Award is granted until the date of vesting of the Restricted Share thereunder being referred to herein as the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Restricted Period</w:t>
      </w:r>
      <w:r>
        <w:rPr>
          <w:rFonts w:ascii="Arial" w:cs="Arial" w:eastAsia="Arial" w:hAnsi="Arial"/>
          <w:sz w:val="19"/>
          <w:szCs w:val="19"/>
          <w:color w:val="auto"/>
        </w:rPr>
        <w:t>”). The Committee may also impose such additional or alternative restrictions and conditions on the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Restricted Shares, as it deems appropriate, including the satisfaction of performance criteria. Such performance criteria</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may include, but are not limited to, sales, earnings before interest and taxes, return on investment, earnings per share, any</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combination of the foregoing or rate of growth of any of the foregoing, as determined by the Committee or pursuant to the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provisions of any Company policy required under mandatory provisions of Applicable Law. Certificates for shares issued</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pursuant to Restricted Share Awards, if issued, shall bear an appropriate legend referring to such restrictions, and any</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attempt to dispose of any such shares in contravention of such restrictions shall be null and void and without effect. Such</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certificates may, if so determined by the Committee, be held in escrow by an escrow agent appointed by the Committee, or,</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if a Restricted Share Award is made pursuant to Section 102 of the Ordinance, by the Trustee. In determining the</w:t>
      </w:r>
    </w:p>
    <w:p>
      <w:pPr>
        <w:spacing w:after="0" w:line="29" w:lineRule="exact"/>
        <w:rPr>
          <w:sz w:val="20"/>
          <w:szCs w:val="20"/>
          <w:color w:val="auto"/>
        </w:rPr>
      </w:pPr>
    </w:p>
    <w:p>
      <w:pPr>
        <w:spacing w:after="0"/>
        <w:rPr>
          <w:sz w:val="20"/>
          <w:szCs w:val="20"/>
          <w:color w:val="auto"/>
        </w:rPr>
      </w:pPr>
      <w:r>
        <w:rPr>
          <w:rFonts w:ascii="Arial" w:cs="Arial" w:eastAsia="Arial" w:hAnsi="Arial"/>
          <w:sz w:val="21"/>
          <w:szCs w:val="21"/>
          <w:color w:val="auto"/>
        </w:rPr>
        <w:t>Restricted Period of an Award the Committee may provide that the foregoing restrictions shall lapse with respect to</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specified percentages of the awarded Restricted Shares on successive anniversaries of the date of such Award. To the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extent required by the Ordinance or the ITA, the Restricted Shares issued pursuant to Section 102 of the Ordinance shall be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issued to the Trustee in accordance with the provisions of the Ordinance and the Restricted Shares shall be held for the</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color w:val="auto"/>
        </w:rPr>
        <w:t>benefit of the Grantee for at least the Required Holding Period.</w:t>
      </w:r>
    </w:p>
    <w:p>
      <w:pPr>
        <w:spacing w:after="0" w:line="283" w:lineRule="exact"/>
        <w:rPr>
          <w:sz w:val="20"/>
          <w:szCs w:val="20"/>
          <w:color w:val="auto"/>
        </w:rPr>
      </w:pPr>
    </w:p>
    <w:p>
      <w:pPr>
        <w:ind w:right="180" w:firstLine="510"/>
        <w:spacing w:after="0" w:line="273" w:lineRule="auto"/>
        <w:rPr>
          <w:sz w:val="20"/>
          <w:szCs w:val="20"/>
          <w:color w:val="auto"/>
        </w:rPr>
      </w:pPr>
      <w:r>
        <w:rPr>
          <w:rFonts w:ascii="Arial" w:cs="Arial" w:eastAsia="Arial" w:hAnsi="Arial"/>
          <w:sz w:val="21"/>
          <w:szCs w:val="21"/>
          <w:color w:val="auto"/>
        </w:rPr>
        <w:t xml:space="preserve">11.3. </w:t>
      </w:r>
      <w:r>
        <w:rPr>
          <w:rFonts w:ascii="Arial" w:cs="Arial" w:eastAsia="Arial" w:hAnsi="Arial"/>
          <w:sz w:val="21"/>
          <w:szCs w:val="21"/>
          <w:u w:val="single" w:color="auto"/>
          <w:color w:val="auto"/>
        </w:rPr>
        <w:t>Forfeiture; Repurchase</w:t>
      </w:r>
      <w:r>
        <w:rPr>
          <w:rFonts w:ascii="Arial" w:cs="Arial" w:eastAsia="Arial" w:hAnsi="Arial"/>
          <w:sz w:val="21"/>
          <w:szCs w:val="21"/>
          <w:color w:val="auto"/>
        </w:rPr>
        <w:t>. Subject to such exceptions as may be determined by the Committee, if the Grantee's continuous employment with or service to the Company or any Affiliate thereof shall terminate for any reason prior to the expiration of the Restricted Period of an Award or prior to the timely payment in full of the Exercise Price of any Restricted Shares, any Shares remaining subject to vesting or with respect to which the purchase price has not been paid in full, shall thereupon be forfeited, transferred to, and redeemed, repurchased or cancelled by, as the case may be, in any manner as set forth in Section 6.6.2(i) through (v), subject to Applicable Laws and the Grantee shall have no further rights with respect to such Restricted Shares.</w:t>
      </w:r>
    </w:p>
    <w:p>
      <w:pPr>
        <w:spacing w:after="0" w:line="237" w:lineRule="exact"/>
        <w:rPr>
          <w:sz w:val="20"/>
          <w:szCs w:val="20"/>
          <w:color w:val="auto"/>
        </w:rPr>
      </w:pPr>
    </w:p>
    <w:p>
      <w:pPr>
        <w:ind w:firstLine="510"/>
        <w:spacing w:after="0" w:line="261" w:lineRule="auto"/>
        <w:rPr>
          <w:sz w:val="20"/>
          <w:szCs w:val="20"/>
          <w:color w:val="auto"/>
        </w:rPr>
      </w:pPr>
      <w:r>
        <w:rPr>
          <w:rFonts w:ascii="Arial" w:cs="Arial" w:eastAsia="Arial" w:hAnsi="Arial"/>
          <w:sz w:val="22"/>
          <w:szCs w:val="22"/>
          <w:color w:val="auto"/>
        </w:rPr>
        <w:t xml:space="preserve">11.4. </w:t>
      </w:r>
      <w:r>
        <w:rPr>
          <w:rFonts w:ascii="Arial" w:cs="Arial" w:eastAsia="Arial" w:hAnsi="Arial"/>
          <w:sz w:val="22"/>
          <w:szCs w:val="22"/>
          <w:u w:val="single" w:color="auto"/>
          <w:color w:val="auto"/>
        </w:rPr>
        <w:t>Ownership</w:t>
      </w:r>
      <w:r>
        <w:rPr>
          <w:rFonts w:ascii="Arial" w:cs="Arial" w:eastAsia="Arial" w:hAnsi="Arial"/>
          <w:sz w:val="22"/>
          <w:szCs w:val="22"/>
          <w:color w:val="auto"/>
        </w:rPr>
        <w:t>. During the Restricted Period the Grantee shall possess all incidents of ownership of such Restricted Shares, subject to Section 6.10 and Section 11.2, including the right to vote and receive dividends with respect to such Shares. All securities, if any, received by a Grantee with respect to Restricted Shares as a result of any stock split, stock dividend, combination of shares, or other similar transaction shall be subject to the restrictions applicable to the original Award.</w:t>
      </w:r>
    </w:p>
    <w:p>
      <w:pPr>
        <w:sectPr>
          <w:pgSz w:w="11900" w:h="16838" w:orient="portrait"/>
          <w:cols w:equalWidth="0" w:num="1">
            <w:col w:w="10700"/>
          </w:cols>
          <w:pgMar w:left="320" w:top="125" w:right="879" w:bottom="1440" w:gutter="0" w:footer="0" w:header="0"/>
        </w:sectPr>
      </w:pPr>
    </w:p>
    <w:p>
      <w:pPr>
        <w:spacing w:after="0" w:line="200" w:lineRule="exact"/>
        <w:rPr>
          <w:sz w:val="20"/>
          <w:szCs w:val="20"/>
          <w:color w:val="auto"/>
        </w:rPr>
      </w:pPr>
    </w:p>
    <w:p>
      <w:pPr>
        <w:spacing w:after="0" w:line="206" w:lineRule="exact"/>
        <w:rPr>
          <w:sz w:val="20"/>
          <w:szCs w:val="20"/>
          <w:color w:val="auto"/>
        </w:rPr>
      </w:pPr>
    </w:p>
    <w:p>
      <w:pPr>
        <w:jc w:val="center"/>
        <w:ind w:right="-559"/>
        <w:spacing w:after="0"/>
        <w:rPr>
          <w:sz w:val="20"/>
          <w:szCs w:val="20"/>
          <w:color w:val="auto"/>
        </w:rPr>
      </w:pPr>
      <w:r>
        <w:rPr>
          <w:rFonts w:ascii="Arial" w:cs="Arial" w:eastAsia="Arial" w:hAnsi="Arial"/>
          <w:sz w:val="19"/>
          <w:szCs w:val="19"/>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00"/>
          </w:cols>
          <w:pgMar w:left="320" w:top="125" w:right="879" w:bottom="1440" w:gutter="0" w:footer="0" w:header="0"/>
          <w:type w:val="continuous"/>
        </w:sectPr>
      </w:pPr>
    </w:p>
    <w:bookmarkStart w:id="209" w:name="page210"/>
    <w:bookmarkEnd w:id="209"/>
    <w:p>
      <w:pPr>
        <w:ind w:left="520" w:hanging="512"/>
        <w:spacing w:after="0"/>
        <w:tabs>
          <w:tab w:leader="none" w:pos="520" w:val="left"/>
        </w:tabs>
        <w:numPr>
          <w:ilvl w:val="0"/>
          <w:numId w:val="193"/>
        </w:numPr>
        <w:rPr>
          <w:rFonts w:ascii="Arial" w:cs="Arial" w:eastAsia="Arial" w:hAnsi="Arial"/>
          <w:sz w:val="18"/>
          <w:szCs w:val="18"/>
          <w:color w:val="auto"/>
        </w:rPr>
      </w:pPr>
      <w:r>
        <w:rPr>
          <w:rFonts w:ascii="Arial" w:cs="Arial" w:eastAsia="Arial" w:hAnsi="Arial"/>
          <w:sz w:val="18"/>
          <w:szCs w:val="18"/>
          <w:u w:val="single" w:color="auto"/>
          <w:color w:val="auto"/>
        </w:rPr>
        <w:t>RESTRICTED SHARE UNITS</w:t>
      </w:r>
      <w:r>
        <w:rPr>
          <w:rFonts w:ascii="Arial" w:cs="Arial" w:eastAsia="Arial" w:hAnsi="Arial"/>
          <w:sz w:val="18"/>
          <w:szCs w:val="18"/>
          <w:color w:val="auto"/>
        </w:rPr>
        <w:t>.</w:t>
      </w:r>
    </w:p>
    <w:p>
      <w:pPr>
        <w:spacing w:after="0" w:line="285" w:lineRule="exact"/>
        <w:rPr>
          <w:sz w:val="20"/>
          <w:szCs w:val="20"/>
          <w:color w:val="auto"/>
        </w:rPr>
      </w:pPr>
    </w:p>
    <w:p>
      <w:pPr>
        <w:ind w:firstLine="510"/>
        <w:spacing w:after="0" w:line="272" w:lineRule="auto"/>
        <w:rPr>
          <w:sz w:val="20"/>
          <w:szCs w:val="20"/>
          <w:color w:val="auto"/>
        </w:rPr>
      </w:pPr>
      <w:r>
        <w:rPr>
          <w:rFonts w:ascii="Arial" w:cs="Arial" w:eastAsia="Arial" w:hAnsi="Arial"/>
          <w:sz w:val="21"/>
          <w:szCs w:val="21"/>
          <w:color w:val="auto"/>
        </w:rPr>
        <w:t>12.1. An RSU is an Award covering a number of Shares that is settled, if vested and (if applicable) exercised, by issuance of those Shares. An RSU may be awarded to any eligible Grantee, including under Section 102 of the Ordinance, provided that, to the extent required by Applicable Laws, a specific ruling is obtained from the ITA to grant RSUs as 102 Trustee Awards. The Award Agreement relating to the grant of RSUs under this Plan (the “</w:t>
      </w:r>
      <w:r>
        <w:rPr>
          <w:rFonts w:ascii="Arial" w:cs="Arial" w:eastAsia="Arial" w:hAnsi="Arial"/>
          <w:sz w:val="21"/>
          <w:szCs w:val="21"/>
          <w:b w:val="1"/>
          <w:bCs w:val="1"/>
          <w:color w:val="auto"/>
        </w:rPr>
        <w:t>Restricted Share Unit</w:t>
      </w:r>
      <w:r>
        <w:rPr>
          <w:rFonts w:ascii="Arial" w:cs="Arial" w:eastAsia="Arial" w:hAnsi="Arial"/>
          <w:sz w:val="21"/>
          <w:szCs w:val="21"/>
          <w:color w:val="auto"/>
        </w:rPr>
        <w:t xml:space="preserve"> </w:t>
      </w:r>
      <w:r>
        <w:rPr>
          <w:rFonts w:ascii="Arial" w:cs="Arial" w:eastAsia="Arial" w:hAnsi="Arial"/>
          <w:sz w:val="21"/>
          <w:szCs w:val="21"/>
          <w:b w:val="1"/>
          <w:bCs w:val="1"/>
          <w:color w:val="auto"/>
        </w:rPr>
        <w:t>Agreement</w:t>
      </w:r>
      <w:r>
        <w:rPr>
          <w:rFonts w:ascii="Arial" w:cs="Arial" w:eastAsia="Arial" w:hAnsi="Arial"/>
          <w:sz w:val="21"/>
          <w:szCs w:val="21"/>
          <w:color w:val="auto"/>
        </w:rPr>
        <w:t>”), shall be in such form as the Committee shall from time to time approve. The RSUs shall be subject to all</w:t>
      </w:r>
      <w:r>
        <w:rPr>
          <w:rFonts w:ascii="Arial" w:cs="Arial" w:eastAsia="Arial" w:hAnsi="Arial"/>
          <w:sz w:val="21"/>
          <w:szCs w:val="21"/>
          <w:b w:val="1"/>
          <w:bCs w:val="1"/>
          <w:color w:val="auto"/>
        </w:rPr>
        <w:t xml:space="preserve"> </w:t>
      </w:r>
      <w:r>
        <w:rPr>
          <w:rFonts w:ascii="Arial" w:cs="Arial" w:eastAsia="Arial" w:hAnsi="Arial"/>
          <w:sz w:val="21"/>
          <w:szCs w:val="21"/>
          <w:color w:val="auto"/>
        </w:rPr>
        <w:t>applicable terms of this Plan, which in the case of RSUs granted under Section 102 of the Ordinance shall include Section 9 hereof, and may be subject to any other terms that are not inconsistent with this Plan. The provisions of the various Restricted Share Unit Agreements entered into under this Plan need not be identical. RSUs may be granted in consideration of a reduction in the recipient’s other compensation.</w:t>
      </w:r>
    </w:p>
    <w:p>
      <w:pPr>
        <w:spacing w:after="0" w:line="237" w:lineRule="exact"/>
        <w:rPr>
          <w:sz w:val="20"/>
          <w:szCs w:val="20"/>
          <w:color w:val="auto"/>
        </w:rPr>
      </w:pPr>
    </w:p>
    <w:p>
      <w:pPr>
        <w:ind w:right="180" w:firstLine="510"/>
        <w:spacing w:after="0" w:line="266" w:lineRule="auto"/>
        <w:rPr>
          <w:sz w:val="20"/>
          <w:szCs w:val="20"/>
          <w:color w:val="auto"/>
        </w:rPr>
      </w:pPr>
      <w:r>
        <w:rPr>
          <w:rFonts w:ascii="Arial" w:cs="Arial" w:eastAsia="Arial" w:hAnsi="Arial"/>
          <w:sz w:val="22"/>
          <w:szCs w:val="22"/>
          <w:color w:val="auto"/>
        </w:rPr>
        <w:t xml:space="preserve">12.2. </w:t>
      </w:r>
      <w:r>
        <w:rPr>
          <w:rFonts w:ascii="Arial" w:cs="Arial" w:eastAsia="Arial" w:hAnsi="Arial"/>
          <w:sz w:val="22"/>
          <w:szCs w:val="22"/>
          <w:u w:val="single" w:color="auto"/>
          <w:color w:val="auto"/>
        </w:rPr>
        <w:t>Exercise Price</w:t>
      </w:r>
      <w:r>
        <w:rPr>
          <w:rFonts w:ascii="Arial" w:cs="Arial" w:eastAsia="Arial" w:hAnsi="Arial"/>
          <w:sz w:val="22"/>
          <w:szCs w:val="22"/>
          <w:color w:val="auto"/>
        </w:rPr>
        <w:t>. No payment of Exercise Price shall be required as consideration for RSUs, unless included in the Award Agreement or as required by Applicable Law (including, Section 304 of the Companies Law, 1999, as amended), and Section 6.4 shall apply, if applicable.</w:t>
      </w:r>
    </w:p>
    <w:p>
      <w:pPr>
        <w:spacing w:after="0" w:line="239" w:lineRule="exact"/>
        <w:rPr>
          <w:sz w:val="20"/>
          <w:szCs w:val="20"/>
          <w:color w:val="auto"/>
        </w:rPr>
      </w:pPr>
    </w:p>
    <w:p>
      <w:pPr>
        <w:ind w:firstLine="510"/>
        <w:spacing w:after="0" w:line="358" w:lineRule="auto"/>
        <w:rPr>
          <w:sz w:val="20"/>
          <w:szCs w:val="20"/>
          <w:color w:val="auto"/>
        </w:rPr>
      </w:pPr>
      <w:r>
        <w:rPr>
          <w:rFonts w:ascii="Arial" w:cs="Arial" w:eastAsia="Arial" w:hAnsi="Arial"/>
          <w:sz w:val="19"/>
          <w:szCs w:val="19"/>
          <w:color w:val="auto"/>
        </w:rPr>
        <w:t xml:space="preserve">12.3. </w:t>
      </w:r>
      <w:r>
        <w:rPr>
          <w:rFonts w:ascii="Arial" w:cs="Arial" w:eastAsia="Arial" w:hAnsi="Arial"/>
          <w:sz w:val="19"/>
          <w:szCs w:val="19"/>
          <w:u w:val="single" w:color="auto"/>
          <w:color w:val="auto"/>
        </w:rPr>
        <w:t>Shareholders’ Rights</w:t>
      </w:r>
      <w:r>
        <w:rPr>
          <w:rFonts w:ascii="Arial" w:cs="Arial" w:eastAsia="Arial" w:hAnsi="Arial"/>
          <w:sz w:val="19"/>
          <w:szCs w:val="19"/>
          <w:color w:val="auto"/>
        </w:rPr>
        <w:t>. The Grantee shall not possess or own any ownership rights in the Shares underlying the RSUs and no rights as a shareholder shall exist prior to the actual issuance of Shares in the name of the Grantee.</w:t>
      </w:r>
    </w:p>
    <w:p>
      <w:pPr>
        <w:spacing w:after="0" w:line="158" w:lineRule="exact"/>
        <w:rPr>
          <w:sz w:val="20"/>
          <w:szCs w:val="20"/>
          <w:color w:val="auto"/>
        </w:rPr>
      </w:pPr>
    </w:p>
    <w:p>
      <w:pPr>
        <w:ind w:right="40" w:firstLine="510"/>
        <w:spacing w:after="0" w:line="261" w:lineRule="auto"/>
        <w:rPr>
          <w:sz w:val="20"/>
          <w:szCs w:val="20"/>
          <w:color w:val="auto"/>
        </w:rPr>
      </w:pPr>
      <w:r>
        <w:rPr>
          <w:rFonts w:ascii="Arial" w:cs="Arial" w:eastAsia="Arial" w:hAnsi="Arial"/>
          <w:sz w:val="22"/>
          <w:szCs w:val="22"/>
          <w:color w:val="auto"/>
        </w:rPr>
        <w:t xml:space="preserve">12.4. </w:t>
      </w:r>
      <w:r>
        <w:rPr>
          <w:rFonts w:ascii="Arial" w:cs="Arial" w:eastAsia="Arial" w:hAnsi="Arial"/>
          <w:sz w:val="22"/>
          <w:szCs w:val="22"/>
          <w:u w:val="single" w:color="auto"/>
          <w:color w:val="auto"/>
        </w:rPr>
        <w:t>Settlements of Awards</w:t>
      </w:r>
      <w:r>
        <w:rPr>
          <w:rFonts w:ascii="Arial" w:cs="Arial" w:eastAsia="Arial" w:hAnsi="Arial"/>
          <w:sz w:val="22"/>
          <w:szCs w:val="22"/>
          <w:color w:val="auto"/>
        </w:rPr>
        <w:t>. Settlement of vested RSUs shall be made in the form of Shares. Distribution to a Grantee of an amount (or amounts) from settlement of vested RSUs can be deferred to a date after settlement as determined by the Committee. The amount of a deferred distribution may be increased by an interest factor or by dividend equivalents. Until the grant of RSUs is settled, the number of Shares underlying such RSUs shall be subject to adjustment pursuant hereto.</w:t>
      </w:r>
    </w:p>
    <w:p>
      <w:pPr>
        <w:spacing w:after="0" w:line="244" w:lineRule="exact"/>
        <w:rPr>
          <w:sz w:val="20"/>
          <w:szCs w:val="20"/>
          <w:color w:val="auto"/>
        </w:rPr>
      </w:pPr>
    </w:p>
    <w:p>
      <w:pPr>
        <w:ind w:right="140" w:firstLine="510"/>
        <w:spacing w:after="0" w:line="259" w:lineRule="auto"/>
        <w:rPr>
          <w:sz w:val="20"/>
          <w:szCs w:val="20"/>
          <w:color w:val="auto"/>
        </w:rPr>
      </w:pPr>
      <w:r>
        <w:rPr>
          <w:rFonts w:ascii="Arial" w:cs="Arial" w:eastAsia="Arial" w:hAnsi="Arial"/>
          <w:sz w:val="22"/>
          <w:szCs w:val="22"/>
          <w:color w:val="auto"/>
        </w:rPr>
        <w:t xml:space="preserve">12.5. </w:t>
      </w:r>
      <w:r>
        <w:rPr>
          <w:rFonts w:ascii="Arial" w:cs="Arial" w:eastAsia="Arial" w:hAnsi="Arial"/>
          <w:sz w:val="22"/>
          <w:szCs w:val="22"/>
          <w:u w:val="single" w:color="auto"/>
          <w:color w:val="auto"/>
        </w:rPr>
        <w:t>Section 409A Restrictions</w:t>
      </w:r>
      <w:r>
        <w:rPr>
          <w:rFonts w:ascii="Arial" w:cs="Arial" w:eastAsia="Arial" w:hAnsi="Arial"/>
          <w:sz w:val="22"/>
          <w:szCs w:val="22"/>
          <w:color w:val="auto"/>
        </w:rPr>
        <w:t>. Notwithstanding anything to the contrary set forth herein, any RSUs granted under this Plan that are not exempt from the requirements of Section 409A of the Code shall contain such restrictions or other provisions so that such RSUs will comply with the requirements of Section 409A of the Code, if applicable to the Company. Such restrictions, if any, shall be determined by the Committee and contained in the Restricted Share Unit Agreement evidencing such RSU. For example, such restrictions may include a requirement that any Shares that are to be issued in a year following the year in which the RSU vests must be issued in accordance with a fixed, pre-determined schedule.</w:t>
      </w:r>
    </w:p>
    <w:p>
      <w:pPr>
        <w:spacing w:after="0" w:line="243" w:lineRule="exact"/>
        <w:rPr>
          <w:sz w:val="20"/>
          <w:szCs w:val="20"/>
          <w:color w:val="auto"/>
        </w:rPr>
      </w:pPr>
    </w:p>
    <w:p>
      <w:pPr>
        <w:ind w:left="520" w:hanging="512"/>
        <w:spacing w:after="0"/>
        <w:tabs>
          <w:tab w:leader="none" w:pos="520" w:val="left"/>
        </w:tabs>
        <w:numPr>
          <w:ilvl w:val="0"/>
          <w:numId w:val="194"/>
        </w:numPr>
        <w:rPr>
          <w:rFonts w:ascii="Arial" w:cs="Arial" w:eastAsia="Arial" w:hAnsi="Arial"/>
          <w:sz w:val="18"/>
          <w:szCs w:val="18"/>
          <w:color w:val="auto"/>
        </w:rPr>
      </w:pPr>
      <w:r>
        <w:rPr>
          <w:rFonts w:ascii="Arial" w:cs="Arial" w:eastAsia="Arial" w:hAnsi="Arial"/>
          <w:sz w:val="18"/>
          <w:szCs w:val="18"/>
          <w:u w:val="single" w:color="auto"/>
          <w:color w:val="auto"/>
        </w:rPr>
        <w:t>OTHER SHARE OR SHARE-BASED AWARDS</w:t>
      </w:r>
      <w:r>
        <w:rPr>
          <w:rFonts w:ascii="Arial" w:cs="Arial" w:eastAsia="Arial" w:hAnsi="Arial"/>
          <w:sz w:val="18"/>
          <w:szCs w:val="18"/>
          <w:color w:val="auto"/>
        </w:rPr>
        <w:t>.</w:t>
      </w:r>
    </w:p>
    <w:p>
      <w:pPr>
        <w:spacing w:after="0" w:line="285" w:lineRule="exact"/>
        <w:rPr>
          <w:sz w:val="20"/>
          <w:szCs w:val="20"/>
          <w:color w:val="auto"/>
        </w:rPr>
      </w:pPr>
    </w:p>
    <w:p>
      <w:pPr>
        <w:ind w:right="220" w:firstLine="510"/>
        <w:spacing w:after="0" w:line="262" w:lineRule="auto"/>
        <w:rPr>
          <w:sz w:val="20"/>
          <w:szCs w:val="20"/>
          <w:color w:val="auto"/>
        </w:rPr>
      </w:pPr>
      <w:r>
        <w:rPr>
          <w:rFonts w:ascii="Arial" w:cs="Arial" w:eastAsia="Arial" w:hAnsi="Arial"/>
          <w:sz w:val="22"/>
          <w:szCs w:val="22"/>
          <w:color w:val="auto"/>
        </w:rPr>
        <w:t>13.1. The Committee may grant other Awards under this Plan pursuant to which Shares (which may, but need not, be Restricted Shares pursuant to Section 11 hereof), cash (in settlement of Share-based Awards) or a combination thereof, are or may in the future be acquired or received, or Awards denominated in stock units, including units valued on the basis of measures other than market value.</w:t>
      </w:r>
    </w:p>
    <w:p>
      <w:pPr>
        <w:spacing w:after="0" w:line="245" w:lineRule="exact"/>
        <w:rPr>
          <w:sz w:val="20"/>
          <w:szCs w:val="20"/>
          <w:color w:val="auto"/>
        </w:rPr>
      </w:pPr>
    </w:p>
    <w:p>
      <w:pPr>
        <w:ind w:right="260" w:firstLine="510"/>
        <w:spacing w:after="0" w:line="276" w:lineRule="auto"/>
        <w:rPr>
          <w:sz w:val="20"/>
          <w:szCs w:val="20"/>
          <w:color w:val="auto"/>
        </w:rPr>
      </w:pPr>
      <w:r>
        <w:rPr>
          <w:rFonts w:ascii="Arial" w:cs="Arial" w:eastAsia="Arial" w:hAnsi="Arial"/>
          <w:sz w:val="21"/>
          <w:szCs w:val="21"/>
          <w:color w:val="auto"/>
        </w:rPr>
        <w:t>13.2. The Committee may also grant stock appreciation rights without the grant of an accompanying option, which rights shall permit the Grantees to receive, at the time of any exercise of such rights, cash equal to the amount by which the Fair Market Value of the Shares in respect to which the right was granted is so exercised exceed the exercise price thereof. The exercise price of any such stock appreciation right granted to a Grantee who is subject to U.S. federal income tax shall be determined in compliance with Section 7.2.</w:t>
      </w:r>
    </w:p>
    <w:p>
      <w:pPr>
        <w:spacing w:after="0" w:line="231" w:lineRule="exact"/>
        <w:rPr>
          <w:sz w:val="20"/>
          <w:szCs w:val="20"/>
          <w:color w:val="auto"/>
        </w:rPr>
      </w:pPr>
    </w:p>
    <w:p>
      <w:pPr>
        <w:ind w:right="100" w:firstLine="510"/>
        <w:spacing w:after="0" w:line="276" w:lineRule="auto"/>
        <w:rPr>
          <w:sz w:val="20"/>
          <w:szCs w:val="20"/>
          <w:color w:val="auto"/>
        </w:rPr>
      </w:pPr>
      <w:r>
        <w:rPr>
          <w:rFonts w:ascii="Arial" w:cs="Arial" w:eastAsia="Arial" w:hAnsi="Arial"/>
          <w:sz w:val="22"/>
          <w:szCs w:val="22"/>
          <w:color w:val="auto"/>
        </w:rPr>
        <w:t>13.3. Such other Share-based Awards as set forth above may be granted alone, in addition to, or in tandem with any Award of any type granted under this Plan.</w:t>
      </w:r>
    </w:p>
    <w:p>
      <w:pPr>
        <w:sectPr>
          <w:pgSz w:w="11900" w:h="16838" w:orient="portrait"/>
          <w:cols w:equalWidth="0" w:num="1">
            <w:col w:w="10720"/>
          </w:cols>
          <w:pgMar w:left="320" w:top="125" w:right="859" w:bottom="1440" w:gutter="0" w:footer="0" w:header="0"/>
        </w:sectPr>
      </w:pPr>
    </w:p>
    <w:p>
      <w:pPr>
        <w:spacing w:after="0" w:line="390" w:lineRule="exact"/>
        <w:rPr>
          <w:sz w:val="20"/>
          <w:szCs w:val="20"/>
          <w:color w:val="auto"/>
        </w:rPr>
      </w:pPr>
    </w:p>
    <w:p>
      <w:pPr>
        <w:jc w:val="center"/>
        <w:ind w:right="-539"/>
        <w:spacing w:after="0"/>
        <w:rPr>
          <w:sz w:val="20"/>
          <w:szCs w:val="20"/>
          <w:color w:val="auto"/>
        </w:rPr>
      </w:pPr>
      <w:r>
        <w:rPr>
          <w:rFonts w:ascii="Arial" w:cs="Arial" w:eastAsia="Arial" w:hAnsi="Arial"/>
          <w:sz w:val="19"/>
          <w:szCs w:val="19"/>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25" w:right="859" w:bottom="1440" w:gutter="0" w:footer="0" w:header="0"/>
          <w:type w:val="continuous"/>
        </w:sectPr>
      </w:pPr>
    </w:p>
    <w:bookmarkStart w:id="210" w:name="page211"/>
    <w:bookmarkEnd w:id="210"/>
    <w:p>
      <w:pPr>
        <w:ind w:left="500" w:hanging="492"/>
        <w:spacing w:after="0"/>
        <w:tabs>
          <w:tab w:leader="none" w:pos="500" w:val="left"/>
        </w:tabs>
        <w:numPr>
          <w:ilvl w:val="0"/>
          <w:numId w:val="195"/>
        </w:numPr>
        <w:rPr>
          <w:rFonts w:ascii="Arial" w:cs="Arial" w:eastAsia="Arial" w:hAnsi="Arial"/>
          <w:sz w:val="18"/>
          <w:szCs w:val="18"/>
          <w:color w:val="auto"/>
        </w:rPr>
      </w:pPr>
      <w:r>
        <w:rPr>
          <w:rFonts w:ascii="Arial" w:cs="Arial" w:eastAsia="Arial" w:hAnsi="Arial"/>
          <w:sz w:val="18"/>
          <w:szCs w:val="18"/>
          <w:u w:val="single" w:color="auto"/>
          <w:color w:val="auto"/>
        </w:rPr>
        <w:t>EFFECT OF CERTAIN CHANGES</w:t>
      </w:r>
      <w:r>
        <w:rPr>
          <w:rFonts w:ascii="Arial" w:cs="Arial" w:eastAsia="Arial" w:hAnsi="Arial"/>
          <w:sz w:val="18"/>
          <w:szCs w:val="18"/>
          <w:color w:val="auto"/>
        </w:rPr>
        <w:t>.</w:t>
      </w:r>
    </w:p>
    <w:p>
      <w:pPr>
        <w:spacing w:after="0" w:line="285" w:lineRule="exact"/>
        <w:rPr>
          <w:sz w:val="20"/>
          <w:szCs w:val="20"/>
          <w:color w:val="auto"/>
        </w:rPr>
      </w:pPr>
    </w:p>
    <w:p>
      <w:pPr>
        <w:ind w:firstLine="510"/>
        <w:spacing w:after="0" w:line="300" w:lineRule="auto"/>
        <w:rPr>
          <w:sz w:val="20"/>
          <w:szCs w:val="20"/>
          <w:color w:val="auto"/>
        </w:rPr>
      </w:pPr>
      <w:r>
        <w:rPr>
          <w:rFonts w:ascii="Arial" w:cs="Arial" w:eastAsia="Arial" w:hAnsi="Arial"/>
          <w:sz w:val="19"/>
          <w:szCs w:val="19"/>
          <w:color w:val="auto"/>
        </w:rPr>
        <w:t xml:space="preserve">14.1. </w:t>
      </w:r>
      <w:r>
        <w:rPr>
          <w:rFonts w:ascii="Arial" w:cs="Arial" w:eastAsia="Arial" w:hAnsi="Arial"/>
          <w:sz w:val="19"/>
          <w:szCs w:val="19"/>
          <w:u w:val="single" w:color="auto"/>
          <w:color w:val="auto"/>
        </w:rPr>
        <w:t>General</w:t>
      </w:r>
      <w:r>
        <w:rPr>
          <w:rFonts w:ascii="Arial" w:cs="Arial" w:eastAsia="Arial" w:hAnsi="Arial"/>
          <w:sz w:val="19"/>
          <w:szCs w:val="19"/>
          <w:color w:val="auto"/>
        </w:rPr>
        <w:t>. In the event of a division or subdivision of the outstanding share capital of the Company, any distribution of bonus shares (stock split), consolidation or combination of share capital of the Company (reverse stock split), reclassification with respect to the Shares or any similar recapitalization events (each, a "</w:t>
      </w:r>
      <w:r>
        <w:rPr>
          <w:rFonts w:ascii="Arial" w:cs="Arial" w:eastAsia="Arial" w:hAnsi="Arial"/>
          <w:sz w:val="19"/>
          <w:szCs w:val="19"/>
          <w:b w:val="1"/>
          <w:bCs w:val="1"/>
          <w:color w:val="auto"/>
        </w:rPr>
        <w:t>Recapitalization</w:t>
      </w:r>
      <w:r>
        <w:rPr>
          <w:rFonts w:ascii="Arial" w:cs="Arial" w:eastAsia="Arial" w:hAnsi="Arial"/>
          <w:sz w:val="19"/>
          <w:szCs w:val="19"/>
          <w:color w:val="auto"/>
        </w:rPr>
        <w:t>"), a merger (including, a reverse merger and a reverse triangular merger), consolidation, amalgamation or like transaction of the Company with or into another corporation, a reorganization (which may include a combination or exchange of shares, spin-off or other corporate divestiture or division, or other similar occurrences, the Committee shall have the authority to make, without the need for a consent of any holder of an Award, such adjustments as determined by the Committee to be appropriate, in its discretion, in order to adjust (i) the number and class of shares reserved and available for grants of Awards, (ii) the number and class of shares covered by outstanding Awards, (iii) the Exercise Price per share covered by any Award, (iv) the terms and conditions concerning vesting and exercisability and the term and duration of the outstanding Awards, and (v) any other terms of the Award that in the opinion of the Committee should be adjusted. Any fractional shares resulting from such adjustment shall be treated as determined by the Committee, and in the absence of such determination shall be rounded to the nearest whole share, and the Company shall have no obligation to make any cash or other payment with respect to such fractional shares. No adjustment shall be made by reason of the distribution of subscription rights or rights offering to outstanding shares or other issuance of shares by the Company, unless the Committee determines otherwise. The adjustments determined pursuant to this Section 14.1 (including a determination that no adjustment is to be made) shall be final, binding and conclusive.</w:t>
      </w:r>
    </w:p>
    <w:p>
      <w:pPr>
        <w:spacing w:after="0" w:line="200" w:lineRule="exact"/>
        <w:rPr>
          <w:sz w:val="20"/>
          <w:szCs w:val="20"/>
          <w:color w:val="auto"/>
        </w:rPr>
      </w:pPr>
    </w:p>
    <w:p>
      <w:pPr>
        <w:spacing w:after="0" w:line="290" w:lineRule="exact"/>
        <w:rPr>
          <w:sz w:val="20"/>
          <w:szCs w:val="20"/>
          <w:color w:val="auto"/>
        </w:rPr>
      </w:pPr>
    </w:p>
    <w:p>
      <w:pPr>
        <w:ind w:right="220" w:firstLine="510"/>
        <w:spacing w:after="0" w:line="266" w:lineRule="auto"/>
        <w:rPr>
          <w:sz w:val="20"/>
          <w:szCs w:val="20"/>
          <w:color w:val="auto"/>
        </w:rPr>
      </w:pPr>
      <w:r>
        <w:rPr>
          <w:rFonts w:ascii="Arial" w:cs="Arial" w:eastAsia="Arial" w:hAnsi="Arial"/>
          <w:sz w:val="22"/>
          <w:szCs w:val="22"/>
          <w:color w:val="auto"/>
        </w:rPr>
        <w:t xml:space="preserve">14.2. </w:t>
      </w:r>
      <w:r>
        <w:rPr>
          <w:rFonts w:ascii="Arial" w:cs="Arial" w:eastAsia="Arial" w:hAnsi="Arial"/>
          <w:sz w:val="22"/>
          <w:szCs w:val="22"/>
          <w:u w:val="single" w:color="auto"/>
          <w:color w:val="auto"/>
        </w:rPr>
        <w:t>Change of Control</w:t>
      </w:r>
      <w:r>
        <w:rPr>
          <w:rFonts w:ascii="Arial" w:cs="Arial" w:eastAsia="Arial" w:hAnsi="Arial"/>
          <w:sz w:val="22"/>
          <w:szCs w:val="22"/>
          <w:color w:val="auto"/>
        </w:rPr>
        <w:t>. In the event of a Change of Control, then, without derogating from the general authority and power of the Board or the Committee under this Plan, without the Grantee’s consent and action and without any prior notice requirement:</w:t>
      </w:r>
    </w:p>
    <w:p>
      <w:pPr>
        <w:spacing w:after="0" w:line="239" w:lineRule="exact"/>
        <w:rPr>
          <w:sz w:val="20"/>
          <w:szCs w:val="20"/>
          <w:color w:val="auto"/>
        </w:rPr>
      </w:pPr>
    </w:p>
    <w:p>
      <w:pPr>
        <w:ind w:left="500" w:right="200" w:firstLine="810"/>
        <w:spacing w:after="0" w:line="311" w:lineRule="auto"/>
        <w:rPr>
          <w:sz w:val="20"/>
          <w:szCs w:val="20"/>
          <w:color w:val="auto"/>
        </w:rPr>
      </w:pPr>
      <w:r>
        <w:rPr>
          <w:rFonts w:ascii="Arial" w:cs="Arial" w:eastAsia="Arial" w:hAnsi="Arial"/>
          <w:sz w:val="19"/>
          <w:szCs w:val="19"/>
          <w:color w:val="auto"/>
        </w:rPr>
        <w:t>14.2.1. Unless otherwise determined by the Committee in its sole and absolute discretion, any Award then outstanding shall be assumed or be substituted by the Company, or by the successor corporation in an event described in paragraph (i) or (ii) of the definition of Change of Control, or by any parent or Affiliate thereof, as determined by the Committee in its discretion (the “</w:t>
      </w:r>
      <w:r>
        <w:rPr>
          <w:rFonts w:ascii="Arial" w:cs="Arial" w:eastAsia="Arial" w:hAnsi="Arial"/>
          <w:sz w:val="19"/>
          <w:szCs w:val="19"/>
          <w:b w:val="1"/>
          <w:bCs w:val="1"/>
          <w:color w:val="auto"/>
        </w:rPr>
        <w:t>Successor Corporation</w:t>
      </w:r>
      <w:r>
        <w:rPr>
          <w:rFonts w:ascii="Arial" w:cs="Arial" w:eastAsia="Arial" w:hAnsi="Arial"/>
          <w:sz w:val="19"/>
          <w:szCs w:val="19"/>
          <w:color w:val="auto"/>
        </w:rPr>
        <w:t>”), under terms as determined by the Committee or the terms of this Plan applied by the Successor Corporation to such assumed or substituted Awards.</w:t>
      </w:r>
    </w:p>
    <w:p>
      <w:pPr>
        <w:spacing w:after="0" w:line="204" w:lineRule="exact"/>
        <w:rPr>
          <w:sz w:val="20"/>
          <w:szCs w:val="20"/>
          <w:color w:val="auto"/>
        </w:rPr>
      </w:pPr>
    </w:p>
    <w:p>
      <w:pPr>
        <w:ind w:left="520" w:right="640" w:firstLine="510"/>
        <w:spacing w:after="0" w:line="300" w:lineRule="auto"/>
        <w:rPr>
          <w:sz w:val="20"/>
          <w:szCs w:val="20"/>
          <w:color w:val="auto"/>
        </w:rPr>
      </w:pPr>
      <w:r>
        <w:rPr>
          <w:rFonts w:ascii="Arial" w:cs="Arial" w:eastAsia="Arial" w:hAnsi="Arial"/>
          <w:sz w:val="19"/>
          <w:szCs w:val="19"/>
          <w:color w:val="auto"/>
        </w:rPr>
        <w:t>For the purposes of this Section 14.2.1, the Award shall be considered assumed or substituted if, following such a Change of Control, the Award confers on the holder thereof the right to purchase or receive, for each Share underlying an Award immediately prior to the Change of Control, either (i) the consideration (whether stock, cash, or other securities or property, or any combination thereof) distributed to or received by holders of Shares in the Change of Control for each Share held on the effective date of the Change of Control (and if holders were offered a choice or several types of consideration, the type of consideration as determined by the Committee), or (ii) regardless of the consideration received by the holders of Shares in the Change of Control, solely shares or any type of Awards (or their equivalent) of the Successor Corporation at a value to be determined by the Committee in its discretion, or a certain type of consideration (whether stock, cash, or other securities or property, or any combination thereof) as determined by the Committee. Any of the above consideration referred to in clauses (i) and (ii) shall be subject to the same vesting and expiration terms of the Awards applying immediately prior to the Change of Control, unless determined by the Committee in its discretion that the consideration shall be subject to different vesting and expiration terms, or other terms, and the Committee may determine that it be subject to other or additional terms. The foregoing shall not limit the Committee's authority to determine, in its sole discretion, that in lieu of such assumption or substitution of Awards for Awards of the Successor Corporation, such Award will be substituted for any other type of asset or property, including as set forth in Section 14.2.2 hereunder.</w:t>
      </w:r>
    </w:p>
    <w:p>
      <w:pPr>
        <w:spacing w:after="0" w:line="379"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25" w:right="859" w:bottom="1440" w:gutter="0" w:footer="0" w:header="0"/>
        </w:sectPr>
      </w:pPr>
    </w:p>
    <w:bookmarkStart w:id="211" w:name="page212"/>
    <w:bookmarkEnd w:id="211"/>
    <w:p>
      <w:pPr>
        <w:ind w:right="560" w:firstLine="810"/>
        <w:spacing w:after="0" w:line="276" w:lineRule="auto"/>
        <w:rPr>
          <w:sz w:val="20"/>
          <w:szCs w:val="20"/>
          <w:color w:val="auto"/>
        </w:rPr>
      </w:pPr>
      <w:r>
        <w:rPr>
          <w:rFonts w:ascii="Arial" w:cs="Arial" w:eastAsia="Arial" w:hAnsi="Arial"/>
          <w:sz w:val="22"/>
          <w:szCs w:val="22"/>
          <w:color w:val="auto"/>
        </w:rPr>
        <w:t>14.2.2. Regardless of whether or not Awards are assumed or substituted, the Committee may (but shall not be obligated to), in its sole discretion:</w:t>
      </w:r>
    </w:p>
    <w:p>
      <w:pPr>
        <w:spacing w:after="0" w:line="222" w:lineRule="exact"/>
        <w:rPr>
          <w:sz w:val="20"/>
          <w:szCs w:val="20"/>
          <w:color w:val="auto"/>
        </w:rPr>
      </w:pPr>
    </w:p>
    <w:p>
      <w:pPr>
        <w:ind w:left="2740" w:hanging="890"/>
        <w:spacing w:after="0" w:line="272" w:lineRule="auto"/>
        <w:tabs>
          <w:tab w:leader="none" w:pos="2720" w:val="left"/>
        </w:tabs>
        <w:rPr>
          <w:sz w:val="20"/>
          <w:szCs w:val="20"/>
          <w:color w:val="auto"/>
        </w:rPr>
      </w:pPr>
      <w:r>
        <w:rPr>
          <w:rFonts w:ascii="Arial" w:cs="Arial" w:eastAsia="Arial" w:hAnsi="Arial"/>
          <w:sz w:val="18"/>
          <w:szCs w:val="18"/>
          <w:color w:val="auto"/>
        </w:rPr>
        <w:t>14.2.2.1.</w:t>
      </w:r>
      <w:r>
        <w:rPr>
          <w:sz w:val="20"/>
          <w:szCs w:val="20"/>
          <w:color w:val="auto"/>
        </w:rPr>
        <w:tab/>
      </w:r>
      <w:r>
        <w:rPr>
          <w:rFonts w:ascii="Arial" w:cs="Arial" w:eastAsia="Arial" w:hAnsi="Arial"/>
          <w:sz w:val="17"/>
          <w:szCs w:val="17"/>
          <w:color w:val="auto"/>
        </w:rPr>
        <w:t>provide for the Grantee to have the right to exercise the Award in respect of Shares covered by the Award which would otherwise be exercisable or vested, under such terms and conditions as the Committee shall determine, and the cancellation of all unexercised Awards (whether vested or unvested) upon or immediately prior to the closing of the Change of Control, unless the Committee provides for the Grantee to have the right to exercise the Award, or otherwise for the acceleration of vesting of such Award, as to all or part of the Shares covered by the Award which would not otherwise be exercisable or vested, under such terms and conditions as the Committee shall determine; and/or</w:t>
      </w:r>
    </w:p>
    <w:p>
      <w:pPr>
        <w:spacing w:after="0" w:line="231" w:lineRule="exact"/>
        <w:rPr>
          <w:sz w:val="20"/>
          <w:szCs w:val="20"/>
          <w:color w:val="auto"/>
        </w:rPr>
      </w:pPr>
    </w:p>
    <w:p>
      <w:pPr>
        <w:ind w:left="2740" w:right="20" w:hanging="890"/>
        <w:spacing w:after="0" w:line="289" w:lineRule="auto"/>
        <w:tabs>
          <w:tab w:leader="none" w:pos="2720" w:val="left"/>
        </w:tabs>
        <w:rPr>
          <w:sz w:val="20"/>
          <w:szCs w:val="20"/>
          <w:color w:val="auto"/>
        </w:rPr>
      </w:pPr>
      <w:r>
        <w:rPr>
          <w:rFonts w:ascii="Arial" w:cs="Arial" w:eastAsia="Arial" w:hAnsi="Arial"/>
          <w:sz w:val="18"/>
          <w:szCs w:val="18"/>
          <w:color w:val="auto"/>
        </w:rPr>
        <w:t>14.2.2.2.</w:t>
      </w:r>
      <w:r>
        <w:rPr>
          <w:sz w:val="20"/>
          <w:szCs w:val="20"/>
          <w:color w:val="auto"/>
        </w:rPr>
        <w:tab/>
      </w:r>
      <w:r>
        <w:rPr>
          <w:rFonts w:ascii="Arial" w:cs="Arial" w:eastAsia="Arial" w:hAnsi="Arial"/>
          <w:sz w:val="16"/>
          <w:szCs w:val="16"/>
          <w:color w:val="auto"/>
        </w:rPr>
        <w:t>provide for the cancellation of each outstanding Award at or immediately prior to the closing of such Change of Control, and payment to the Grantee of an amount in cash, shares of the Company, the acquiror or of a corporation or other business entity which is a party to the Change of Control or other property, as determined by the Committee to be fair in the circumstances, and subject to such terms and conditions as determined by the Committee. The Committee shall have full authority to select the method for determining the payment (being the Black-Scholes model or any other method). The Committee’s determination may further provide that payment shall be set to zero if the value of the Shares is determined to be less than the Exercise Price or in respect of Shares covered by the Award which would not otherwise be exercisable or vested, or that payment may be made only in excess of the Exercise Price.</w:t>
      </w:r>
    </w:p>
    <w:p>
      <w:pPr>
        <w:spacing w:after="0" w:line="226" w:lineRule="exact"/>
        <w:rPr>
          <w:sz w:val="20"/>
          <w:szCs w:val="20"/>
          <w:color w:val="auto"/>
        </w:rPr>
      </w:pPr>
    </w:p>
    <w:p>
      <w:pPr>
        <w:ind w:right="500" w:firstLine="810"/>
        <w:spacing w:after="0" w:line="276" w:lineRule="auto"/>
        <w:rPr>
          <w:sz w:val="20"/>
          <w:szCs w:val="20"/>
          <w:color w:val="auto"/>
        </w:rPr>
      </w:pPr>
      <w:r>
        <w:rPr>
          <w:rFonts w:ascii="Arial" w:cs="Arial" w:eastAsia="Arial" w:hAnsi="Arial"/>
          <w:sz w:val="21"/>
          <w:szCs w:val="21"/>
          <w:color w:val="auto"/>
        </w:rPr>
        <w:t>14.2.3. The Committee may determine that any payments made in respect of Awards shall be made or delayed to the same extent that payment of consideration to the holders of the Shares in connection with the Change of Control is made or delayed as a result of escrows, indemnification, earn outs, holdbacks or any other contingencies; and the terms and conditions applying to the payment made to the Grantees, including participation in escrow, indemnification, releases, earn-outs, holdbacks or any other contingencies.</w:t>
      </w:r>
    </w:p>
    <w:p>
      <w:pPr>
        <w:spacing w:after="0" w:line="231" w:lineRule="exact"/>
        <w:rPr>
          <w:sz w:val="20"/>
          <w:szCs w:val="20"/>
          <w:color w:val="auto"/>
        </w:rPr>
      </w:pPr>
    </w:p>
    <w:p>
      <w:pPr>
        <w:ind w:right="600" w:firstLine="810"/>
        <w:spacing w:after="0" w:line="260" w:lineRule="auto"/>
        <w:rPr>
          <w:sz w:val="20"/>
          <w:szCs w:val="20"/>
          <w:color w:val="auto"/>
        </w:rPr>
      </w:pPr>
      <w:r>
        <w:rPr>
          <w:rFonts w:ascii="Arial" w:cs="Arial" w:eastAsia="Arial" w:hAnsi="Arial"/>
          <w:sz w:val="22"/>
          <w:szCs w:val="22"/>
          <w:color w:val="auto"/>
        </w:rPr>
        <w:t>14.2.4. Notwithstanding the foregoing, in the event of a Change of Control, the Committee may determine, in its sole discretion, that upon completion of such Change of Control the terms of any Award shall be otherwise amended, modified or terminated, as the Committee shall deem in good faith to be appropriate and without any liability to the Company or its Affiliates and to their respective officers, directors, employees and representatives and the respective successors and assigns of any of the foregoing in connection with the method of treatment or chosen course of action permitted hereunder.</w:t>
      </w:r>
    </w:p>
    <w:p>
      <w:pPr>
        <w:spacing w:after="0" w:line="246" w:lineRule="exact"/>
        <w:rPr>
          <w:sz w:val="20"/>
          <w:szCs w:val="20"/>
          <w:color w:val="auto"/>
        </w:rPr>
      </w:pPr>
    </w:p>
    <w:p>
      <w:pPr>
        <w:ind w:right="500" w:firstLine="810"/>
        <w:spacing w:after="0" w:line="301" w:lineRule="auto"/>
        <w:rPr>
          <w:sz w:val="20"/>
          <w:szCs w:val="20"/>
          <w:color w:val="auto"/>
        </w:rPr>
      </w:pPr>
      <w:r>
        <w:rPr>
          <w:rFonts w:ascii="Arial" w:cs="Arial" w:eastAsia="Arial" w:hAnsi="Arial"/>
          <w:sz w:val="19"/>
          <w:szCs w:val="19"/>
          <w:color w:val="auto"/>
        </w:rPr>
        <w:t xml:space="preserve">14.2.5. Neither the authorities and powers of the Committee under this Section 14.2, nor the exercise or implementation thereof, shall (i) be restricted or limited in any way by any adverse consequences (tax or otherwise) that may result to any holder of an Award, and (ii) as, </w:t>
      </w:r>
      <w:r>
        <w:rPr>
          <w:rFonts w:ascii="Arial" w:cs="Arial" w:eastAsia="Arial" w:hAnsi="Arial"/>
          <w:sz w:val="19"/>
          <w:szCs w:val="19"/>
          <w:i w:val="1"/>
          <w:iCs w:val="1"/>
          <w:color w:val="auto"/>
        </w:rPr>
        <w:t>inter alia</w:t>
      </w:r>
      <w:r>
        <w:rPr>
          <w:rFonts w:ascii="Arial" w:cs="Arial" w:eastAsia="Arial" w:hAnsi="Arial"/>
          <w:sz w:val="19"/>
          <w:szCs w:val="19"/>
          <w:color w:val="auto"/>
        </w:rPr>
        <w:t>, being a feature of the Award upon its grant, be deemed to constitute a change or an amendment of the rights of such holder under this Plan, nor shall any such adverse consequences (as well as any adverse tax consequences that may result from any tax ruling or other approval or determination of any relevant tax authority) be deemed to constitute a change or an amendment of the rights of such holder under this Plan, and may be effected without consent of any Grantee and without any liability to the Company or its Affiliates and to their respective its officers, directors, employees and representatives and the respective successors and assigns of any of the foregoing. The Committee need not take the same action with respect to all Awards or with respect to all Service Providers. The Committee may take different actions with respect to the vested and unvested portions of an Award. The Committee may determine an amount or type of consideration to be received or distributed in a Change of Control which may differ as among the Grantees, and as between the Grantees and any other holders of shares of the Company.</w:t>
      </w:r>
    </w:p>
    <w:p>
      <w:pPr>
        <w:spacing w:after="0" w:line="380" w:lineRule="exact"/>
        <w:rPr>
          <w:sz w:val="20"/>
          <w:szCs w:val="20"/>
          <w:color w:val="auto"/>
        </w:rPr>
      </w:pPr>
    </w:p>
    <w:p>
      <w:pPr>
        <w:jc w:val="center"/>
        <w:ind w:right="460"/>
        <w:spacing w:after="0"/>
        <w:rPr>
          <w:sz w:val="20"/>
          <w:szCs w:val="20"/>
          <w:color w:val="auto"/>
        </w:rPr>
      </w:pPr>
      <w:r>
        <w:rPr>
          <w:rFonts w:ascii="Arial" w:cs="Arial" w:eastAsia="Arial" w:hAnsi="Arial"/>
          <w:sz w:val="22"/>
          <w:szCs w:val="2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-311785</wp:posOffset>
            </wp:positionH>
            <wp:positionV relativeFrom="paragraph">
              <wp:posOffset>41275</wp:posOffset>
            </wp:positionV>
            <wp:extent cx="7132320" cy="171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820" w:top="132" w:right="359" w:bottom="1440" w:gutter="0" w:footer="0" w:header="0"/>
        </w:sectPr>
      </w:pPr>
    </w:p>
    <w:bookmarkStart w:id="212" w:name="page213"/>
    <w:bookmarkEnd w:id="212"/>
    <w:p>
      <w:pPr>
        <w:ind w:left="500" w:right="20" w:firstLine="816"/>
        <w:spacing w:after="0" w:line="276" w:lineRule="auto"/>
        <w:rPr>
          <w:sz w:val="20"/>
          <w:szCs w:val="20"/>
          <w:color w:val="auto"/>
        </w:rPr>
      </w:pPr>
      <w:r>
        <w:rPr>
          <w:rFonts w:ascii="Arial" w:cs="Arial" w:eastAsia="Arial" w:hAnsi="Arial"/>
          <w:sz w:val="22"/>
          <w:szCs w:val="22"/>
          <w:color w:val="auto"/>
        </w:rPr>
        <w:t>14.2.6. The Committee’s determinations pursuant to this Section 14 shall be conclusive and binding on all Grantees.</w:t>
      </w:r>
    </w:p>
    <w:p>
      <w:pPr>
        <w:spacing w:after="0" w:line="228" w:lineRule="exact"/>
        <w:rPr>
          <w:sz w:val="20"/>
          <w:szCs w:val="20"/>
          <w:color w:val="auto"/>
        </w:rPr>
      </w:pPr>
    </w:p>
    <w:p>
      <w:pPr>
        <w:ind w:left="500" w:right="60" w:firstLine="810"/>
        <w:spacing w:after="0" w:line="273" w:lineRule="auto"/>
        <w:rPr>
          <w:sz w:val="20"/>
          <w:szCs w:val="20"/>
          <w:color w:val="auto"/>
        </w:rPr>
      </w:pPr>
      <w:r>
        <w:rPr>
          <w:rFonts w:ascii="Arial" w:cs="Arial" w:eastAsia="Arial" w:hAnsi="Arial"/>
          <w:sz w:val="21"/>
          <w:szCs w:val="21"/>
          <w:color w:val="auto"/>
        </w:rPr>
        <w:t>14.2.7. If determined by the Committee, the Grantees shall be subject to the definitive agreement(s) in connection with the Change of Control as applying to holders of Shares including, such terms, conditions, representations, undertakings, liabilities, limitations, releases, indemnities, participating in transaction expenses and escrow arrangement, in each case as determined by the Committee. Each Grantee shall execute such separate agreement(s) or instruments as may be requested by the Company, the Successor Corporation or the acquiror in connection with such in such Change of Control and in the form required by them. The execution of such separate agreement(s) may be a condition to the receipt of assumed or substituted Awards, payment in lieu of the Award or the exercise of any Award.</w:t>
      </w:r>
    </w:p>
    <w:p>
      <w:pPr>
        <w:spacing w:after="0" w:line="233" w:lineRule="exact"/>
        <w:rPr>
          <w:sz w:val="20"/>
          <w:szCs w:val="20"/>
          <w:color w:val="auto"/>
        </w:rPr>
      </w:pPr>
    </w:p>
    <w:p>
      <w:pPr>
        <w:ind w:right="20" w:firstLine="510"/>
        <w:spacing w:after="0" w:line="304" w:lineRule="auto"/>
        <w:rPr>
          <w:sz w:val="20"/>
          <w:szCs w:val="20"/>
          <w:color w:val="auto"/>
        </w:rPr>
      </w:pPr>
      <w:r>
        <w:rPr>
          <w:rFonts w:ascii="Arial" w:cs="Arial" w:eastAsia="Arial" w:hAnsi="Arial"/>
          <w:sz w:val="19"/>
          <w:szCs w:val="19"/>
          <w:color w:val="auto"/>
        </w:rPr>
        <w:t xml:space="preserve">14.3. </w:t>
      </w:r>
      <w:r>
        <w:rPr>
          <w:rFonts w:ascii="Arial" w:cs="Arial" w:eastAsia="Arial" w:hAnsi="Arial"/>
          <w:sz w:val="19"/>
          <w:szCs w:val="19"/>
          <w:u w:val="single" w:color="auto"/>
          <w:color w:val="auto"/>
        </w:rPr>
        <w:t>Reservation of Rights</w:t>
      </w:r>
      <w:r>
        <w:rPr>
          <w:rFonts w:ascii="Arial" w:cs="Arial" w:eastAsia="Arial" w:hAnsi="Arial"/>
          <w:sz w:val="19"/>
          <w:szCs w:val="19"/>
          <w:color w:val="auto"/>
        </w:rPr>
        <w:t>. Except as expressly provided in this Section 14 (if any), the Grantee of an Award hereunder shall have no rights by reason of any Recapitalization of shares of any class, any increase or decrease in the number of shares of any class, or any dissolution, liquidation, reorganization (which may include a combination or exchange of shares, spin-off or other corporate divestiture or division, or other similar occurrences), or Change of Control. Any issue by the Company of shares of any class, or securities convertible into shares of stock of any class, shall not affect, and no adjustment by reason thereof shall be made with respect to, the number, type or price of shares subject to an Award. The grant of an Award pursuant to this Plan shall not affect in any way the right or power of the Company to make adjustments, reclassifications, reorganizations or changes of its capital or business structures or to merge or to consolidate or to dissolve, liquidate or sell, or transfer all or part of its business or assets or engage in any similar transactions.</w:t>
      </w:r>
    </w:p>
    <w:p>
      <w:pPr>
        <w:spacing w:after="0" w:line="203" w:lineRule="exact"/>
        <w:rPr>
          <w:sz w:val="20"/>
          <w:szCs w:val="20"/>
          <w:color w:val="auto"/>
        </w:rPr>
      </w:pPr>
    </w:p>
    <w:p>
      <w:pPr>
        <w:ind w:left="520" w:hanging="512"/>
        <w:spacing w:after="0"/>
        <w:tabs>
          <w:tab w:leader="none" w:pos="520" w:val="left"/>
        </w:tabs>
        <w:numPr>
          <w:ilvl w:val="0"/>
          <w:numId w:val="196"/>
        </w:numPr>
        <w:rPr>
          <w:rFonts w:ascii="Arial" w:cs="Arial" w:eastAsia="Arial" w:hAnsi="Arial"/>
          <w:sz w:val="18"/>
          <w:szCs w:val="18"/>
          <w:color w:val="auto"/>
        </w:rPr>
      </w:pPr>
      <w:r>
        <w:rPr>
          <w:rFonts w:ascii="Arial" w:cs="Arial" w:eastAsia="Arial" w:hAnsi="Arial"/>
          <w:sz w:val="18"/>
          <w:szCs w:val="18"/>
          <w:u w:val="single" w:color="auto"/>
          <w:color w:val="auto"/>
        </w:rPr>
        <w:t>NON-TRANSFERABILITY OF AWARDS; SURVIVING BENEFICIARY</w:t>
      </w:r>
      <w:r>
        <w:rPr>
          <w:rFonts w:ascii="Arial" w:cs="Arial" w:eastAsia="Arial" w:hAnsi="Arial"/>
          <w:sz w:val="18"/>
          <w:szCs w:val="18"/>
          <w:color w:val="auto"/>
        </w:rPr>
        <w:t>.</w:t>
      </w:r>
    </w:p>
    <w:p>
      <w:pPr>
        <w:spacing w:after="0" w:line="285" w:lineRule="exact"/>
        <w:rPr>
          <w:sz w:val="20"/>
          <w:szCs w:val="20"/>
          <w:color w:val="auto"/>
        </w:rPr>
      </w:pPr>
    </w:p>
    <w:p>
      <w:pPr>
        <w:ind w:firstLine="510"/>
        <w:spacing w:after="0" w:line="300" w:lineRule="auto"/>
        <w:rPr>
          <w:sz w:val="20"/>
          <w:szCs w:val="20"/>
          <w:color w:val="auto"/>
        </w:rPr>
      </w:pPr>
      <w:r>
        <w:rPr>
          <w:rFonts w:ascii="Arial" w:cs="Arial" w:eastAsia="Arial" w:hAnsi="Arial"/>
          <w:sz w:val="19"/>
          <w:szCs w:val="19"/>
          <w:color w:val="auto"/>
        </w:rPr>
        <w:t>15.1. All Awards granted under this Plan by their terms shall not be transferable other than by will or by the laws of descent and distribution, unless otherwise determined by the Committee or under this Plan, provided that with respect to Shares issued upon exercise or (if applicable) the vesting of Awards the restrictions on transfer shall be the restrictions referred to in Section 16 (Conditions upon Issuance of Shares) hereof. Subject to the above provisions, the terms of such Award, this Plan and any applicable Award Agreement shall be binding upon the beneficiaries, executors, administrators, heirs and successors of such Grantee. Awards may be exercised or otherwise realized, during the lifetime of the Grantee, only by the Grantee or by his guardian or legal representative, to the extent provided for herein. Any transfer of an Award not permitted hereunder (including transfers pursuant to any decree of divorce, dissolution or separate maintenance, any property settlement, any separation agreement or any other agreement with a spouse) and any grant of any interest in any Award to, or creation in any way of any direct or indirect interest in any Award by, any party other than the Grantee shall be null and void and shall not confer upon any party or person, other than the Grantee, any rights. A Grantee may file with the Committee a written designation of a beneficiary, who shall be permitted to exercise such Grantee’s Award or to whom any benefit under this Plan is to be paid, in each case, in the event of the Grantee’s death before he or she fully exercises his or her Award or receives any or all of such benefit, on such form as may be prescribed by the Committee and may, from time to time, amend or revoke such designation. If no designated beneficiary survives the Grantee, the executor or administrator of the Grantee's estate shall be deemed to be the Grantee's beneficiary. Notwithstanding the foregoing, upon the request of the Grantee and subject to Applicable Law the Committee, at its sole discretion, may permit the Grantee to transfer the Award to a trust whose beneficiaries are the Grantee and/or the Grantee’s immediate family members (all or several of them).</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00"/>
          </w:cols>
          <w:pgMar w:left="320" w:top="132" w:right="879" w:bottom="1440" w:gutter="0" w:footer="0" w:header="0"/>
        </w:sectPr>
      </w:pPr>
    </w:p>
    <w:bookmarkStart w:id="213" w:name="page214"/>
    <w:bookmarkEnd w:id="213"/>
    <w:p>
      <w:pPr>
        <w:ind w:right="140" w:firstLine="510"/>
        <w:spacing w:after="0" w:line="279" w:lineRule="auto"/>
        <w:rPr>
          <w:sz w:val="20"/>
          <w:szCs w:val="20"/>
          <w:color w:val="auto"/>
        </w:rPr>
      </w:pPr>
      <w:r>
        <w:rPr>
          <w:rFonts w:ascii="Arial" w:cs="Arial" w:eastAsia="Arial" w:hAnsi="Arial"/>
          <w:sz w:val="21"/>
          <w:szCs w:val="21"/>
          <w:color w:val="auto"/>
        </w:rPr>
        <w:t>15.2. Notwithstanding any other provisions of the Plan to the contrary, no Incentive Stock Option may be sold, transferred, pledged, assigned or otherwise alienated or hypothecated, other than by will or by the laws of descent and distribution or in accordance with a beneficiary designation pursuant to Section 15.1. Further, all Incentive Stock Options granted to a Grantee shall be exercisable during his or her lifetime only by such Grantee.</w:t>
      </w:r>
    </w:p>
    <w:p>
      <w:pPr>
        <w:spacing w:after="0" w:line="227" w:lineRule="exact"/>
        <w:rPr>
          <w:sz w:val="20"/>
          <w:szCs w:val="20"/>
          <w:color w:val="auto"/>
        </w:rPr>
      </w:pPr>
    </w:p>
    <w:p>
      <w:pPr>
        <w:ind w:right="240" w:firstLine="510"/>
        <w:spacing w:after="0" w:line="266" w:lineRule="auto"/>
        <w:rPr>
          <w:sz w:val="20"/>
          <w:szCs w:val="20"/>
          <w:color w:val="auto"/>
        </w:rPr>
      </w:pPr>
      <w:r>
        <w:rPr>
          <w:rFonts w:ascii="Arial" w:cs="Arial" w:eastAsia="Arial" w:hAnsi="Arial"/>
          <w:sz w:val="22"/>
          <w:szCs w:val="22"/>
          <w:color w:val="auto"/>
        </w:rPr>
        <w:t>15.3. As long as the Shares are held by the Trustee in favor of the Grantee, all rights possessed by the Grantee over the Shares are personal, and may not be transferred, assigned, pledged or mortgaged, other than by will or laws of descent and distribution.</w:t>
      </w:r>
    </w:p>
    <w:p>
      <w:pPr>
        <w:spacing w:after="0" w:line="239" w:lineRule="exact"/>
        <w:rPr>
          <w:sz w:val="20"/>
          <w:szCs w:val="20"/>
          <w:color w:val="auto"/>
        </w:rPr>
      </w:pPr>
    </w:p>
    <w:p>
      <w:pPr>
        <w:ind w:right="40" w:firstLine="510"/>
        <w:spacing w:after="0" w:line="276" w:lineRule="auto"/>
        <w:rPr>
          <w:sz w:val="20"/>
          <w:szCs w:val="20"/>
          <w:color w:val="auto"/>
        </w:rPr>
      </w:pPr>
      <w:r>
        <w:rPr>
          <w:rFonts w:ascii="Arial" w:cs="Arial" w:eastAsia="Arial" w:hAnsi="Arial"/>
          <w:sz w:val="22"/>
          <w:szCs w:val="22"/>
          <w:color w:val="auto"/>
        </w:rPr>
        <w:t>15.4. The provisions of this Section 15 shall apply to the Grantee and to any purchaser, assignee or transferee of any Shares.</w:t>
      </w:r>
    </w:p>
    <w:p>
      <w:pPr>
        <w:spacing w:after="0" w:line="222" w:lineRule="exact"/>
        <w:rPr>
          <w:sz w:val="20"/>
          <w:szCs w:val="20"/>
          <w:color w:val="auto"/>
        </w:rPr>
      </w:pPr>
    </w:p>
    <w:p>
      <w:pPr>
        <w:ind w:left="520" w:hanging="512"/>
        <w:spacing w:after="0"/>
        <w:tabs>
          <w:tab w:leader="none" w:pos="520" w:val="left"/>
        </w:tabs>
        <w:numPr>
          <w:ilvl w:val="0"/>
          <w:numId w:val="197"/>
        </w:numPr>
        <w:rPr>
          <w:rFonts w:ascii="Arial" w:cs="Arial" w:eastAsia="Arial" w:hAnsi="Arial"/>
          <w:sz w:val="18"/>
          <w:szCs w:val="18"/>
          <w:color w:val="auto"/>
        </w:rPr>
      </w:pPr>
      <w:r>
        <w:rPr>
          <w:rFonts w:ascii="Arial" w:cs="Arial" w:eastAsia="Arial" w:hAnsi="Arial"/>
          <w:sz w:val="18"/>
          <w:szCs w:val="18"/>
          <w:u w:val="single" w:color="auto"/>
          <w:color w:val="auto"/>
        </w:rPr>
        <w:t>CONDITIONS UPON ISSUANCE OF SHARES; GOVERNING PROVISIONS.</w:t>
      </w:r>
    </w:p>
    <w:p>
      <w:pPr>
        <w:spacing w:after="0" w:line="285" w:lineRule="exact"/>
        <w:rPr>
          <w:sz w:val="20"/>
          <w:szCs w:val="20"/>
          <w:color w:val="auto"/>
        </w:rPr>
      </w:pPr>
    </w:p>
    <w:p>
      <w:pPr>
        <w:ind w:firstLine="510"/>
        <w:spacing w:after="0" w:line="299" w:lineRule="auto"/>
        <w:rPr>
          <w:sz w:val="20"/>
          <w:szCs w:val="20"/>
          <w:color w:val="auto"/>
        </w:rPr>
      </w:pPr>
      <w:r>
        <w:rPr>
          <w:rFonts w:ascii="Arial" w:cs="Arial" w:eastAsia="Arial" w:hAnsi="Arial"/>
          <w:sz w:val="19"/>
          <w:szCs w:val="19"/>
          <w:color w:val="auto"/>
        </w:rPr>
        <w:t xml:space="preserve">16.1. </w:t>
      </w:r>
      <w:r>
        <w:rPr>
          <w:rFonts w:ascii="Arial" w:cs="Arial" w:eastAsia="Arial" w:hAnsi="Arial"/>
          <w:sz w:val="19"/>
          <w:szCs w:val="19"/>
          <w:u w:val="single" w:color="auto"/>
          <w:color w:val="auto"/>
        </w:rPr>
        <w:t>Legal Compliance</w:t>
      </w:r>
      <w:r>
        <w:rPr>
          <w:rFonts w:ascii="Arial" w:cs="Arial" w:eastAsia="Arial" w:hAnsi="Arial"/>
          <w:sz w:val="19"/>
          <w:szCs w:val="19"/>
          <w:color w:val="auto"/>
        </w:rPr>
        <w:t>. The grant of Awards and the issuance of Shares upon exercise or settlement of Awards shall be subject to compliance with all Applicable Laws as determined by the Company, including, applicable requirements of federal, state and foreign law with respect to such securities. The Company shall have no obligations to issue Shares pursuant to the exercise or settlement of an Award and Awards may not be exercised or settled, if the issuance of Shares upon exercise or settlement would constitute a violation of any Applicable Laws as determined by the Company, including, applicable federal, state or foreign securities laws or other law or regulations or the requirements of any stock exchange or market system upon which the Shares may then be listed. In addition, no Award may be exercised unless (i) a registration statement under the Securities Act shall at the time of exercise or settlement of the Award be in effect with respect to the shares issuable upon exercise of the Award, or (ii) in the opinion of legal counsel to the Company, the shares issuable upon exercise of the Award may be issued in accordance with the terms of an applicable exemption from the registration requirements of the Securities Act. The inability of the Company to obtain authority from any regulatory body having jurisdiction, if any, deemed by the Company to be necessary to the lawful issuance and sale of any Shares hereunder, and the inability to issue Shares hereunder due to non-compliance with any Company policies with respect to the sale of Shares, shall relieve the Company of any liability in respect of the failure to issue or sell such Shares as to which such requisite authority or compliance shall not have been obtained or achieved. As a condition to the exercise of an Award, the Company may require the person exercising such Award to satisfy any qualifications that may be necessary or appropriate, to evidence compliance with any Applicable Law or regulation and to make any representation or warranty with respect thereto as may be requested by the Company, including to represent and warrant at the time of any such exercise that the Shares are being purchased only for investment and without any present intention to sell or distribute such Shares, all in form and content specified by the Company.</w:t>
      </w:r>
    </w:p>
    <w:p>
      <w:pPr>
        <w:spacing w:after="0" w:line="200" w:lineRule="exact"/>
        <w:rPr>
          <w:sz w:val="20"/>
          <w:szCs w:val="20"/>
          <w:color w:val="auto"/>
        </w:rPr>
      </w:pPr>
    </w:p>
    <w:p>
      <w:pPr>
        <w:spacing w:after="0" w:line="298" w:lineRule="exact"/>
        <w:rPr>
          <w:sz w:val="20"/>
          <w:szCs w:val="20"/>
          <w:color w:val="auto"/>
        </w:rPr>
      </w:pPr>
    </w:p>
    <w:p>
      <w:pPr>
        <w:ind w:right="20" w:firstLine="510"/>
        <w:spacing w:after="0" w:line="302" w:lineRule="auto"/>
        <w:rPr>
          <w:sz w:val="20"/>
          <w:szCs w:val="20"/>
          <w:color w:val="auto"/>
        </w:rPr>
      </w:pPr>
      <w:r>
        <w:rPr>
          <w:rFonts w:ascii="Arial" w:cs="Arial" w:eastAsia="Arial" w:hAnsi="Arial"/>
          <w:sz w:val="19"/>
          <w:szCs w:val="19"/>
          <w:color w:val="auto"/>
        </w:rPr>
        <w:t xml:space="preserve">16.2. </w:t>
      </w:r>
      <w:r>
        <w:rPr>
          <w:rFonts w:ascii="Arial" w:cs="Arial" w:eastAsia="Arial" w:hAnsi="Arial"/>
          <w:sz w:val="19"/>
          <w:szCs w:val="19"/>
          <w:u w:val="single" w:color="auto"/>
          <w:color w:val="auto"/>
        </w:rPr>
        <w:t>Provisions Governing Shares</w:t>
      </w:r>
      <w:r>
        <w:rPr>
          <w:rFonts w:ascii="Arial" w:cs="Arial" w:eastAsia="Arial" w:hAnsi="Arial"/>
          <w:sz w:val="19"/>
          <w:szCs w:val="19"/>
          <w:color w:val="auto"/>
        </w:rPr>
        <w:t>. Shares issued pursuant to an Award shall be subject to the Articles of Association of the Company, any limitation, restriction or obligation included in any shareholders agreement applicable to all or substantially all of the holders of shares (regardless of whether or not the Grantee is a formal party to such shareholders agreement), any other governing documents of the Company, all policies, manuals and internal regulations adopted by the Company from time to time, in each case, as may be amended from time to time, including any provisions included therein concerning restrictions or limitations on disposition of Shares (such as, but not limited to, right of first refusal and lock up/market stand-off) or grant of any rights with respect thereto, forced sale and bring along provisions, any provisions concerning restrictions on the use of inside information and other provisions deemed by the Company to be appropriate in order to ensure compliance with Applicable Laws. Each Grantee shall execute such separate agreement(s) as may be requested by the Company relating to matters set forth in this Section 16.2. The execution of such separate agreement(s) may be a condition by the Company to the exercise of any Award.</w:t>
      </w:r>
    </w:p>
    <w:p>
      <w:pPr>
        <w:spacing w:after="0" w:line="378"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32" w:right="859" w:bottom="1440" w:gutter="0" w:footer="0" w:header="0"/>
        </w:sectPr>
      </w:pPr>
    </w:p>
    <w:bookmarkStart w:id="214" w:name="page215"/>
    <w:bookmarkEnd w:id="214"/>
    <w:p>
      <w:pPr>
        <w:ind w:right="20" w:firstLine="510"/>
        <w:spacing w:after="0" w:line="302" w:lineRule="auto"/>
        <w:rPr>
          <w:sz w:val="20"/>
          <w:szCs w:val="20"/>
          <w:color w:val="auto"/>
        </w:rPr>
      </w:pPr>
      <w:r>
        <w:rPr>
          <w:rFonts w:ascii="Arial" w:cs="Arial" w:eastAsia="Arial" w:hAnsi="Arial"/>
          <w:sz w:val="19"/>
          <w:szCs w:val="19"/>
          <w:color w:val="auto"/>
        </w:rPr>
        <w:t xml:space="preserve">16.3. </w:t>
      </w:r>
      <w:r>
        <w:rPr>
          <w:rFonts w:ascii="Arial" w:cs="Arial" w:eastAsia="Arial" w:hAnsi="Arial"/>
          <w:sz w:val="19"/>
          <w:szCs w:val="19"/>
          <w:u w:val="single" w:color="auto"/>
          <w:color w:val="auto"/>
        </w:rPr>
        <w:t>Forced Sale</w:t>
      </w:r>
      <w:r>
        <w:rPr>
          <w:rFonts w:ascii="Arial" w:cs="Arial" w:eastAsia="Arial" w:hAnsi="Arial"/>
          <w:sz w:val="19"/>
          <w:szCs w:val="19"/>
          <w:color w:val="auto"/>
        </w:rPr>
        <w:t>. In the event the that Board approves a Change of Control effected by way of a forced or compulsory sale (whether pursuant to the Company’s Articles of Association or pursuant to Section 341 of the Companies Law), then, without derogating from such provisions and in addition thereto, the Grantee shall be obligated, and shall be deemed to have agreed to the offer to effect the Change of Control on the terms approved by the Board (and the Shares held by or for the benefit of the Grantee shall be included in the shares of the Company approving the terms of such Change of Control for the purpose of satisfying the required majority), and shall sell all of the Shares held by or for the benefit of the Grantee on the terms and conditions applying to the holders of Shares, in accordance with the instructions then issued by the Board, whose determination shall be final. No Grantee shall contest, bring any claims or demands, or exercise any appraisal rights related to any of the foregoing. The proxy pursuant to Section 6.10 includes an authorization of the holder of such proxy to sign, by and on behalf of any Grantee, such documents and agreements as are required to affect the sale of Shares in connection with such Change of Control.</w:t>
      </w:r>
    </w:p>
    <w:p>
      <w:pPr>
        <w:spacing w:after="0" w:line="216" w:lineRule="exact"/>
        <w:rPr>
          <w:sz w:val="20"/>
          <w:szCs w:val="20"/>
          <w:color w:val="auto"/>
        </w:rPr>
      </w:pPr>
    </w:p>
    <w:p>
      <w:pPr>
        <w:ind w:firstLine="510"/>
        <w:spacing w:after="0" w:line="271" w:lineRule="auto"/>
        <w:rPr>
          <w:sz w:val="20"/>
          <w:szCs w:val="20"/>
          <w:color w:val="auto"/>
        </w:rPr>
      </w:pPr>
      <w:r>
        <w:rPr>
          <w:rFonts w:ascii="Arial" w:cs="Arial" w:eastAsia="Arial" w:hAnsi="Arial"/>
          <w:sz w:val="21"/>
          <w:szCs w:val="21"/>
          <w:color w:val="auto"/>
        </w:rPr>
        <w:t xml:space="preserve">16.4. </w:t>
      </w:r>
      <w:r>
        <w:rPr>
          <w:rFonts w:ascii="Arial" w:cs="Arial" w:eastAsia="Arial" w:hAnsi="Arial"/>
          <w:sz w:val="21"/>
          <w:szCs w:val="21"/>
          <w:u w:val="single" w:color="auto"/>
          <w:color w:val="auto"/>
        </w:rPr>
        <w:t>Share Transfer Restrictions</w:t>
      </w:r>
      <w:r>
        <w:rPr>
          <w:rFonts w:ascii="Arial" w:cs="Arial" w:eastAsia="Arial" w:hAnsi="Arial"/>
          <w:sz w:val="21"/>
          <w:szCs w:val="21"/>
          <w:color w:val="auto"/>
        </w:rPr>
        <w:t>. Any transfer or other disposition of Shares or any interest therein is subject to the prior approval of the Board, which, if granted (without any obligation to do so), may be subject to such terms, conditions and restrictions, as it deems appropriate. The terms, conditions and restrictions of any approval may differ from one Grantee to another, and need not be the same. Any transfer or otherwise grant of any interest in any Shares to any third party that does not comply with this Section shall be null and void and shall not confer upon any person, other than the Grantee, any rights. This Section shall terminate immediately after the public offering of securities of the Company pursuant to an effective registration statement filed under the Securities Act or equivalent law in another jurisdiction and the listing for trading on a stock exchange or market or trading system. This Section shall apply in addition to any other limitation, restriction and/or condition in this Plan (including, without limitation, after the application of Section 16), any Award Agreement, shareholders agreement, Company’s Articles of Association or other instrument between the Grantee and the Company or by which the Grantee is bound. This Section shall not apply to a transfer of Shares in a sale of all or substantially all of the shares of the Company which was approved by the Board or pursuant to the Company’s Articles of Association or upon a Change of Control.</w:t>
      </w:r>
    </w:p>
    <w:p>
      <w:pPr>
        <w:spacing w:after="0" w:line="229" w:lineRule="exact"/>
        <w:rPr>
          <w:sz w:val="20"/>
          <w:szCs w:val="20"/>
          <w:color w:val="auto"/>
        </w:rPr>
      </w:pPr>
    </w:p>
    <w:p>
      <w:pPr>
        <w:ind w:left="520" w:hanging="512"/>
        <w:spacing w:after="0"/>
        <w:tabs>
          <w:tab w:leader="none" w:pos="520" w:val="left"/>
        </w:tabs>
        <w:numPr>
          <w:ilvl w:val="0"/>
          <w:numId w:val="198"/>
        </w:numPr>
        <w:rPr>
          <w:rFonts w:ascii="Arial" w:cs="Arial" w:eastAsia="Arial" w:hAnsi="Arial"/>
          <w:sz w:val="18"/>
          <w:szCs w:val="18"/>
          <w:color w:val="auto"/>
        </w:rPr>
      </w:pPr>
      <w:r>
        <w:rPr>
          <w:rFonts w:ascii="Arial" w:cs="Arial" w:eastAsia="Arial" w:hAnsi="Arial"/>
          <w:sz w:val="18"/>
          <w:szCs w:val="18"/>
          <w:u w:val="single" w:color="auto"/>
          <w:color w:val="auto"/>
        </w:rPr>
        <w:t>MARKET STAND-OFF</w:t>
      </w:r>
    </w:p>
    <w:p>
      <w:pPr>
        <w:spacing w:after="0" w:line="285" w:lineRule="exact"/>
        <w:rPr>
          <w:sz w:val="20"/>
          <w:szCs w:val="20"/>
          <w:color w:val="auto"/>
        </w:rPr>
      </w:pPr>
    </w:p>
    <w:p>
      <w:pPr>
        <w:ind w:left="520"/>
        <w:spacing w:after="0"/>
        <w:tabs>
          <w:tab w:leader="none" w:pos="1480" w:val="left"/>
        </w:tabs>
        <w:rPr>
          <w:sz w:val="20"/>
          <w:szCs w:val="20"/>
          <w:color w:val="auto"/>
        </w:rPr>
      </w:pPr>
      <w:r>
        <w:rPr>
          <w:rFonts w:ascii="Arial" w:cs="Arial" w:eastAsia="Arial" w:hAnsi="Arial"/>
          <w:sz w:val="22"/>
          <w:szCs w:val="22"/>
          <w:color w:val="auto"/>
        </w:rPr>
        <w:t>17.1.</w:t>
      </w:r>
      <w:r>
        <w:rPr>
          <w:sz w:val="20"/>
          <w:szCs w:val="20"/>
          <w:color w:val="auto"/>
        </w:rPr>
        <w:tab/>
      </w:r>
      <w:r>
        <w:rPr>
          <w:rFonts w:ascii="Arial" w:cs="Arial" w:eastAsia="Arial" w:hAnsi="Arial"/>
          <w:sz w:val="19"/>
          <w:szCs w:val="19"/>
          <w:color w:val="auto"/>
        </w:rPr>
        <w:t>In connection with any underwritten public offering of equity securities of the Company pursuant to an</w:t>
      </w:r>
    </w:p>
    <w:p>
      <w:pPr>
        <w:spacing w:after="0" w:line="21" w:lineRule="exact"/>
        <w:rPr>
          <w:sz w:val="20"/>
          <w:szCs w:val="20"/>
          <w:color w:val="auto"/>
        </w:rPr>
      </w:pPr>
    </w:p>
    <w:p>
      <w:pPr>
        <w:spacing w:after="0"/>
        <w:rPr>
          <w:sz w:val="20"/>
          <w:szCs w:val="20"/>
          <w:color w:val="auto"/>
        </w:rPr>
      </w:pPr>
      <w:r>
        <w:rPr>
          <w:rFonts w:ascii="Arial" w:cs="Arial" w:eastAsia="Arial" w:hAnsi="Arial"/>
          <w:sz w:val="19"/>
          <w:szCs w:val="19"/>
          <w:color w:val="auto"/>
        </w:rPr>
        <w:t>effective registration statement filed under the Securities Act or equivalent law in another jurisdiction, the Grantee shall not</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directly or indirectly, without the prior written consent of the Company or its underwriters, (i) lend, offer, pledge, sell,</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contract to sell, sell any option or contract to purchase, purchase any option or contract to sell, grant any option, right or</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warrant to purchase, or otherwise transfer or dispose of, directly or indirectly, any Shares or other Awards, any securities of</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the Company (whether or not such Shares were acquired under this Plan), or any securities convertible into or exercisable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or exchangeable (directly or indirectly) for Shares or securities of the Company and any other shares or securities issued or</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distributed in respect thereto or in substitution thereof (collectively, “</w:t>
      </w:r>
      <w:r>
        <w:rPr>
          <w:rFonts w:ascii="Arial" w:cs="Arial" w:eastAsia="Arial" w:hAnsi="Arial"/>
          <w:sz w:val="21"/>
          <w:szCs w:val="21"/>
          <w:b w:val="1"/>
          <w:bCs w:val="1"/>
          <w:color w:val="auto"/>
        </w:rPr>
        <w:t>Securities</w:t>
      </w:r>
      <w:r>
        <w:rPr>
          <w:rFonts w:ascii="Arial" w:cs="Arial" w:eastAsia="Arial" w:hAnsi="Arial"/>
          <w:sz w:val="21"/>
          <w:szCs w:val="21"/>
          <w:color w:val="auto"/>
        </w:rPr>
        <w:t>”), or (ii) enter into any swap or other</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arrangement that transfers to another, in whole or in part, any of the economic consequences of ownership of the Securities,</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whether any such transaction described in clauses (i) or (ii) is to be settled by delivery of Securities, in cash or otherwise.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The foregoing provisions of this </w:t>
      </w:r>
      <w:r>
        <w:rPr>
          <w:rFonts w:ascii="Arial" w:cs="Arial" w:eastAsia="Arial" w:hAnsi="Arial"/>
          <w:sz w:val="19"/>
          <w:szCs w:val="19"/>
          <w:u w:val="single" w:color="auto"/>
          <w:color w:val="auto"/>
        </w:rPr>
        <w:t>Section 17.1</w:t>
      </w:r>
      <w:r>
        <w:rPr>
          <w:rFonts w:ascii="Arial" w:cs="Arial" w:eastAsia="Arial" w:hAnsi="Arial"/>
          <w:sz w:val="19"/>
          <w:szCs w:val="19"/>
          <w:color w:val="auto"/>
        </w:rPr>
        <w:t xml:space="preserve"> shall not apply to the sale of any shares to an underwriter pursuant to an</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underwriting agreement. Such restrictions (the “</w:t>
      </w:r>
      <w:r>
        <w:rPr>
          <w:rFonts w:ascii="Arial" w:cs="Arial" w:eastAsia="Arial" w:hAnsi="Arial"/>
          <w:sz w:val="21"/>
          <w:szCs w:val="21"/>
          <w:b w:val="1"/>
          <w:bCs w:val="1"/>
          <w:color w:val="auto"/>
        </w:rPr>
        <w:t>Market Stand-Off</w:t>
      </w:r>
      <w:r>
        <w:rPr>
          <w:rFonts w:ascii="Arial" w:cs="Arial" w:eastAsia="Arial" w:hAnsi="Arial"/>
          <w:sz w:val="21"/>
          <w:szCs w:val="21"/>
          <w:color w:val="auto"/>
        </w:rPr>
        <w:t>”) shall be in effect for such period of time (the</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color w:val="auto"/>
        </w:rPr>
        <w:t>Market Stand-Off Period</w:t>
      </w:r>
      <w:r>
        <w:rPr>
          <w:rFonts w:ascii="Arial" w:cs="Arial" w:eastAsia="Arial" w:hAnsi="Arial"/>
          <w:sz w:val="19"/>
          <w:szCs w:val="19"/>
          <w:color w:val="auto"/>
        </w:rPr>
        <w:t>”): (A) following the first public filing of the registration statement relating to the underwritten</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public offering until the extirpation of 180 days following the effective date of such registration statement relating to the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Company’s initial public offering or 90 days following the effective date of such registration statement relating to any other</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public offering, in each case, provided, however, that if (1) during the last 17 days of the initial Market Stand-Off Period,</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the Company releases earnings results or announces material news or a material event or (2) prior to the expiration of the</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initial Market Stand-Off Period, the Company announces that it will release earnings results during the 15-day period</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following the last day of the initial Market Stand-Off Period, then in each case the Market Stand-Off Period will be</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automatically extended until the expiration of the 18-day period beginning on the date of release of the earnings results or</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color w:val="auto"/>
        </w:rPr>
        <w:t>the announcement of the material news or material event; or (B) such other period as shall be requested by the Company or</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the underwriters. Notwithstanding anything herein to the contrary, if the underwriter(s) and the Company agree on a</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termination date of the Market Stand-Off Period in the event of failure to consummate a certain public offering, then such</w:t>
      </w:r>
    </w:p>
    <w:p>
      <w:pPr>
        <w:spacing w:after="0" w:line="52" w:lineRule="exact"/>
        <w:rPr>
          <w:sz w:val="20"/>
          <w:szCs w:val="20"/>
          <w:color w:val="auto"/>
        </w:rPr>
      </w:pPr>
    </w:p>
    <w:p>
      <w:pPr>
        <w:spacing w:after="0"/>
        <w:rPr>
          <w:sz w:val="20"/>
          <w:szCs w:val="20"/>
          <w:color w:val="auto"/>
        </w:rPr>
      </w:pPr>
      <w:r>
        <w:rPr>
          <w:rFonts w:ascii="Arial" w:cs="Arial" w:eastAsia="Arial" w:hAnsi="Arial"/>
          <w:sz w:val="21"/>
          <w:szCs w:val="21"/>
          <w:color w:val="auto"/>
        </w:rPr>
        <w:t>termination shall apply also to the Market Stand-Off Period hereunder with respect to that particular public offering.</w:t>
      </w:r>
    </w:p>
    <w:p>
      <w:pPr>
        <w:sectPr>
          <w:pgSz w:w="11900" w:h="16838" w:orient="portrait"/>
          <w:cols w:equalWidth="0" w:num="1">
            <w:col w:w="10720"/>
          </w:cols>
          <w:pgMar w:left="320" w:top="132" w:right="859" w:bottom="1440" w:gutter="0" w:footer="0" w:header="0"/>
        </w:sectPr>
      </w:pPr>
    </w:p>
    <w:p>
      <w:pPr>
        <w:spacing w:after="0" w:line="200" w:lineRule="exact"/>
        <w:rPr>
          <w:sz w:val="20"/>
          <w:szCs w:val="20"/>
          <w:color w:val="auto"/>
        </w:rPr>
      </w:pPr>
    </w:p>
    <w:p>
      <w:pPr>
        <w:spacing w:after="0" w:line="256" w:lineRule="exact"/>
        <w:rPr>
          <w:sz w:val="20"/>
          <w:szCs w:val="20"/>
          <w:color w:val="auto"/>
        </w:rPr>
      </w:pPr>
    </w:p>
    <w:p>
      <w:pPr>
        <w:jc w:val="center"/>
        <w:ind w:right="-539"/>
        <w:spacing w:after="0"/>
        <w:rPr>
          <w:sz w:val="20"/>
          <w:szCs w:val="20"/>
          <w:color w:val="auto"/>
        </w:rPr>
      </w:pPr>
      <w:r>
        <w:rPr>
          <w:rFonts w:ascii="Arial" w:cs="Arial" w:eastAsia="Arial" w:hAnsi="Arial"/>
          <w:sz w:val="19"/>
          <w:szCs w:val="19"/>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132" w:right="859" w:bottom="1440" w:gutter="0" w:footer="0" w:header="0"/>
          <w:type w:val="continuous"/>
        </w:sectPr>
      </w:pPr>
    </w:p>
    <w:bookmarkStart w:id="215" w:name="page216"/>
    <w:bookmarkEnd w:id="215"/>
    <w:p>
      <w:pPr>
        <w:ind w:right="20" w:firstLine="510"/>
        <w:spacing w:after="0" w:line="306" w:lineRule="auto"/>
        <w:rPr>
          <w:sz w:val="20"/>
          <w:szCs w:val="20"/>
          <w:color w:val="auto"/>
        </w:rPr>
      </w:pPr>
      <w:r>
        <w:rPr>
          <w:rFonts w:ascii="Arial" w:cs="Arial" w:eastAsia="Arial" w:hAnsi="Arial"/>
          <w:sz w:val="19"/>
          <w:szCs w:val="19"/>
          <w:color w:val="auto"/>
        </w:rPr>
        <w:t>17.2. In the event of a subdivision of the outstanding share capital of the Company, the distribution of any securities (whether or not of the Company), whether as bonus shares or otherwise, and whether as dividend or otherwise, a recapitalization, a reorganization (which may include a combination or exchange of shares or a similar transaction affecting the Company’s outstanding securities without receipt of consideration), a consolidation, a spin-off or other corporate divestiture or division, a reclassification or other similar occurrence, any new, substituted or additional securities which are by reason of such transaction distributed with respect to any Shares subject to the Market Stand-Off, or into which such Shares thereby become convertible, shall immediately be subject to the Market Stand-Off.</w:t>
      </w:r>
    </w:p>
    <w:p>
      <w:pPr>
        <w:spacing w:after="0" w:line="210" w:lineRule="exact"/>
        <w:rPr>
          <w:sz w:val="20"/>
          <w:szCs w:val="20"/>
          <w:color w:val="auto"/>
        </w:rPr>
      </w:pPr>
    </w:p>
    <w:p>
      <w:pPr>
        <w:ind w:firstLine="510"/>
        <w:spacing w:after="0" w:line="276" w:lineRule="auto"/>
        <w:rPr>
          <w:sz w:val="20"/>
          <w:szCs w:val="20"/>
          <w:color w:val="auto"/>
        </w:rPr>
      </w:pPr>
      <w:r>
        <w:rPr>
          <w:rFonts w:ascii="Arial" w:cs="Arial" w:eastAsia="Arial" w:hAnsi="Arial"/>
          <w:sz w:val="22"/>
          <w:szCs w:val="22"/>
          <w:color w:val="auto"/>
        </w:rPr>
        <w:t>17.3. In order to enforce the Market Stand-Off, the Company may impose stop-transfer instructions with respect to the Shares acquired under this Plan until the end of the applicable Market Stand-Off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1798955</wp:posOffset>
            </wp:positionH>
            <wp:positionV relativeFrom="paragraph">
              <wp:posOffset>-106680</wp:posOffset>
            </wp:positionV>
            <wp:extent cx="34290"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5">
                      <a:extLst>
                        <a:ext uri="{28A0092B-C50C-407E-A947-70E740481C1C}"/>
                      </a:extLst>
                    </a:blip>
                    <a:srcRect/>
                    <a:stretch>
                      <a:fillRect/>
                    </a:stretch>
                  </pic:blipFill>
                  <pic:spPr bwMode="auto">
                    <a:xfrm>
                      <a:off x="0" y="0"/>
                      <a:ext cx="34290" cy="8255"/>
                    </a:xfrm>
                    <a:prstGeom prst="rect">
                      <a:avLst/>
                    </a:prstGeom>
                    <a:noFill/>
                  </pic:spPr>
                </pic:pic>
              </a:graphicData>
            </a:graphic>
          </wp:anchor>
        </w:drawing>
      </w:r>
    </w:p>
    <w:p>
      <w:pPr>
        <w:spacing w:after="0" w:line="208" w:lineRule="exact"/>
        <w:rPr>
          <w:sz w:val="20"/>
          <w:szCs w:val="20"/>
          <w:color w:val="auto"/>
        </w:rPr>
      </w:pPr>
    </w:p>
    <w:p>
      <w:pPr>
        <w:ind w:firstLine="510"/>
        <w:spacing w:after="0" w:line="306" w:lineRule="auto"/>
        <w:rPr>
          <w:sz w:val="20"/>
          <w:szCs w:val="20"/>
          <w:color w:val="auto"/>
        </w:rPr>
      </w:pPr>
      <w:r>
        <w:rPr>
          <w:rFonts w:ascii="Arial" w:cs="Arial" w:eastAsia="Arial" w:hAnsi="Arial"/>
          <w:sz w:val="19"/>
          <w:szCs w:val="19"/>
          <w:color w:val="auto"/>
        </w:rPr>
        <w:t>17.4. The underwriters in connection with a registration statement so filed are intended third party beneficiaries of this Section 17 and shall have the right, power and authority to enforce the provisions hereof as though they were a party hereto. Each Grantee shall execute such separate agreement(s) as may be requested by the Company or the underwriters in connection with such registration statement and in the form required by them, relating to Market Stand-Off (which need not be identical to the provisions of this Section 17, and may include such additional provisions and restrictions as the underwriters deem advisable) or that are necessary to give further effect thereto. The execution of such separate agreement(s) may be a condition by the Company to the exercise of any Award.</w:t>
      </w:r>
    </w:p>
    <w:p>
      <w:pPr>
        <w:spacing w:after="0" w:line="210" w:lineRule="exact"/>
        <w:rPr>
          <w:sz w:val="20"/>
          <w:szCs w:val="20"/>
          <w:color w:val="auto"/>
        </w:rPr>
      </w:pPr>
    </w:p>
    <w:p>
      <w:pPr>
        <w:jc w:val="both"/>
        <w:ind w:right="140" w:firstLine="510"/>
        <w:spacing w:after="0" w:line="266" w:lineRule="auto"/>
        <w:rPr>
          <w:sz w:val="20"/>
          <w:szCs w:val="20"/>
          <w:color w:val="auto"/>
        </w:rPr>
      </w:pPr>
      <w:r>
        <w:rPr>
          <w:rFonts w:ascii="Arial" w:cs="Arial" w:eastAsia="Arial" w:hAnsi="Arial"/>
          <w:sz w:val="22"/>
          <w:szCs w:val="22"/>
          <w:color w:val="auto"/>
        </w:rPr>
        <w:t>17.5. Without derogating from the above provisions of this Section 17 or elsewhere in this Plan, the provisions of this Section 17 shall apply to the Grantee and the Grantee’s heirs, legal representatives, successors, assigns, and to any purchaser, assignee or transferee of any Awards or Shares.</w:t>
      </w:r>
    </w:p>
    <w:p>
      <w:pPr>
        <w:spacing w:after="0" w:line="233" w:lineRule="exact"/>
        <w:rPr>
          <w:sz w:val="20"/>
          <w:szCs w:val="20"/>
          <w:color w:val="auto"/>
        </w:rPr>
      </w:pPr>
    </w:p>
    <w:p>
      <w:pPr>
        <w:ind w:left="520" w:hanging="512"/>
        <w:spacing w:after="0"/>
        <w:tabs>
          <w:tab w:leader="none" w:pos="520" w:val="left"/>
        </w:tabs>
        <w:numPr>
          <w:ilvl w:val="0"/>
          <w:numId w:val="199"/>
        </w:numPr>
        <w:rPr>
          <w:rFonts w:ascii="Arial" w:cs="Arial" w:eastAsia="Arial" w:hAnsi="Arial"/>
          <w:sz w:val="18"/>
          <w:szCs w:val="18"/>
          <w:color w:val="auto"/>
        </w:rPr>
      </w:pPr>
      <w:r>
        <w:rPr>
          <w:rFonts w:ascii="Arial" w:cs="Arial" w:eastAsia="Arial" w:hAnsi="Arial"/>
          <w:sz w:val="18"/>
          <w:szCs w:val="18"/>
          <w:u w:val="single" w:color="auto"/>
          <w:color w:val="auto"/>
        </w:rPr>
        <w:t>AGREEMENT REGARDING TAXES; DISCLAIMER</w:t>
      </w:r>
      <w:r>
        <w:rPr>
          <w:rFonts w:ascii="Arial" w:cs="Arial" w:eastAsia="Arial" w:hAnsi="Arial"/>
          <w:sz w:val="18"/>
          <w:szCs w:val="18"/>
          <w:color w:val="auto"/>
        </w:rPr>
        <w:t>.</w:t>
      </w:r>
    </w:p>
    <w:p>
      <w:pPr>
        <w:spacing w:after="0" w:line="285" w:lineRule="exact"/>
        <w:rPr>
          <w:sz w:val="20"/>
          <w:szCs w:val="20"/>
          <w:color w:val="auto"/>
        </w:rPr>
      </w:pPr>
    </w:p>
    <w:p>
      <w:pPr>
        <w:ind w:right="200" w:firstLine="510"/>
        <w:spacing w:after="0" w:line="261" w:lineRule="auto"/>
        <w:rPr>
          <w:sz w:val="20"/>
          <w:szCs w:val="20"/>
          <w:color w:val="auto"/>
        </w:rPr>
      </w:pPr>
      <w:r>
        <w:rPr>
          <w:rFonts w:ascii="Arial" w:cs="Arial" w:eastAsia="Arial" w:hAnsi="Arial"/>
          <w:sz w:val="22"/>
          <w:szCs w:val="22"/>
          <w:color w:val="auto"/>
        </w:rPr>
        <w:t>18.1. If the Committee shall so require, as a condition of exercise of an Award, the release of Shares by the Trustee or the expiration of the Restricted Period, a Grantee shall agree that, no later than the date of such occurrence, the Grantee will pay to the Company (or the Trustee, as applicable) or make arrangements satisfactory to the Committee and the Trustee (if applicable) regarding payment of any applicable taxes and compulsory payments of any kind required by Applicable Law to be withheld or paid.</w:t>
      </w:r>
    </w:p>
    <w:p>
      <w:pPr>
        <w:spacing w:after="0" w:line="244" w:lineRule="exact"/>
        <w:rPr>
          <w:sz w:val="20"/>
          <w:szCs w:val="20"/>
          <w:color w:val="auto"/>
        </w:rPr>
      </w:pPr>
    </w:p>
    <w:p>
      <w:pPr>
        <w:ind w:firstLine="506"/>
        <w:spacing w:after="0" w:line="271" w:lineRule="auto"/>
        <w:rPr>
          <w:sz w:val="20"/>
          <w:szCs w:val="20"/>
          <w:color w:val="auto"/>
        </w:rPr>
      </w:pPr>
      <w:r>
        <w:rPr>
          <w:rFonts w:ascii="Arial" w:cs="Arial" w:eastAsia="Arial" w:hAnsi="Arial"/>
          <w:sz w:val="21"/>
          <w:szCs w:val="21"/>
          <w:color w:val="auto"/>
        </w:rPr>
        <w:t xml:space="preserve">18.2. </w:t>
      </w:r>
      <w:r>
        <w:rPr>
          <w:rFonts w:ascii="Arial" w:cs="Arial" w:eastAsia="Arial" w:hAnsi="Arial"/>
          <w:sz w:val="21"/>
          <w:szCs w:val="21"/>
          <w:u w:val="single" w:color="auto"/>
          <w:color w:val="auto"/>
        </w:rPr>
        <w:t>TAX LIABILITY</w:t>
      </w:r>
      <w:r>
        <w:rPr>
          <w:rFonts w:ascii="Arial" w:cs="Arial" w:eastAsia="Arial" w:hAnsi="Arial"/>
          <w:sz w:val="21"/>
          <w:szCs w:val="21"/>
          <w:color w:val="auto"/>
        </w:rPr>
        <w:t>. ALL TAX CONSEQUENCES UNDER ANY APPLICABLE LAW WHICH MAY ARISE FROM THE GRANT OF ANY AWARDS OR THE EXERCISE THEREOF, THE SALE OR DISPOSITION OF ANY SHARES GRANTED HEREUNDER OR ISSUED UPON EXERCISE OR (IF APPLICABLE) THE VESTING OF ANY AWARD, THE ASSUMPTION, SUBSTITUTION, CANCELLATION OR PAYMENT IN LIEU OF AWARDS OR FROM ANY OTHER ACTION IN CONNECTION WITH THE FOREGOING (INCLUDING WITHOUT LIMITATION ANY TAXES AND COMPULSORY PAYMENTS, SUCH AS SOCIAL SECURITY OR HEALTH TAX PAYABLE BY THE GRANTEE OR THE COMPANY IN CONNECTION THEREWITH) SHALL BE BORNE AND PAID SOLELY BY THE GRANTEE, AND THE GRANTEE SHALL INDEMNIFY THE COMPANY, ITS SUBSIDIARIES AND AFFILIATES AND THE TRUSTEE, AND SHALL HOLD THEM HARMLESS AGAINST AND FROM ANY LIABILITY FOR ANY SUCH TAX OR PAYMENT OR ANY PENALTY, INTEREST OR INDEXATION THEREON. EACH GRANTEE AGREES TO, AND UNDERTAKES TO COMPLY WITH, ANY RULING, SETTLEMENT, CLOSING AGREEMENT OR OTHER SIMILAR AGREEMENT OR ARRANGEMENT WITH ANY TAX AUTHORITY IN CONNECTION WITH THE FOREGOING WHICH IS APPROVED BY THE COMPANY.</w:t>
      </w:r>
    </w:p>
    <w:p>
      <w:pPr>
        <w:spacing w:after="0" w:line="397"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00"/>
          </w:cols>
          <w:pgMar w:left="320" w:top="402" w:right="879" w:bottom="1440" w:gutter="0" w:footer="0" w:header="0"/>
        </w:sectPr>
      </w:pPr>
    </w:p>
    <w:bookmarkStart w:id="216" w:name="page217"/>
    <w:bookmarkEnd w:id="216"/>
    <w:p>
      <w:pPr>
        <w:ind w:right="260" w:firstLine="510"/>
        <w:spacing w:after="0" w:line="279" w:lineRule="auto"/>
        <w:rPr>
          <w:sz w:val="20"/>
          <w:szCs w:val="20"/>
          <w:color w:val="auto"/>
        </w:rPr>
      </w:pPr>
      <w:r>
        <w:rPr>
          <w:rFonts w:ascii="Arial" w:cs="Arial" w:eastAsia="Arial" w:hAnsi="Arial"/>
          <w:sz w:val="21"/>
          <w:szCs w:val="21"/>
          <w:color w:val="auto"/>
        </w:rPr>
        <w:t xml:space="preserve">18.3. </w:t>
      </w:r>
      <w:r>
        <w:rPr>
          <w:rFonts w:ascii="Arial" w:cs="Arial" w:eastAsia="Arial" w:hAnsi="Arial"/>
          <w:sz w:val="21"/>
          <w:szCs w:val="21"/>
          <w:u w:val="single" w:color="auto"/>
          <w:color w:val="auto"/>
        </w:rPr>
        <w:t>NO TAX ADVICE</w:t>
      </w:r>
      <w:r>
        <w:rPr>
          <w:rFonts w:ascii="Arial" w:cs="Arial" w:eastAsia="Arial" w:hAnsi="Arial"/>
          <w:sz w:val="21"/>
          <w:szCs w:val="21"/>
          <w:color w:val="auto"/>
        </w:rPr>
        <w:t>. THE GRANTEE IS ADVISED TO CONSULT WITH A TAX ADVISOR WITH RESPECT TO THE TAX CONSEQUENCES OF RECEIVING, EXERCISING OR DISPOSING OF AWARDS HEREUNDER. THE COMPANY DOES NOT ASSUME ANY RESPONSIBILITY TO ADVISE THE GRANTEE ON SUCH MATTERS, WHICH SHALL REMAIN SOLELY THE RESPONSIBILITY OF THE GRANTEE.</w:t>
      </w:r>
    </w:p>
    <w:p>
      <w:pPr>
        <w:spacing w:after="0" w:line="227" w:lineRule="exact"/>
        <w:rPr>
          <w:sz w:val="20"/>
          <w:szCs w:val="20"/>
          <w:color w:val="auto"/>
        </w:rPr>
      </w:pPr>
    </w:p>
    <w:p>
      <w:pPr>
        <w:ind w:firstLine="510"/>
        <w:spacing w:after="0" w:line="269" w:lineRule="auto"/>
        <w:rPr>
          <w:sz w:val="20"/>
          <w:szCs w:val="20"/>
          <w:color w:val="auto"/>
        </w:rPr>
      </w:pPr>
      <w:r>
        <w:rPr>
          <w:rFonts w:ascii="Arial" w:cs="Arial" w:eastAsia="Arial" w:hAnsi="Arial"/>
          <w:sz w:val="21"/>
          <w:szCs w:val="21"/>
          <w:color w:val="auto"/>
        </w:rPr>
        <w:t xml:space="preserve">18.4. </w:t>
      </w:r>
      <w:r>
        <w:rPr>
          <w:rFonts w:ascii="Arial" w:cs="Arial" w:eastAsia="Arial" w:hAnsi="Arial"/>
          <w:sz w:val="21"/>
          <w:szCs w:val="21"/>
          <w:u w:val="single" w:color="auto"/>
          <w:color w:val="auto"/>
        </w:rPr>
        <w:t>TAX TREATMENT</w:t>
      </w:r>
      <w:r>
        <w:rPr>
          <w:rFonts w:ascii="Arial" w:cs="Arial" w:eastAsia="Arial" w:hAnsi="Arial"/>
          <w:sz w:val="21"/>
          <w:szCs w:val="21"/>
          <w:color w:val="auto"/>
        </w:rPr>
        <w:t>. THE COMPANY DOES NOT UNDERTAKE OR ASSUME ANY LIABILITY OR RESPONSIBILITY TO THE EFFECT THAT ANY AWARD SHALL QUALIFY WITH ANY PARTICULAR TAX REGIME OR RULES APPLYING TO PARTICULAR TAX TREATMENT, OR BENEFIT FROM ANY PARTICULAR TAX TREATMENT OR TAX ADVANTAGE OF ANY TYPE AND THE COMPANY SHALL BEAR NO LIABILITY IN CONNECTION WITH THE MANNER IN WHICH ANY AWARD IS EVENTUALLY TREATED FOR TAX PURPOSES, REGARDLESS OF WHETHER THE AWARD WAS GRANTED OR WAS INTENDED TO QUALIFY UNDER ANY PARTICULAR TAX REGIME OR TREATMENT. THIS PROVISION SHALL SUPERSEDE ANY TYPE OF AWARDS OR TAX QUALIFICATION INDICATED IN ANY CORPORATE RESOLUTION OR AWARD AGREEMENT, WHICH SHALL AT ALL TIMES BE SUBJECT TO THE REQUIREMENTS OF APPLICABLE LAW. THE COMPANY DOES NOT UNDERTAKE AND SHALL NOT BE REQUIRED TO TAKE ANY ACTION IN ORDER TO QUALIFY THE AWARD WITH THE REQUIREMENT OF ANY PARTICULAR TAX TREATMENT AND NO INDICATION IN ANY DOCUMENT TO THE EFFECT THAT ANY AWARD IS INTENDED TO QUALIFY FOR ANY TAX TREATMENT SHALL IMPLY SUCH AN UNDERTAKING. NO ASSURANCE IS MADE BY THE COMPANY OR ANY OF ITS AFFILIATES THAT ANY PARTICULAR TAX TREATMENT ON THE DATE OF GRANT WILL CONTINUE TO EXIST OR THAT THE AWARD WOULD QUALIFY AT THE TIME OF EXERCISE OR DISPOSITION THEREOF WITH ANY PARTICULAR TAX TREATMENT. THE COMPANY AND ITS AFFILIATES SHALL NOT HAVE ANY LIABILITY OR OBLIGATION OF ANY NATURE IN THE EVENT THAT AN AWARD DOES NOT QUALIFY FOR ANY PARTICULAR TAX TREATMENT, REGARDLESS WHETHER THE COMPANY COULD HAVE OR SHOULD HAVE TAKEN ANY ACTION TO CAUSE SUCH QUALIFICATION TO BE MET AND SUCH QUALIFICATION REMAINS AT ALL TIMES AND UNDER ALL CIRCUMSTANCES AT THE RISK OF THE GRANTEE. THE COMPANY DOES NOT UNDERTAKE OR ASSUME ANY LIABILITY TO CONTEST A DETERMINATION OR INTERPRETATION (WHETHER WRITTEN OR UNWRITTEN) OF ANY TAX AUTHORITIES, INCLUDING IN RESPECT OF THE QUALIFICATION UNDER ANY PARTICULAR TAX REGIME OR RULES APPLYING TO PARTICULAR TAX TREATMENT. IF THE AWARDS DO NOT QUALIFY UNDER ANY PARTICULAR TAX TREATMENT IT COULD RESULT IN ADVERSE TAX CONSEQUENCES TO THE GRANTEE.</w:t>
      </w:r>
    </w:p>
    <w:p>
      <w:pPr>
        <w:spacing w:after="0" w:line="200" w:lineRule="exact"/>
        <w:rPr>
          <w:sz w:val="20"/>
          <w:szCs w:val="20"/>
          <w:color w:val="auto"/>
        </w:rPr>
      </w:pPr>
    </w:p>
    <w:p>
      <w:pPr>
        <w:spacing w:after="0" w:line="215" w:lineRule="exact"/>
        <w:rPr>
          <w:sz w:val="20"/>
          <w:szCs w:val="20"/>
          <w:color w:val="auto"/>
        </w:rPr>
      </w:pPr>
    </w:p>
    <w:p>
      <w:pPr>
        <w:jc w:val="center"/>
        <w:ind w:right="-559"/>
        <w:spacing w:after="0"/>
        <w:rPr>
          <w:sz w:val="20"/>
          <w:szCs w:val="20"/>
          <w:color w:val="auto"/>
        </w:rPr>
      </w:pPr>
      <w:r>
        <w:rPr>
          <w:rFonts w:ascii="Arial" w:cs="Arial" w:eastAsia="Arial" w:hAnsi="Arial"/>
          <w:sz w:val="22"/>
          <w:szCs w:val="2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00"/>
          </w:cols>
          <w:pgMar w:left="320" w:top="402" w:right="879" w:bottom="1440" w:gutter="0" w:footer="0" w:header="0"/>
        </w:sectPr>
      </w:pPr>
    </w:p>
    <w:bookmarkStart w:id="217" w:name="page218"/>
    <w:bookmarkEnd w:id="217"/>
    <w:p>
      <w:pPr>
        <w:ind w:firstLine="510"/>
        <w:spacing w:after="0" w:line="302" w:lineRule="auto"/>
        <w:rPr>
          <w:sz w:val="20"/>
          <w:szCs w:val="20"/>
          <w:color w:val="auto"/>
        </w:rPr>
      </w:pPr>
      <w:r>
        <w:rPr>
          <w:rFonts w:ascii="Arial" w:cs="Arial" w:eastAsia="Arial" w:hAnsi="Arial"/>
          <w:sz w:val="19"/>
          <w:szCs w:val="19"/>
          <w:color w:val="auto"/>
        </w:rPr>
        <w:t>18.5. The Company or any Subsidiary or Affiliate may take such action as it may deem necessary or appropriate, in its discretion, for the purpose of or in connection with withholding of any taxes and compulsory payments which the Trustee, the Company or any Subsidiary or Affiliate is required by any Applicable Law to withhold in connection with any Awards (collectively, “</w:t>
      </w:r>
      <w:r>
        <w:rPr>
          <w:rFonts w:ascii="Arial" w:cs="Arial" w:eastAsia="Arial" w:hAnsi="Arial"/>
          <w:sz w:val="19"/>
          <w:szCs w:val="19"/>
          <w:b w:val="1"/>
          <w:bCs w:val="1"/>
          <w:color w:val="auto"/>
        </w:rPr>
        <w:t>Withholding Obligations</w:t>
      </w:r>
      <w:r>
        <w:rPr>
          <w:rFonts w:ascii="Arial" w:cs="Arial" w:eastAsia="Arial" w:hAnsi="Arial"/>
          <w:sz w:val="19"/>
          <w:szCs w:val="19"/>
          <w:color w:val="auto"/>
        </w:rPr>
        <w:t>”). Such actions may include (i) requiring a Grantees to remit to the Company in cash an amount sufficient to satisfy such Withholding Obligations and any other taxes and compulsory payments, payable by the Company in connection with the Award or the exercise or (if applicable) the vesting thereof; (ii) subject to Applicable Law, allowing the Grantees to provide Shares to the Company, in an amount that at such time, reflects a value that the Committee determines to be sufficient to satisfy such Withholding Obligations; (iii) withholding Shares otherwise issuable upon the exercise of an Award at a value which is determined by the Committee to be sufficient to satisfy such Withholding Obligations; or (iv) any combination of the foregoing. The Company shall not be obligated to allow the exercise of any Award by or on behalf of a Grantee until all tax consequences arising from the exercise of such Award are resolved in a manner acceptable to the Company.</w:t>
      </w:r>
    </w:p>
    <w:p>
      <w:pPr>
        <w:spacing w:after="0" w:line="211" w:lineRule="exact"/>
        <w:rPr>
          <w:sz w:val="20"/>
          <w:szCs w:val="20"/>
          <w:color w:val="auto"/>
        </w:rPr>
      </w:pPr>
    </w:p>
    <w:p>
      <w:pPr>
        <w:ind w:firstLine="510"/>
        <w:spacing w:after="0" w:line="306" w:lineRule="auto"/>
        <w:rPr>
          <w:sz w:val="20"/>
          <w:szCs w:val="20"/>
          <w:color w:val="auto"/>
        </w:rPr>
      </w:pPr>
      <w:r>
        <w:rPr>
          <w:rFonts w:ascii="Arial" w:cs="Arial" w:eastAsia="Arial" w:hAnsi="Arial"/>
          <w:sz w:val="19"/>
          <w:szCs w:val="19"/>
          <w:color w:val="auto"/>
        </w:rPr>
        <w:t>18.6. Each Grantee shall notify the Company in writing promptly and in any event within ten (10) days after the date on which such Grantee first obtains knowledge of any tax bureau inquiry, audit, assertion, determination, investigation, or question relating in any manner to the Awards granted or received hereunder or Shares issued thereunder and shall continuously inform the Company of any developments, proceedings, discussions and negotiations relating to such matter, and shall allow the Company and its representatives to participate in any proceedings and discussions concerning such matters. Upon request, a Grantee shall provide to the Company any information or document relating to any matter described in the preceding sentence, which the Company, in its discretion, requires.</w:t>
      </w:r>
    </w:p>
    <w:p>
      <w:pPr>
        <w:spacing w:after="0" w:line="210" w:lineRule="exact"/>
        <w:rPr>
          <w:sz w:val="20"/>
          <w:szCs w:val="20"/>
          <w:color w:val="auto"/>
        </w:rPr>
      </w:pPr>
    </w:p>
    <w:p>
      <w:pPr>
        <w:ind w:right="80" w:firstLine="510"/>
        <w:spacing w:after="0" w:line="262" w:lineRule="auto"/>
        <w:rPr>
          <w:sz w:val="20"/>
          <w:szCs w:val="20"/>
          <w:color w:val="auto"/>
        </w:rPr>
      </w:pPr>
      <w:r>
        <w:rPr>
          <w:rFonts w:ascii="Arial" w:cs="Arial" w:eastAsia="Arial" w:hAnsi="Arial"/>
          <w:sz w:val="22"/>
          <w:szCs w:val="22"/>
          <w:color w:val="auto"/>
        </w:rPr>
        <w:t>18.7. With respect to 102 Non-Trustee Options, if the Grantee ceases to be employed by the Company or any Affiliate, the Grantee shall extend to the Company and/or its Affiliate with whom the Grantee is employed a security or guarantee for the payment of taxes due at the time of sale of Shares, all in accordance with the provisions of Section 102 of the Ordinance and the Rules.</w:t>
      </w:r>
    </w:p>
    <w:p>
      <w:pPr>
        <w:spacing w:after="0" w:line="245" w:lineRule="exact"/>
        <w:rPr>
          <w:sz w:val="20"/>
          <w:szCs w:val="20"/>
          <w:color w:val="auto"/>
        </w:rPr>
      </w:pPr>
    </w:p>
    <w:p>
      <w:pPr>
        <w:ind w:right="20" w:firstLine="510"/>
        <w:spacing w:after="0" w:line="271" w:lineRule="auto"/>
        <w:rPr>
          <w:sz w:val="20"/>
          <w:szCs w:val="20"/>
          <w:color w:val="auto"/>
        </w:rPr>
      </w:pPr>
      <w:r>
        <w:rPr>
          <w:rFonts w:ascii="Arial" w:cs="Arial" w:eastAsia="Arial" w:hAnsi="Arial"/>
          <w:sz w:val="21"/>
          <w:szCs w:val="21"/>
          <w:color w:val="auto"/>
        </w:rPr>
        <w:t>18.8. For the purpose hereof “tax(es)” means (a) all federal, state, local or foreign taxes, charges, fees, imposts, levies or other assessments, including all income, capital gains, transfer, withholding, payroll, employment, social security, national security, health tax, wealth surtax, stamp, registration and estimated taxes, customs duties, fees, assessments and charges of any similar kind whatsoever (including under Section 280G of the Code), (b) all interest, indexation differentials, penalties, fines, additions to tax or additional amounts imposed by any taxing authority in connection with any item described in clause (a), (c) any transferee or successor liability in respect of any items described in clauses (a) or (b) payable by reason of contract, assumption, transferee liability, successor liability, operation of Applicable Law, or as a result of any express or implied obligation to assume Taxes or to indemnify any other person, and (d) any liability for the payment of any amounts of the type described in clause (a) or (b) payable as a result of being a member of an affiliated, consolidated, combined, unitary or aggregate group for any taxable period, including under U.S. Treasury Regulations Section 1.1502-6(a) (or any predecessor or successor thereof of any analogous or similar provision under Law) or otherwise.</w:t>
      </w:r>
    </w:p>
    <w:p>
      <w:pPr>
        <w:spacing w:after="0" w:line="238" w:lineRule="exact"/>
        <w:rPr>
          <w:sz w:val="20"/>
          <w:szCs w:val="20"/>
          <w:color w:val="auto"/>
        </w:rPr>
      </w:pPr>
    </w:p>
    <w:p>
      <w:pPr>
        <w:ind w:right="100" w:firstLine="510"/>
        <w:spacing w:after="0" w:line="311" w:lineRule="auto"/>
        <w:rPr>
          <w:sz w:val="20"/>
          <w:szCs w:val="20"/>
          <w:color w:val="auto"/>
        </w:rPr>
      </w:pPr>
      <w:r>
        <w:rPr>
          <w:rFonts w:ascii="Arial" w:cs="Arial" w:eastAsia="Arial" w:hAnsi="Arial"/>
          <w:sz w:val="19"/>
          <w:szCs w:val="19"/>
          <w:color w:val="auto"/>
        </w:rPr>
        <w:t>18.9. If a Grantee makes an election under Section 83(b) of the Code to be taxed with respect to an Award as of the date of transfer of Shares rather than as of the date or dates upon which the Grantee would otherwise be taxable under Section 83(a) of the Code, such Grantee shall deliver a copy of such election to the Company upon or prior to the filing such election with the U.S. Internal Revenue Service. Neither the Company nor any Affiliate shall have any liability or responsibility relating to or arising out of the filing or not filing of any such election or any defects in its construction.</w:t>
      </w:r>
    </w:p>
    <w:p>
      <w:pPr>
        <w:spacing w:after="0" w:line="366" w:lineRule="exact"/>
        <w:rPr>
          <w:sz w:val="20"/>
          <w:szCs w:val="20"/>
          <w:color w:val="auto"/>
        </w:rPr>
      </w:pPr>
    </w:p>
    <w:p>
      <w:pPr>
        <w:jc w:val="center"/>
        <w:ind w:right="-519"/>
        <w:spacing w:after="0"/>
        <w:rPr>
          <w:sz w:val="20"/>
          <w:szCs w:val="20"/>
          <w:color w:val="auto"/>
        </w:rPr>
      </w:pPr>
      <w:r>
        <w:rPr>
          <w:rFonts w:ascii="Arial" w:cs="Arial" w:eastAsia="Arial" w:hAnsi="Arial"/>
          <w:sz w:val="22"/>
          <w:szCs w:val="2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402" w:right="859" w:bottom="1440" w:gutter="0" w:footer="0" w:header="0"/>
        </w:sectPr>
      </w:pPr>
    </w:p>
    <w:bookmarkStart w:id="218" w:name="page219"/>
    <w:bookmarkEnd w:id="218"/>
    <w:p>
      <w:pPr>
        <w:ind w:left="520" w:hanging="512"/>
        <w:spacing w:after="0"/>
        <w:tabs>
          <w:tab w:leader="none" w:pos="520" w:val="left"/>
        </w:tabs>
        <w:numPr>
          <w:ilvl w:val="0"/>
          <w:numId w:val="200"/>
        </w:numPr>
        <w:rPr>
          <w:rFonts w:ascii="Arial" w:cs="Arial" w:eastAsia="Arial" w:hAnsi="Arial"/>
          <w:sz w:val="18"/>
          <w:szCs w:val="18"/>
          <w:color w:val="auto"/>
        </w:rPr>
      </w:pPr>
      <w:r>
        <w:rPr>
          <w:rFonts w:ascii="Arial" w:cs="Arial" w:eastAsia="Arial" w:hAnsi="Arial"/>
          <w:sz w:val="18"/>
          <w:szCs w:val="18"/>
          <w:u w:val="single" w:color="auto"/>
          <w:color w:val="auto"/>
        </w:rPr>
        <w:t>RIGHTS AS A SHAREHOLDER; VOTING AND DIVIDENDS</w:t>
      </w:r>
      <w:r>
        <w:rPr>
          <w:rFonts w:ascii="Arial" w:cs="Arial" w:eastAsia="Arial" w:hAnsi="Arial"/>
          <w:sz w:val="18"/>
          <w:szCs w:val="18"/>
          <w:color w:val="auto"/>
        </w:rPr>
        <w:t>.</w:t>
      </w:r>
    </w:p>
    <w:p>
      <w:pPr>
        <w:spacing w:after="0" w:line="285" w:lineRule="exact"/>
        <w:rPr>
          <w:sz w:val="20"/>
          <w:szCs w:val="20"/>
          <w:color w:val="auto"/>
        </w:rPr>
      </w:pPr>
    </w:p>
    <w:p>
      <w:pPr>
        <w:ind w:right="80" w:firstLine="510"/>
        <w:spacing w:after="0" w:line="302" w:lineRule="auto"/>
        <w:rPr>
          <w:sz w:val="20"/>
          <w:szCs w:val="20"/>
          <w:color w:val="auto"/>
        </w:rPr>
      </w:pPr>
      <w:r>
        <w:rPr>
          <w:rFonts w:ascii="Arial" w:cs="Arial" w:eastAsia="Arial" w:hAnsi="Arial"/>
          <w:sz w:val="19"/>
          <w:szCs w:val="19"/>
          <w:color w:val="auto"/>
        </w:rPr>
        <w:t>19.1. Subject to Section 11.4, a Grantee shall have no rights as a shareholder of the Company with respect to any Shares covered by an Award until the Grantee shall have exercised the Award, paid the Exercise Price therefor and becomes the record holder of the subject Shares. In the case of 102 Awards or 3(9) Awards (if such Awards are being held by a Trustee), the Trustee shall have no rights as a shareholder of the Company with respect to the Shares covered by such Award until the Trustee becomes the record holder for such Shares for the Grantee’s benefit, and the Grantee shall not be deemed to be a shareholder and shall have no rights as a shareholder of the Company with respect to the Shares covered by the Award until the date of the release of such Shares from the Trustee to the Grantee and the transfer of record ownership of such Shares to the Grantee (provided however that the Grantee shall be entitled to receive from the Trustee any cash dividend or distribution made on account of the Shares held by the Trustee for such Grantee’s benefit, subject to any tax withholding and compulsory payment). No adjustment shall be made for dividends (ordinary or extraordinary, whether in cash, securities or other property) or distribution of other rights for which the record date is prior to the date on which the Grantee or Trustee (as applicable) becomes the record holder of the Shares covered by an Award, except as provided in Section 14 hereof.</w:t>
      </w:r>
    </w:p>
    <w:p>
      <w:pPr>
        <w:spacing w:after="0" w:line="200" w:lineRule="exact"/>
        <w:rPr>
          <w:sz w:val="20"/>
          <w:szCs w:val="20"/>
          <w:color w:val="auto"/>
        </w:rPr>
      </w:pPr>
    </w:p>
    <w:p>
      <w:pPr>
        <w:spacing w:after="0" w:line="281" w:lineRule="exact"/>
        <w:rPr>
          <w:sz w:val="20"/>
          <w:szCs w:val="20"/>
          <w:color w:val="auto"/>
        </w:rPr>
      </w:pPr>
    </w:p>
    <w:p>
      <w:pPr>
        <w:ind w:right="260" w:firstLine="510"/>
        <w:spacing w:after="0" w:line="317" w:lineRule="auto"/>
        <w:rPr>
          <w:sz w:val="20"/>
          <w:szCs w:val="20"/>
          <w:color w:val="auto"/>
        </w:rPr>
      </w:pPr>
      <w:r>
        <w:rPr>
          <w:rFonts w:ascii="Arial" w:cs="Arial" w:eastAsia="Arial" w:hAnsi="Arial"/>
          <w:sz w:val="19"/>
          <w:szCs w:val="19"/>
          <w:color w:val="auto"/>
        </w:rPr>
        <w:t>19.2. With respect to all Awards issued in the form of Shares hereunder or upon the exercise or (if applicable) the vesting of Awards hereunder, any and all voting rights attached to such Shares shall be subject to Section 6.9, and the Grantee shall be entitled to receive dividends distributed with respect to such Shares, subject to the provisions of the Company’s Articles of Association, as amended from time to time, and subject to any Applicable Law.</w:t>
      </w:r>
    </w:p>
    <w:p>
      <w:pPr>
        <w:spacing w:after="0" w:line="196" w:lineRule="exact"/>
        <w:rPr>
          <w:sz w:val="20"/>
          <w:szCs w:val="20"/>
          <w:color w:val="auto"/>
        </w:rPr>
      </w:pPr>
    </w:p>
    <w:p>
      <w:pPr>
        <w:ind w:firstLine="510"/>
        <w:spacing w:after="0" w:line="276" w:lineRule="auto"/>
        <w:rPr>
          <w:sz w:val="20"/>
          <w:szCs w:val="20"/>
          <w:color w:val="auto"/>
        </w:rPr>
      </w:pPr>
      <w:r>
        <w:rPr>
          <w:rFonts w:ascii="Arial" w:cs="Arial" w:eastAsia="Arial" w:hAnsi="Arial"/>
          <w:sz w:val="22"/>
          <w:szCs w:val="22"/>
          <w:color w:val="auto"/>
        </w:rPr>
        <w:t>19.3. The Company may, but shall not be obligated to, register or qualify the sale of Shares under any applicable securities law or any other Applicable Law.</w:t>
      </w:r>
    </w:p>
    <w:p>
      <w:pPr>
        <w:spacing w:after="0" w:line="222" w:lineRule="exact"/>
        <w:rPr>
          <w:sz w:val="20"/>
          <w:szCs w:val="20"/>
          <w:color w:val="auto"/>
        </w:rPr>
      </w:pPr>
    </w:p>
    <w:p>
      <w:pPr>
        <w:ind w:left="520" w:hanging="512"/>
        <w:spacing w:after="0"/>
        <w:tabs>
          <w:tab w:leader="none" w:pos="520" w:val="left"/>
        </w:tabs>
        <w:numPr>
          <w:ilvl w:val="0"/>
          <w:numId w:val="201"/>
        </w:numPr>
        <w:rPr>
          <w:rFonts w:ascii="Arial" w:cs="Arial" w:eastAsia="Arial" w:hAnsi="Arial"/>
          <w:sz w:val="18"/>
          <w:szCs w:val="18"/>
          <w:color w:val="auto"/>
        </w:rPr>
      </w:pPr>
      <w:r>
        <w:rPr>
          <w:rFonts w:ascii="Arial" w:cs="Arial" w:eastAsia="Arial" w:hAnsi="Arial"/>
          <w:sz w:val="18"/>
          <w:szCs w:val="18"/>
          <w:u w:val="single" w:color="auto"/>
          <w:color w:val="auto"/>
        </w:rPr>
        <w:t>NO REPRESENTATION BY COMPANY</w:t>
      </w:r>
      <w:r>
        <w:rPr>
          <w:rFonts w:ascii="Arial" w:cs="Arial" w:eastAsia="Arial" w:hAnsi="Arial"/>
          <w:sz w:val="18"/>
          <w:szCs w:val="18"/>
          <w:color w:val="auto"/>
        </w:rPr>
        <w:t>.</w:t>
      </w:r>
    </w:p>
    <w:p>
      <w:pPr>
        <w:spacing w:after="0" w:line="285" w:lineRule="exact"/>
        <w:rPr>
          <w:rFonts w:ascii="Arial" w:cs="Arial" w:eastAsia="Arial" w:hAnsi="Arial"/>
          <w:sz w:val="18"/>
          <w:szCs w:val="18"/>
          <w:color w:val="auto"/>
        </w:rPr>
      </w:pPr>
    </w:p>
    <w:p>
      <w:pPr>
        <w:ind w:right="40" w:firstLine="518"/>
        <w:spacing w:after="0" w:line="260" w:lineRule="auto"/>
        <w:tabs>
          <w:tab w:leader="none" w:pos="1320" w:val="left"/>
        </w:tabs>
        <w:numPr>
          <w:ilvl w:val="1"/>
          <w:numId w:val="201"/>
        </w:numPr>
        <w:rPr>
          <w:rFonts w:ascii="Arial" w:cs="Arial" w:eastAsia="Arial" w:hAnsi="Arial"/>
          <w:sz w:val="22"/>
          <w:szCs w:val="22"/>
          <w:color w:val="auto"/>
        </w:rPr>
      </w:pPr>
      <w:r>
        <w:rPr>
          <w:rFonts w:ascii="Arial" w:cs="Arial" w:eastAsia="Arial" w:hAnsi="Arial"/>
          <w:sz w:val="22"/>
          <w:szCs w:val="22"/>
          <w:color w:val="auto"/>
        </w:rPr>
        <w:t>By granting the Awards, the Company is not, and shall not be deemed as, making any representation or warranties to the Grantee regarding the Company, its business affairs, its prospects or the future value of its Shares. The Company shall not be required to provide to any Grantee any information, documents or material in connection with the Grantee’s considering an exercise of an Award. To the extent that any information, documents or materials are provided, the Company shall have no liability with respect thereto. Any decision by a Grantee to exercise an Award shall solely be at the risk of the Grantee.</w:t>
      </w:r>
    </w:p>
    <w:p>
      <w:pPr>
        <w:spacing w:after="0" w:line="239" w:lineRule="exact"/>
        <w:rPr>
          <w:sz w:val="20"/>
          <w:szCs w:val="20"/>
          <w:color w:val="auto"/>
        </w:rPr>
      </w:pPr>
    </w:p>
    <w:p>
      <w:pPr>
        <w:ind w:left="500" w:hanging="492"/>
        <w:spacing w:after="0"/>
        <w:tabs>
          <w:tab w:leader="none" w:pos="500" w:val="left"/>
        </w:tabs>
        <w:numPr>
          <w:ilvl w:val="0"/>
          <w:numId w:val="202"/>
        </w:numPr>
        <w:rPr>
          <w:rFonts w:ascii="Arial" w:cs="Arial" w:eastAsia="Arial" w:hAnsi="Arial"/>
          <w:sz w:val="18"/>
          <w:szCs w:val="18"/>
          <w:color w:val="auto"/>
        </w:rPr>
      </w:pPr>
      <w:r>
        <w:rPr>
          <w:rFonts w:ascii="Arial" w:cs="Arial" w:eastAsia="Arial" w:hAnsi="Arial"/>
          <w:sz w:val="18"/>
          <w:szCs w:val="18"/>
          <w:u w:val="single" w:color="auto"/>
          <w:color w:val="auto"/>
        </w:rPr>
        <w:t>NO RETENTION RIGHTS</w:t>
      </w:r>
      <w:r>
        <w:rPr>
          <w:rFonts w:ascii="Arial" w:cs="Arial" w:eastAsia="Arial" w:hAnsi="Arial"/>
          <w:sz w:val="18"/>
          <w:szCs w:val="18"/>
          <w:color w:val="auto"/>
        </w:rPr>
        <w:t>.</w:t>
      </w:r>
    </w:p>
    <w:p>
      <w:pPr>
        <w:spacing w:after="0" w:line="285" w:lineRule="exact"/>
        <w:rPr>
          <w:rFonts w:ascii="Arial" w:cs="Arial" w:eastAsia="Arial" w:hAnsi="Arial"/>
          <w:sz w:val="18"/>
          <w:szCs w:val="18"/>
          <w:color w:val="auto"/>
        </w:rPr>
      </w:pPr>
    </w:p>
    <w:p>
      <w:pPr>
        <w:ind w:left="600" w:hanging="592"/>
        <w:spacing w:after="0"/>
        <w:tabs>
          <w:tab w:leader="none" w:pos="600" w:val="left"/>
        </w:tabs>
        <w:numPr>
          <w:ilvl w:val="0"/>
          <w:numId w:val="202"/>
        </w:numPr>
        <w:rPr>
          <w:rFonts w:ascii="Arial" w:cs="Arial" w:eastAsia="Arial" w:hAnsi="Arial"/>
          <w:sz w:val="19"/>
          <w:szCs w:val="19"/>
          <w:color w:val="auto"/>
        </w:rPr>
      </w:pPr>
      <w:r>
        <w:rPr>
          <w:rFonts w:ascii="Arial" w:cs="Arial" w:eastAsia="Arial" w:hAnsi="Arial"/>
          <w:sz w:val="19"/>
          <w:szCs w:val="19"/>
          <w:color w:val="auto"/>
        </w:rPr>
        <w:t>Nothing in this Plan, any Award Agreement or in any Award granted or agreement entered into pursuant hereto shall</w:t>
      </w:r>
    </w:p>
    <w:p>
      <w:pPr>
        <w:spacing w:after="0" w:line="56" w:lineRule="exact"/>
        <w:rPr>
          <w:sz w:val="20"/>
          <w:szCs w:val="20"/>
          <w:color w:val="auto"/>
        </w:rPr>
      </w:pPr>
    </w:p>
    <w:p>
      <w:pPr>
        <w:spacing w:after="0" w:line="270" w:lineRule="auto"/>
        <w:rPr>
          <w:sz w:val="20"/>
          <w:szCs w:val="20"/>
          <w:color w:val="auto"/>
        </w:rPr>
      </w:pPr>
      <w:r>
        <w:rPr>
          <w:rFonts w:ascii="Arial" w:cs="Arial" w:eastAsia="Arial" w:hAnsi="Arial"/>
          <w:sz w:val="21"/>
          <w:szCs w:val="21"/>
          <w:color w:val="auto"/>
        </w:rPr>
        <w:t>confer upon any Grantee the right to continue in the employ of, or be in the service of the Company or any Subsidiary or Affiliate thereof as a Service Provider or to be entitled to any remuneration or benefits not set forth in this Plan or such agreement, or to interfere with or limit in any way the right of the Company or any such Subsidiary or Affiliate to terminate such Grantee's employment or service (including, any right of the Company or any of its Affiliates to immediately cease the Grantee’s employment or service or to shorten all or part of the notice period, regardless of whether notice of termination was given by the Company or its Affiliates or by the Grantee). Awards granted under this Plan shall not be affected by any change in duties or position of a Grantee, subject to Sections 6.6 through 6.8. No Grantee shall be entitled to claim and the Grantee hereby waives any claim against the Company or any Subsidiary or Affiliate that he or she was prevented from continuing to vest Awards as of the date of termination of his or her employment with, or services to, the Company or any Subsidiary or Affiliate. No Grantee shall be entitled to any compensation in respect of the Awards which would have vested had such Grantee’s employment or engagement with the Company (or any Subsidiary or Affiliate) not been terminated.</w:t>
      </w:r>
    </w:p>
    <w:p>
      <w:pPr>
        <w:spacing w:after="0" w:line="200" w:lineRule="exact"/>
        <w:rPr>
          <w:sz w:val="20"/>
          <w:szCs w:val="20"/>
          <w:color w:val="auto"/>
        </w:rPr>
      </w:pPr>
    </w:p>
    <w:p>
      <w:pPr>
        <w:spacing w:after="0" w:line="208" w:lineRule="exact"/>
        <w:rPr>
          <w:sz w:val="20"/>
          <w:szCs w:val="20"/>
          <w:color w:val="auto"/>
        </w:rPr>
      </w:pPr>
    </w:p>
    <w:p>
      <w:pPr>
        <w:jc w:val="center"/>
        <w:ind w:right="-519"/>
        <w:spacing w:after="0"/>
        <w:rPr>
          <w:sz w:val="20"/>
          <w:szCs w:val="20"/>
          <w:color w:val="auto"/>
        </w:rPr>
      </w:pPr>
      <w:r>
        <w:rPr>
          <w:rFonts w:ascii="Arial" w:cs="Arial" w:eastAsia="Arial" w:hAnsi="Arial"/>
          <w:sz w:val="22"/>
          <w:szCs w:val="22"/>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20"/>
          </w:cols>
          <w:pgMar w:left="320" w:top="395" w:right="859" w:bottom="1440" w:gutter="0" w:footer="0" w:header="0"/>
        </w:sectPr>
      </w:pPr>
    </w:p>
    <w:bookmarkStart w:id="219" w:name="page220"/>
    <w:bookmarkEnd w:id="219"/>
    <w:p>
      <w:pPr>
        <w:ind w:left="520" w:hanging="512"/>
        <w:spacing w:after="0"/>
        <w:tabs>
          <w:tab w:leader="none" w:pos="520" w:val="left"/>
        </w:tabs>
        <w:numPr>
          <w:ilvl w:val="0"/>
          <w:numId w:val="203"/>
        </w:numPr>
        <w:rPr>
          <w:rFonts w:ascii="Arial" w:cs="Arial" w:eastAsia="Arial" w:hAnsi="Arial"/>
          <w:sz w:val="18"/>
          <w:szCs w:val="18"/>
          <w:color w:val="auto"/>
        </w:rPr>
      </w:pPr>
      <w:r>
        <w:rPr>
          <w:rFonts w:ascii="Arial" w:cs="Arial" w:eastAsia="Arial" w:hAnsi="Arial"/>
          <w:sz w:val="18"/>
          <w:szCs w:val="18"/>
          <w:u w:val="single" w:color="auto"/>
          <w:color w:val="auto"/>
        </w:rPr>
        <w:t>PERIOD DURING WHICH AWARDS MAY BE GRANTED.</w:t>
      </w:r>
    </w:p>
    <w:p>
      <w:pPr>
        <w:spacing w:after="0" w:line="285" w:lineRule="exact"/>
        <w:rPr>
          <w:rFonts w:ascii="Arial" w:cs="Arial" w:eastAsia="Arial" w:hAnsi="Arial"/>
          <w:sz w:val="18"/>
          <w:szCs w:val="18"/>
          <w:color w:val="auto"/>
        </w:rPr>
      </w:pPr>
    </w:p>
    <w:p>
      <w:pPr>
        <w:ind w:right="140" w:firstLine="518"/>
        <w:spacing w:after="0" w:line="262" w:lineRule="auto"/>
        <w:tabs>
          <w:tab w:leader="none" w:pos="1308" w:val="left"/>
        </w:tabs>
        <w:numPr>
          <w:ilvl w:val="1"/>
          <w:numId w:val="203"/>
        </w:numPr>
        <w:rPr>
          <w:rFonts w:ascii="Arial" w:cs="Arial" w:eastAsia="Arial" w:hAnsi="Arial"/>
          <w:sz w:val="22"/>
          <w:szCs w:val="22"/>
          <w:color w:val="auto"/>
        </w:rPr>
      </w:pPr>
      <w:r>
        <w:rPr>
          <w:rFonts w:ascii="Arial" w:cs="Arial" w:eastAsia="Arial" w:hAnsi="Arial"/>
          <w:sz w:val="22"/>
          <w:szCs w:val="22"/>
          <w:color w:val="auto"/>
        </w:rPr>
        <w:t>Awards may be granted pursuant to this Plan from time to time within a period of ten (10) years from the Effective Date, which period may be extended from time to time by the Board. From and after such date (as extended) no grants of Awards may be made and this Plan shall continue to be in full force and effect with respect to Awards or Shares issued thereunder that remain outstanding.</w:t>
      </w:r>
    </w:p>
    <w:p>
      <w:pPr>
        <w:spacing w:after="0" w:line="239" w:lineRule="exact"/>
        <w:rPr>
          <w:sz w:val="20"/>
          <w:szCs w:val="20"/>
          <w:color w:val="auto"/>
        </w:rPr>
      </w:pPr>
    </w:p>
    <w:p>
      <w:pPr>
        <w:ind w:left="520" w:hanging="512"/>
        <w:spacing w:after="0"/>
        <w:tabs>
          <w:tab w:leader="none" w:pos="520" w:val="left"/>
        </w:tabs>
        <w:numPr>
          <w:ilvl w:val="0"/>
          <w:numId w:val="204"/>
        </w:numPr>
        <w:rPr>
          <w:rFonts w:ascii="Arial" w:cs="Arial" w:eastAsia="Arial" w:hAnsi="Arial"/>
          <w:sz w:val="18"/>
          <w:szCs w:val="18"/>
          <w:color w:val="auto"/>
        </w:rPr>
      </w:pPr>
      <w:r>
        <w:rPr>
          <w:rFonts w:ascii="Arial" w:cs="Arial" w:eastAsia="Arial" w:hAnsi="Arial"/>
          <w:sz w:val="18"/>
          <w:szCs w:val="18"/>
          <w:u w:val="single" w:color="auto"/>
          <w:color w:val="auto"/>
        </w:rPr>
        <w:t>AMENDMENT OF THIS PLAN AND AWARDS</w:t>
      </w:r>
      <w:r>
        <w:rPr>
          <w:rFonts w:ascii="Arial" w:cs="Arial" w:eastAsia="Arial" w:hAnsi="Arial"/>
          <w:sz w:val="18"/>
          <w:szCs w:val="18"/>
          <w:color w:val="auto"/>
        </w:rPr>
        <w:t>.</w:t>
      </w:r>
    </w:p>
    <w:p>
      <w:pPr>
        <w:spacing w:after="0" w:line="285" w:lineRule="exact"/>
        <w:rPr>
          <w:sz w:val="20"/>
          <w:szCs w:val="20"/>
          <w:color w:val="auto"/>
        </w:rPr>
      </w:pPr>
    </w:p>
    <w:p>
      <w:pPr>
        <w:jc w:val="both"/>
        <w:ind w:right="20" w:firstLine="510"/>
        <w:spacing w:after="0" w:line="261" w:lineRule="auto"/>
        <w:rPr>
          <w:sz w:val="20"/>
          <w:szCs w:val="20"/>
          <w:color w:val="auto"/>
        </w:rPr>
      </w:pPr>
      <w:r>
        <w:rPr>
          <w:rFonts w:ascii="Arial" w:cs="Arial" w:eastAsia="Arial" w:hAnsi="Arial"/>
          <w:sz w:val="22"/>
          <w:szCs w:val="22"/>
          <w:color w:val="auto"/>
        </w:rPr>
        <w:t>26.1. The Board at any time and from time to time may suspend, terminate, modify or amend this Plan, whether retroactively or prospectively. Any amendment effected in accordance with this Section shall be binding upon all Grantees and all Awards, whether granted prior to or after the date of such amendment, and without the need to obtain the consent of any Grantee. No termination or amendment of this Plan shall affect any then outstanding Award unless expressly provided by the Board.</w:t>
      </w:r>
    </w:p>
    <w:p>
      <w:pPr>
        <w:spacing w:after="0" w:line="244" w:lineRule="exact"/>
        <w:rPr>
          <w:sz w:val="20"/>
          <w:szCs w:val="20"/>
          <w:color w:val="auto"/>
        </w:rPr>
      </w:pPr>
    </w:p>
    <w:p>
      <w:pPr>
        <w:ind w:right="140" w:firstLine="510"/>
        <w:spacing w:after="0" w:line="271" w:lineRule="auto"/>
        <w:rPr>
          <w:sz w:val="20"/>
          <w:szCs w:val="20"/>
          <w:color w:val="auto"/>
        </w:rPr>
      </w:pPr>
      <w:r>
        <w:rPr>
          <w:rFonts w:ascii="Arial" w:cs="Arial" w:eastAsia="Arial" w:hAnsi="Arial"/>
          <w:sz w:val="21"/>
          <w:szCs w:val="21"/>
          <w:color w:val="auto"/>
        </w:rPr>
        <w:t>26.2. Subject to changes in Applicable Law that would permit otherwise, without the approval of the Company’s shareholders, there shall be (i) no increase in the maximum aggregate number of Shares that may be issued under this Plan as Incentive Stock Options (except by operation of the provisions of Section 14.1), (ii) no change in the class of persons eligible to receive Incentive Stock Options, and (iii) no other amendment of this Plan that would require approval of the Company’s shareholders under any Applicable Law. Unless not permitted by Applicable Law, if the grant of an Award is subject to approval by shareholders, the date of grant of the Award shall be determined as if the Award had not been subject to such approval. Failure to obtain approval by the shareholders shall not in any way derogate from the valid and binding effect of any grant of an Award, which is not an Incentive Stock Option. Upon approval of an amendment to this Plan by the shareholders of the Company as set forth above, all Incentive Stock Options granted under this Plan on or after such amendment shall be fully effective as if the shareholders of the Company had approved the amendment on the same date.</w:t>
      </w:r>
    </w:p>
    <w:p>
      <w:pPr>
        <w:spacing w:after="0" w:line="241" w:lineRule="exact"/>
        <w:rPr>
          <w:sz w:val="20"/>
          <w:szCs w:val="20"/>
          <w:color w:val="auto"/>
        </w:rPr>
      </w:pPr>
    </w:p>
    <w:p>
      <w:pPr>
        <w:ind w:right="800" w:firstLine="510"/>
        <w:spacing w:after="0" w:line="276" w:lineRule="auto"/>
        <w:rPr>
          <w:sz w:val="20"/>
          <w:szCs w:val="20"/>
          <w:color w:val="auto"/>
        </w:rPr>
      </w:pPr>
      <w:r>
        <w:rPr>
          <w:rFonts w:ascii="Arial" w:cs="Arial" w:eastAsia="Arial" w:hAnsi="Arial"/>
          <w:sz w:val="22"/>
          <w:szCs w:val="22"/>
          <w:color w:val="auto"/>
        </w:rPr>
        <w:t>26.3. The Board or the Committee at any time and from time to time may modify or amend any Award theretofore granted, including any Award Agreement, whether retroactively or prospectively.</w:t>
      </w:r>
    </w:p>
    <w:p>
      <w:pPr>
        <w:spacing w:after="0" w:line="222" w:lineRule="exact"/>
        <w:rPr>
          <w:sz w:val="20"/>
          <w:szCs w:val="20"/>
          <w:color w:val="auto"/>
        </w:rPr>
      </w:pPr>
    </w:p>
    <w:p>
      <w:pPr>
        <w:ind w:left="500" w:hanging="492"/>
        <w:spacing w:after="0"/>
        <w:tabs>
          <w:tab w:leader="none" w:pos="500" w:val="left"/>
        </w:tabs>
        <w:numPr>
          <w:ilvl w:val="0"/>
          <w:numId w:val="205"/>
        </w:numPr>
        <w:rPr>
          <w:rFonts w:ascii="Arial" w:cs="Arial" w:eastAsia="Arial" w:hAnsi="Arial"/>
          <w:sz w:val="18"/>
          <w:szCs w:val="18"/>
          <w:color w:val="auto"/>
        </w:rPr>
      </w:pPr>
      <w:r>
        <w:rPr>
          <w:rFonts w:ascii="Arial" w:cs="Arial" w:eastAsia="Arial" w:hAnsi="Arial"/>
          <w:sz w:val="18"/>
          <w:szCs w:val="18"/>
          <w:u w:val="single" w:color="auto"/>
          <w:color w:val="auto"/>
        </w:rPr>
        <w:t>APPROVAL</w:t>
      </w:r>
      <w:r>
        <w:rPr>
          <w:rFonts w:ascii="Arial" w:cs="Arial" w:eastAsia="Arial" w:hAnsi="Arial"/>
          <w:sz w:val="18"/>
          <w:szCs w:val="18"/>
          <w:color w:val="auto"/>
        </w:rPr>
        <w:t>.</w:t>
      </w:r>
    </w:p>
    <w:p>
      <w:pPr>
        <w:spacing w:after="0" w:line="279" w:lineRule="exact"/>
        <w:rPr>
          <w:sz w:val="20"/>
          <w:szCs w:val="20"/>
          <w:color w:val="auto"/>
        </w:rPr>
      </w:pPr>
    </w:p>
    <w:p>
      <w:pPr>
        <w:ind w:left="520"/>
        <w:spacing w:after="0"/>
        <w:tabs>
          <w:tab w:leader="none" w:pos="1460" w:val="left"/>
        </w:tabs>
        <w:rPr>
          <w:sz w:val="20"/>
          <w:szCs w:val="20"/>
          <w:color w:val="auto"/>
        </w:rPr>
      </w:pPr>
      <w:r>
        <w:rPr>
          <w:rFonts w:ascii="Arial" w:cs="Arial" w:eastAsia="Arial" w:hAnsi="Arial"/>
          <w:sz w:val="22"/>
          <w:szCs w:val="22"/>
          <w:color w:val="auto"/>
        </w:rPr>
        <w:t>27.1.</w:t>
      </w:r>
      <w:r>
        <w:rPr>
          <w:sz w:val="20"/>
          <w:szCs w:val="20"/>
          <w:color w:val="auto"/>
        </w:rPr>
        <w:tab/>
      </w:r>
      <w:r>
        <w:rPr>
          <w:rFonts w:ascii="Arial" w:cs="Arial" w:eastAsia="Arial" w:hAnsi="Arial"/>
          <w:sz w:val="19"/>
          <w:szCs w:val="19"/>
          <w:color w:val="auto"/>
        </w:rPr>
        <w:t>This Plan shall take effect upon its adoption by the Board (the “</w:t>
      </w:r>
      <w:r>
        <w:rPr>
          <w:rFonts w:ascii="Arial" w:cs="Arial" w:eastAsia="Arial" w:hAnsi="Arial"/>
          <w:sz w:val="19"/>
          <w:szCs w:val="19"/>
          <w:b w:val="1"/>
          <w:bCs w:val="1"/>
          <w:color w:val="auto"/>
        </w:rPr>
        <w:t>Effective Date</w:t>
      </w:r>
      <w:r>
        <w:rPr>
          <w:rFonts w:ascii="Arial" w:cs="Arial" w:eastAsia="Arial" w:hAnsi="Arial"/>
          <w:sz w:val="19"/>
          <w:szCs w:val="19"/>
          <w:color w:val="auto"/>
        </w:rPr>
        <w:t>”).</w:t>
      </w:r>
    </w:p>
    <w:p>
      <w:pPr>
        <w:spacing w:after="0" w:line="293" w:lineRule="exact"/>
        <w:rPr>
          <w:sz w:val="20"/>
          <w:szCs w:val="20"/>
          <w:color w:val="auto"/>
        </w:rPr>
      </w:pPr>
    </w:p>
    <w:p>
      <w:pPr>
        <w:ind w:right="60" w:firstLine="510"/>
        <w:spacing w:after="0" w:line="304" w:lineRule="auto"/>
        <w:rPr>
          <w:sz w:val="20"/>
          <w:szCs w:val="20"/>
          <w:color w:val="auto"/>
        </w:rPr>
      </w:pPr>
      <w:r>
        <w:rPr>
          <w:rFonts w:ascii="Arial" w:cs="Arial" w:eastAsia="Arial" w:hAnsi="Arial"/>
          <w:sz w:val="19"/>
          <w:szCs w:val="19"/>
          <w:color w:val="auto"/>
        </w:rPr>
        <w:t>27.2. Solely with respect to grants of Incentive Stock Options, this Plan shall also be subject to shareholders’ approval, within one year of the Effective Date, by a majority of the votes cast on the proposal at a meeting or a written consent of shareholders (however, if the grant of an Award is subject to approval by shareholders, the date of grant of the Award shall be determined as if the Award had not been subject to such approval). Failure to obtain such approval by the shareholders within such period shall not in any way derogate from the valid and binding effect of any grant of an Award, except that any Options previously granted under this Plan may not qualify as Incentive Stock Options but, rather, shall constitute Nonqualified Stock Options. Upon approval of this Plan by the shareholders of the Company as set forth above, all Incentive Stock Options granted under this Plan on or after the Effective Date shall be fully effective as if the shareholders of the Company had approved this Plan on the Effective Date.</w:t>
      </w:r>
    </w:p>
    <w:p>
      <w:pPr>
        <w:spacing w:after="0" w:line="209" w:lineRule="exact"/>
        <w:rPr>
          <w:sz w:val="20"/>
          <w:szCs w:val="20"/>
          <w:color w:val="auto"/>
        </w:rPr>
      </w:pPr>
    </w:p>
    <w:p>
      <w:pPr>
        <w:jc w:val="both"/>
        <w:ind w:right="40" w:firstLine="510"/>
        <w:spacing w:after="0" w:line="266" w:lineRule="auto"/>
        <w:rPr>
          <w:sz w:val="20"/>
          <w:szCs w:val="20"/>
          <w:color w:val="auto"/>
        </w:rPr>
      </w:pPr>
      <w:r>
        <w:rPr>
          <w:rFonts w:ascii="Arial" w:cs="Arial" w:eastAsia="Arial" w:hAnsi="Arial"/>
          <w:sz w:val="22"/>
          <w:szCs w:val="22"/>
          <w:color w:val="auto"/>
        </w:rPr>
        <w:t>27.3. 102 Awards are conditional upon the filing with or approval by the ITA, if required, as set forth in Section 9.49. Failure to so file or obtain such approval shall not in any way derogate from the valid and binding effect of any grant of an Award, which is not an 102 Award.</w:t>
      </w:r>
    </w:p>
    <w:p>
      <w:pPr>
        <w:spacing w:after="0" w:line="233" w:lineRule="exact"/>
        <w:rPr>
          <w:sz w:val="20"/>
          <w:szCs w:val="20"/>
          <w:color w:val="auto"/>
        </w:rPr>
      </w:pPr>
    </w:p>
    <w:p>
      <w:pPr>
        <w:ind w:left="520" w:hanging="512"/>
        <w:spacing w:after="0"/>
        <w:tabs>
          <w:tab w:leader="none" w:pos="520" w:val="left"/>
        </w:tabs>
        <w:numPr>
          <w:ilvl w:val="0"/>
          <w:numId w:val="206"/>
        </w:numPr>
        <w:rPr>
          <w:rFonts w:ascii="Arial" w:cs="Arial" w:eastAsia="Arial" w:hAnsi="Arial"/>
          <w:sz w:val="18"/>
          <w:szCs w:val="18"/>
          <w:color w:val="auto"/>
        </w:rPr>
      </w:pPr>
      <w:r>
        <w:rPr>
          <w:rFonts w:ascii="Arial" w:cs="Arial" w:eastAsia="Arial" w:hAnsi="Arial"/>
          <w:sz w:val="18"/>
          <w:szCs w:val="18"/>
          <w:u w:val="single" w:color="auto"/>
          <w:color w:val="auto"/>
        </w:rPr>
        <w:t>RULES PARTICULAR TO SPECIFIC COUNTRIES; SECTION 409A.</w:t>
      </w:r>
    </w:p>
    <w:p>
      <w:pPr>
        <w:spacing w:after="0" w:line="285" w:lineRule="exact"/>
        <w:rPr>
          <w:sz w:val="20"/>
          <w:szCs w:val="20"/>
          <w:color w:val="auto"/>
        </w:rPr>
      </w:pPr>
    </w:p>
    <w:p>
      <w:pPr>
        <w:ind w:firstLine="510"/>
        <w:spacing w:after="0" w:line="304" w:lineRule="auto"/>
        <w:rPr>
          <w:sz w:val="20"/>
          <w:szCs w:val="20"/>
          <w:color w:val="auto"/>
        </w:rPr>
      </w:pPr>
      <w:r>
        <w:rPr>
          <w:rFonts w:ascii="Arial" w:cs="Arial" w:eastAsia="Arial" w:hAnsi="Arial"/>
          <w:sz w:val="19"/>
          <w:szCs w:val="19"/>
          <w:color w:val="auto"/>
        </w:rPr>
        <w:t>28.1. Notwithstanding anything herein to the contrary, the terms and conditions of this Plan may be supplemented or amended with respect to a particular country or tax regime by means of an appendix to this Plan, and to the extent that the terms and conditions set forth in any appendix conflict with any provisions of this Plan, the provisions of such appendix shall govern. Terms and conditions set forth in such appendix shall apply only to Awards granted to Grantees under the jurisdiction of the specific country or such other tax regime that is the subject of such appendix and shall not apply to Awards issued to a Grantee not under the jurisdiction of such country or such other tax regime. The adoption of any such appendix shall be subject to the approval of the Board or the Committee, and if determined by the Committee to be required in connection with the application of certain tax treatment, pursuant to applicable stock exchange rules or regulations or otherwise, then also the approval of the shareholders of the Company at the required majority.</w:t>
      </w:r>
    </w:p>
    <w:p>
      <w:pPr>
        <w:sectPr>
          <w:pgSz w:w="11900" w:h="16838" w:orient="portrait"/>
          <w:cols w:equalWidth="0" w:num="1">
            <w:col w:w="10680"/>
          </w:cols>
          <w:pgMar w:left="320" w:top="125" w:right="899" w:bottom="0" w:gutter="0" w:footer="0" w:header="0"/>
        </w:sectPr>
      </w:pPr>
    </w:p>
    <w:p>
      <w:pPr>
        <w:spacing w:after="0" w:line="371" w:lineRule="exact"/>
        <w:rPr>
          <w:sz w:val="20"/>
          <w:szCs w:val="20"/>
          <w:color w:val="auto"/>
        </w:rPr>
      </w:pPr>
    </w:p>
    <w:p>
      <w:pPr>
        <w:ind w:left="5520"/>
        <w:spacing w:after="0"/>
        <w:rPr>
          <w:sz w:val="20"/>
          <w:szCs w:val="20"/>
          <w:color w:val="auto"/>
        </w:rPr>
      </w:pPr>
      <w:r>
        <w:rPr>
          <w:rFonts w:ascii="Arial" w:cs="Arial" w:eastAsia="Arial" w:hAnsi="Arial"/>
          <w:sz w:val="19"/>
          <w:szCs w:val="19"/>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132320" cy="171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80"/>
          </w:cols>
          <w:pgMar w:left="320" w:top="125" w:right="899" w:bottom="0" w:gutter="0" w:footer="0" w:header="0"/>
          <w:type w:val="continuous"/>
        </w:sectPr>
      </w:pPr>
    </w:p>
    <w:bookmarkStart w:id="220" w:name="page221"/>
    <w:bookmarkEnd w:id="220"/>
    <w:p>
      <w:pPr>
        <w:ind w:firstLine="510"/>
        <w:spacing w:after="0" w:line="276" w:lineRule="auto"/>
        <w:rPr>
          <w:sz w:val="20"/>
          <w:szCs w:val="20"/>
          <w:color w:val="auto"/>
        </w:rPr>
      </w:pPr>
      <w:r>
        <w:rPr>
          <w:rFonts w:ascii="Arial" w:cs="Arial" w:eastAsia="Arial" w:hAnsi="Arial"/>
          <w:sz w:val="22"/>
          <w:szCs w:val="22"/>
          <w:color w:val="auto"/>
        </w:rPr>
        <w:t>28.2. This Section 25.2 shall only apply to Awards granted to Grantees who are subject to United States Federal income tax.</w:t>
      </w:r>
    </w:p>
    <w:p>
      <w:pPr>
        <w:spacing w:after="0" w:line="228" w:lineRule="exact"/>
        <w:rPr>
          <w:sz w:val="20"/>
          <w:szCs w:val="20"/>
          <w:color w:val="auto"/>
        </w:rPr>
      </w:pPr>
    </w:p>
    <w:p>
      <w:pPr>
        <w:ind w:left="500" w:right="680" w:firstLine="810"/>
        <w:spacing w:after="0" w:line="262" w:lineRule="auto"/>
        <w:rPr>
          <w:sz w:val="20"/>
          <w:szCs w:val="20"/>
          <w:color w:val="auto"/>
        </w:rPr>
      </w:pPr>
      <w:r>
        <w:rPr>
          <w:rFonts w:ascii="Arial" w:cs="Arial" w:eastAsia="Arial" w:hAnsi="Arial"/>
          <w:sz w:val="22"/>
          <w:szCs w:val="22"/>
          <w:color w:val="auto"/>
        </w:rPr>
        <w:t>25.2.1 It is the intention of the Company that no Award shall be deferred compensation subject to Code Section 409A unless and to the extent that the Committee specifically determines otherwise as provided in Section 25.2.2, and the Plan and the terms and conditions of all Awards shall be interpreted and administered accordingly.</w:t>
      </w:r>
    </w:p>
    <w:p>
      <w:pPr>
        <w:spacing w:after="0" w:line="245" w:lineRule="exact"/>
        <w:rPr>
          <w:sz w:val="20"/>
          <w:szCs w:val="20"/>
          <w:color w:val="auto"/>
        </w:rPr>
      </w:pPr>
    </w:p>
    <w:p>
      <w:pPr>
        <w:ind w:left="500" w:right="500" w:firstLine="810"/>
        <w:spacing w:after="0" w:line="274" w:lineRule="auto"/>
        <w:rPr>
          <w:sz w:val="20"/>
          <w:szCs w:val="20"/>
          <w:color w:val="auto"/>
        </w:rPr>
      </w:pPr>
      <w:r>
        <w:rPr>
          <w:rFonts w:ascii="Arial" w:cs="Arial" w:eastAsia="Arial" w:hAnsi="Arial"/>
          <w:sz w:val="21"/>
          <w:szCs w:val="21"/>
          <w:color w:val="auto"/>
        </w:rPr>
        <w:t>25.2.2 The terms and conditions governing any Awards that the Committee determines will be subject to Section 409A of the Code, including any rules for payment or elective or mandatory deferral of the payment or delivery of Shares or cash pursuant thereto, and any rules regarding treatment of such Awards in the event of a Change in Control, shall be set forth in the applicable Award Agreement and shall be intended to comply in all respects with Section 409A of the Code, and the Plan and the terms and conditions of such Awards shall be interpreted and administered accordingly.</w:t>
      </w:r>
    </w:p>
    <w:p>
      <w:pPr>
        <w:spacing w:after="0" w:line="236" w:lineRule="exact"/>
        <w:rPr>
          <w:sz w:val="20"/>
          <w:szCs w:val="20"/>
          <w:color w:val="auto"/>
        </w:rPr>
      </w:pPr>
    </w:p>
    <w:p>
      <w:pPr>
        <w:ind w:left="500" w:right="500" w:firstLine="810"/>
        <w:spacing w:after="0" w:line="302" w:lineRule="auto"/>
        <w:rPr>
          <w:sz w:val="20"/>
          <w:szCs w:val="20"/>
          <w:color w:val="auto"/>
        </w:rPr>
      </w:pPr>
      <w:r>
        <w:rPr>
          <w:rFonts w:ascii="Arial" w:cs="Arial" w:eastAsia="Arial" w:hAnsi="Arial"/>
          <w:sz w:val="19"/>
          <w:szCs w:val="19"/>
          <w:color w:val="auto"/>
        </w:rPr>
        <w:t xml:space="preserve">25.2.3 The Company shall have complete discretion to interpret and construe the Plan and any Award Agreement in any manner that establishes an exemption from (or compliance with) the requirements of Code Section 409A. If for any reason, such as imprecision in drafting, any provision of the Plan and/or any Award Agreement does not accurately reflect its intended establishment of an exemption from (or compliance with) Code Section 409A, as demonstrated by consistent interpretations or other evidence of intent, such provision shall be considered ambiguous as to its exemption from (or compliance with) Code Section 409A and shall be interpreted by the Company in a manner consistent with such intent, as determined in the discretion of the Company. If, notwithstanding the foregoing provisions of this Section 25.2.3, any provision of the Plan or any such agreement would cause a Grantee to incur any additional tax or interest under Code Section 409A, the Company shall reform such provision in a manner intended to avoid the incurrence by such Grantee of any such additional tax or interest;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that the Company shall maintain, to the extent reasonably practicable, the original intent and economic benefit to the Grantee of the applicable provision without violating the provisions of Code Section 409A.</w:t>
      </w:r>
    </w:p>
    <w:p>
      <w:pPr>
        <w:spacing w:after="0" w:line="200" w:lineRule="exact"/>
        <w:rPr>
          <w:sz w:val="20"/>
          <w:szCs w:val="20"/>
          <w:color w:val="auto"/>
        </w:rPr>
      </w:pPr>
    </w:p>
    <w:p>
      <w:pPr>
        <w:spacing w:after="0" w:line="281" w:lineRule="exact"/>
        <w:rPr>
          <w:sz w:val="20"/>
          <w:szCs w:val="20"/>
          <w:color w:val="auto"/>
        </w:rPr>
      </w:pPr>
    </w:p>
    <w:p>
      <w:pPr>
        <w:ind w:left="500" w:right="620" w:firstLine="810"/>
        <w:spacing w:after="0" w:line="305" w:lineRule="auto"/>
        <w:rPr>
          <w:sz w:val="20"/>
          <w:szCs w:val="20"/>
          <w:color w:val="auto"/>
        </w:rPr>
      </w:pPr>
      <w:r>
        <w:rPr>
          <w:rFonts w:ascii="Arial" w:cs="Arial" w:eastAsia="Arial" w:hAnsi="Arial"/>
          <w:sz w:val="19"/>
          <w:szCs w:val="19"/>
          <w:color w:val="auto"/>
        </w:rPr>
        <w:t>25.2.4 Notwithstanding any other provision in the Plan, any Award Agreement, or any other written document establishing the terms and conditions of an Award, if any Grantee is a “specified employee,” within the meaning of Section 409A of the Code, as of the date of his or her “separation from service” (as defined under Section 409A of the Code), then, to the extent required by Treasury Regulation Section 1.409A-3(i)(2) (or any successor provision), any payment made to such Grantee on account of his or her separation from service shall not be made before a date that is six months after the date of his or her separation from service. The Committee may elect any of the methods of applying this rule that are permitted under Treasury Regulation Section 1.409A-3(i)(2)(ii) (or any successor provision).</w:t>
      </w:r>
    </w:p>
    <w:p>
      <w:pPr>
        <w:spacing w:after="0" w:line="209" w:lineRule="exact"/>
        <w:rPr>
          <w:sz w:val="20"/>
          <w:szCs w:val="20"/>
          <w:color w:val="auto"/>
        </w:rPr>
      </w:pPr>
    </w:p>
    <w:p>
      <w:pPr>
        <w:ind w:left="500" w:right="560" w:firstLine="810"/>
        <w:spacing w:after="0" w:line="308" w:lineRule="auto"/>
        <w:rPr>
          <w:sz w:val="20"/>
          <w:szCs w:val="20"/>
          <w:color w:val="auto"/>
        </w:rPr>
      </w:pPr>
      <w:r>
        <w:rPr>
          <w:rFonts w:ascii="Arial" w:cs="Arial" w:eastAsia="Arial" w:hAnsi="Arial"/>
          <w:sz w:val="19"/>
          <w:szCs w:val="19"/>
          <w:color w:val="auto"/>
        </w:rPr>
        <w:t>25.2.5 Notwithstanding any other provision of this Section 25.2 to the contrary, although the Company intends to administer the Plan so that Awards will be exempt from, or will comply with, the requirements of Code Section 409A, the Company does not warrant that any Award under the Plan will qualify for favorable tax treatment under Code Section 409A or any other provision of federal, state, local, or non-United States law. The Company shall not be liable to any Grantee for any tax, interest, or penalties the Grantee might owe as a result of the grant, holding, vesting, exercise, or payment of any Award under the Plan.</w:t>
      </w:r>
    </w:p>
    <w:p>
      <w:pPr>
        <w:spacing w:after="0" w:line="370" w:lineRule="exact"/>
        <w:rPr>
          <w:sz w:val="20"/>
          <w:szCs w:val="20"/>
          <w:color w:val="auto"/>
        </w:rPr>
      </w:pPr>
    </w:p>
    <w:p>
      <w:pPr>
        <w:ind w:left="5520"/>
        <w:spacing w:after="0"/>
        <w:rPr>
          <w:sz w:val="20"/>
          <w:szCs w:val="20"/>
          <w:color w:val="auto"/>
        </w:rPr>
      </w:pPr>
      <w:r>
        <w:rPr>
          <w:rFonts w:ascii="Arial" w:cs="Arial" w:eastAsia="Arial" w:hAnsi="Arial"/>
          <w:sz w:val="22"/>
          <w:szCs w:val="22"/>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wp:posOffset>
            </wp:positionV>
            <wp:extent cx="7132320" cy="171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60"/>
          </w:cols>
          <w:pgMar w:left="320" w:top="402" w:right="919" w:bottom="1440" w:gutter="0" w:footer="0" w:header="0"/>
        </w:sectPr>
      </w:pPr>
    </w:p>
    <w:bookmarkStart w:id="221" w:name="page222"/>
    <w:bookmarkEnd w:id="221"/>
    <w:p>
      <w:pPr>
        <w:ind w:left="500" w:hanging="492"/>
        <w:spacing w:after="0"/>
        <w:tabs>
          <w:tab w:leader="none" w:pos="500" w:val="left"/>
        </w:tabs>
        <w:numPr>
          <w:ilvl w:val="0"/>
          <w:numId w:val="207"/>
        </w:numPr>
        <w:rPr>
          <w:rFonts w:ascii="Arial" w:cs="Arial" w:eastAsia="Arial" w:hAnsi="Arial"/>
          <w:sz w:val="18"/>
          <w:szCs w:val="18"/>
          <w:color w:val="auto"/>
        </w:rPr>
      </w:pPr>
      <w:r>
        <w:rPr>
          <w:rFonts w:ascii="Arial" w:cs="Arial" w:eastAsia="Arial" w:hAnsi="Arial"/>
          <w:sz w:val="18"/>
          <w:szCs w:val="18"/>
          <w:u w:val="single" w:color="auto"/>
          <w:color w:val="auto"/>
        </w:rPr>
        <w:t>GOVERNING LAW; JURISDICTION</w:t>
      </w:r>
      <w:r>
        <w:rPr>
          <w:rFonts w:ascii="Arial" w:cs="Arial" w:eastAsia="Arial" w:hAnsi="Arial"/>
          <w:sz w:val="18"/>
          <w:szCs w:val="18"/>
          <w:color w:val="auto"/>
        </w:rPr>
        <w:t>.</w:t>
      </w:r>
    </w:p>
    <w:p>
      <w:pPr>
        <w:spacing w:after="0" w:line="285" w:lineRule="exact"/>
        <w:rPr>
          <w:rFonts w:ascii="Arial" w:cs="Arial" w:eastAsia="Arial" w:hAnsi="Arial"/>
          <w:sz w:val="18"/>
          <w:szCs w:val="18"/>
          <w:color w:val="auto"/>
        </w:rPr>
      </w:pPr>
    </w:p>
    <w:p>
      <w:pPr>
        <w:ind w:left="600" w:hanging="592"/>
        <w:spacing w:after="0"/>
        <w:tabs>
          <w:tab w:leader="none" w:pos="600" w:val="left"/>
        </w:tabs>
        <w:numPr>
          <w:ilvl w:val="0"/>
          <w:numId w:val="207"/>
        </w:numPr>
        <w:rPr>
          <w:rFonts w:ascii="Arial" w:cs="Arial" w:eastAsia="Arial" w:hAnsi="Arial"/>
          <w:sz w:val="19"/>
          <w:szCs w:val="19"/>
          <w:color w:val="auto"/>
        </w:rPr>
      </w:pPr>
      <w:r>
        <w:rPr>
          <w:rFonts w:ascii="Arial" w:cs="Arial" w:eastAsia="Arial" w:hAnsi="Arial"/>
          <w:sz w:val="19"/>
          <w:szCs w:val="19"/>
          <w:color w:val="auto"/>
        </w:rPr>
        <w:t>This Plan and all determinations made and actions taken pursuant hereto shall be governed by the laws of the State</w:t>
      </w:r>
    </w:p>
    <w:p>
      <w:pPr>
        <w:spacing w:after="0" w:line="56" w:lineRule="exact"/>
        <w:rPr>
          <w:sz w:val="20"/>
          <w:szCs w:val="20"/>
          <w:color w:val="auto"/>
        </w:rPr>
      </w:pPr>
    </w:p>
    <w:p>
      <w:pPr>
        <w:ind w:right="40"/>
        <w:spacing w:after="0" w:line="274" w:lineRule="auto"/>
        <w:rPr>
          <w:sz w:val="20"/>
          <w:szCs w:val="20"/>
          <w:color w:val="auto"/>
        </w:rPr>
      </w:pPr>
      <w:r>
        <w:rPr>
          <w:rFonts w:ascii="Arial" w:cs="Arial" w:eastAsia="Arial" w:hAnsi="Arial"/>
          <w:sz w:val="21"/>
          <w:szCs w:val="21"/>
          <w:color w:val="auto"/>
        </w:rPr>
        <w:t>of Israel, except with respect to matters that are subject to tax laws, regulations and rules of any specific jurisdiction, which shall be governed by the respective laws, regulations and rules of such jurisdiction. Certain definitions, which refer to laws other than the laws of such jurisdiction, shall be construed in accordance with such other laws. The competent courts located in Tel-Aviv-Jaffa, Israel shall have exclusive jurisdiction over any dispute arising out of or in connection with this Plan and any Award granted hereunder. By signing any Award Agreement or any other agreement relating to an Award, each Grantee irrevocably submits to such exclusive jurisdiction.</w:t>
      </w:r>
    </w:p>
    <w:p>
      <w:pPr>
        <w:spacing w:after="0" w:line="225" w:lineRule="exact"/>
        <w:rPr>
          <w:sz w:val="20"/>
          <w:szCs w:val="20"/>
          <w:color w:val="auto"/>
        </w:rPr>
      </w:pPr>
    </w:p>
    <w:p>
      <w:pPr>
        <w:ind w:left="500" w:hanging="492"/>
        <w:spacing w:after="0"/>
        <w:tabs>
          <w:tab w:leader="none" w:pos="500" w:val="left"/>
        </w:tabs>
        <w:numPr>
          <w:ilvl w:val="0"/>
          <w:numId w:val="208"/>
        </w:numPr>
        <w:rPr>
          <w:rFonts w:ascii="Arial" w:cs="Arial" w:eastAsia="Arial" w:hAnsi="Arial"/>
          <w:sz w:val="18"/>
          <w:szCs w:val="18"/>
          <w:color w:val="auto"/>
        </w:rPr>
      </w:pPr>
      <w:r>
        <w:rPr>
          <w:rFonts w:ascii="Arial" w:cs="Arial" w:eastAsia="Arial" w:hAnsi="Arial"/>
          <w:sz w:val="18"/>
          <w:szCs w:val="18"/>
          <w:u w:val="single" w:color="auto"/>
          <w:color w:val="auto"/>
        </w:rPr>
        <w:t>NON-EXCLUSIVITY OF THIS PLAN</w:t>
      </w:r>
      <w:r>
        <w:rPr>
          <w:rFonts w:ascii="Arial" w:cs="Arial" w:eastAsia="Arial" w:hAnsi="Arial"/>
          <w:sz w:val="18"/>
          <w:szCs w:val="18"/>
          <w:color w:val="auto"/>
        </w:rPr>
        <w:t>.</w:t>
      </w:r>
    </w:p>
    <w:p>
      <w:pPr>
        <w:spacing w:after="0" w:line="285" w:lineRule="exact"/>
        <w:rPr>
          <w:rFonts w:ascii="Arial" w:cs="Arial" w:eastAsia="Arial" w:hAnsi="Arial"/>
          <w:sz w:val="18"/>
          <w:szCs w:val="18"/>
          <w:color w:val="auto"/>
        </w:rPr>
      </w:pPr>
    </w:p>
    <w:p>
      <w:pPr>
        <w:ind w:left="600" w:hanging="592"/>
        <w:spacing w:after="0"/>
        <w:tabs>
          <w:tab w:leader="none" w:pos="600" w:val="left"/>
        </w:tabs>
        <w:numPr>
          <w:ilvl w:val="0"/>
          <w:numId w:val="208"/>
        </w:numPr>
        <w:rPr>
          <w:rFonts w:ascii="Arial" w:cs="Arial" w:eastAsia="Arial" w:hAnsi="Arial"/>
          <w:sz w:val="21"/>
          <w:szCs w:val="21"/>
          <w:color w:val="auto"/>
        </w:rPr>
      </w:pPr>
      <w:r>
        <w:rPr>
          <w:rFonts w:ascii="Arial" w:cs="Arial" w:eastAsia="Arial" w:hAnsi="Arial"/>
          <w:sz w:val="21"/>
          <w:szCs w:val="21"/>
          <w:color w:val="auto"/>
        </w:rPr>
        <w:t>The adoption of this Plan shall not be construed as creating any limitations on the power or authority of the</w:t>
      </w:r>
    </w:p>
    <w:p>
      <w:pPr>
        <w:spacing w:after="0" w:line="33" w:lineRule="exact"/>
        <w:rPr>
          <w:sz w:val="20"/>
          <w:szCs w:val="20"/>
          <w:color w:val="auto"/>
        </w:rPr>
      </w:pPr>
    </w:p>
    <w:p>
      <w:pPr>
        <w:ind w:right="100"/>
        <w:spacing w:after="0" w:line="310" w:lineRule="auto"/>
        <w:rPr>
          <w:sz w:val="20"/>
          <w:szCs w:val="20"/>
          <w:color w:val="auto"/>
        </w:rPr>
      </w:pPr>
      <w:r>
        <w:rPr>
          <w:rFonts w:ascii="Arial" w:cs="Arial" w:eastAsia="Arial" w:hAnsi="Arial"/>
          <w:sz w:val="19"/>
          <w:szCs w:val="19"/>
          <w:color w:val="auto"/>
        </w:rPr>
        <w:t>Company to adopt such other or additional incentive or other compensation arrangements of whatever nature as the Company may deem necessary or desirable or preclude or limit the continuation of any other plan, practice or arrangement for the payment of compensation or fringe benefits to employees generally, or to any class or group of employees, which the Company or any Affiliate now has lawfully put into effect, including any retirement, pension, savings and stock purchase plan, insurance, death and disability benefits and executive short-term or long-term incentive plans.</w:t>
      </w:r>
    </w:p>
    <w:p>
      <w:pPr>
        <w:spacing w:after="0" w:line="198" w:lineRule="exact"/>
        <w:rPr>
          <w:sz w:val="20"/>
          <w:szCs w:val="20"/>
          <w:color w:val="auto"/>
        </w:rPr>
      </w:pPr>
    </w:p>
    <w:p>
      <w:pPr>
        <w:ind w:left="520" w:hanging="512"/>
        <w:spacing w:after="0"/>
        <w:tabs>
          <w:tab w:leader="none" w:pos="520" w:val="left"/>
        </w:tabs>
        <w:numPr>
          <w:ilvl w:val="0"/>
          <w:numId w:val="209"/>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285" w:lineRule="exact"/>
        <w:rPr>
          <w:sz w:val="20"/>
          <w:szCs w:val="20"/>
          <w:color w:val="auto"/>
        </w:rPr>
      </w:pPr>
    </w:p>
    <w:p>
      <w:pPr>
        <w:jc w:val="both"/>
        <w:ind w:firstLine="510"/>
        <w:spacing w:after="0" w:line="262" w:lineRule="auto"/>
        <w:rPr>
          <w:sz w:val="20"/>
          <w:szCs w:val="20"/>
          <w:color w:val="auto"/>
        </w:rPr>
      </w:pPr>
      <w:r>
        <w:rPr>
          <w:rFonts w:ascii="Arial" w:cs="Arial" w:eastAsia="Arial" w:hAnsi="Arial"/>
          <w:sz w:val="22"/>
          <w:szCs w:val="22"/>
          <w:color w:val="auto"/>
        </w:rPr>
        <w:t xml:space="preserve">33.1. </w:t>
      </w:r>
      <w:r>
        <w:rPr>
          <w:rFonts w:ascii="Arial" w:cs="Arial" w:eastAsia="Arial" w:hAnsi="Arial"/>
          <w:sz w:val="22"/>
          <w:szCs w:val="22"/>
          <w:u w:val="single" w:color="auto"/>
          <w:color w:val="auto"/>
        </w:rPr>
        <w:t>Survival</w:t>
      </w:r>
      <w:r>
        <w:rPr>
          <w:rFonts w:ascii="Arial" w:cs="Arial" w:eastAsia="Arial" w:hAnsi="Arial"/>
          <w:sz w:val="22"/>
          <w:szCs w:val="22"/>
          <w:color w:val="auto"/>
        </w:rPr>
        <w:t>. The Grantee shall be bound by and the Shares issued upon exercise or (if applicable) the vesting of any Awards granted hereunder shall remain subject to this Plan after the exercise or (if applicable) the vesting of Awards, in accordance with the terms of this Plan, whether or not the Grantee is then or at any time thereafter employed or engaged by the Company or any of its Affiliates.</w:t>
      </w:r>
    </w:p>
    <w:p>
      <w:pPr>
        <w:spacing w:after="0" w:line="245" w:lineRule="exact"/>
        <w:rPr>
          <w:sz w:val="20"/>
          <w:szCs w:val="20"/>
          <w:color w:val="auto"/>
        </w:rPr>
      </w:pPr>
    </w:p>
    <w:p>
      <w:pPr>
        <w:ind w:right="120" w:firstLine="510"/>
        <w:spacing w:after="0" w:line="276" w:lineRule="auto"/>
        <w:rPr>
          <w:sz w:val="20"/>
          <w:szCs w:val="20"/>
          <w:color w:val="auto"/>
        </w:rPr>
      </w:pPr>
      <w:r>
        <w:rPr>
          <w:rFonts w:ascii="Arial" w:cs="Arial" w:eastAsia="Arial" w:hAnsi="Arial"/>
          <w:sz w:val="22"/>
          <w:szCs w:val="22"/>
          <w:color w:val="auto"/>
        </w:rPr>
        <w:t xml:space="preserve">33.2. </w:t>
      </w:r>
      <w:r>
        <w:rPr>
          <w:rFonts w:ascii="Arial" w:cs="Arial" w:eastAsia="Arial" w:hAnsi="Arial"/>
          <w:sz w:val="22"/>
          <w:szCs w:val="22"/>
          <w:u w:val="single" w:color="auto"/>
          <w:color w:val="auto"/>
        </w:rPr>
        <w:t>Additional Terms</w:t>
      </w:r>
      <w:r>
        <w:rPr>
          <w:rFonts w:ascii="Arial" w:cs="Arial" w:eastAsia="Arial" w:hAnsi="Arial"/>
          <w:sz w:val="22"/>
          <w:szCs w:val="22"/>
          <w:color w:val="auto"/>
        </w:rPr>
        <w:t>. Each Award awarded under this Plan may contain such other terms and conditions not inconsistent with this Plan as may be determined by the Committee, in its sole discretion.</w:t>
      </w:r>
    </w:p>
    <w:p>
      <w:pPr>
        <w:spacing w:after="0" w:line="228" w:lineRule="exact"/>
        <w:rPr>
          <w:sz w:val="20"/>
          <w:szCs w:val="20"/>
          <w:color w:val="auto"/>
        </w:rPr>
      </w:pPr>
    </w:p>
    <w:p>
      <w:pPr>
        <w:jc w:val="both"/>
        <w:ind w:right="320" w:firstLine="510"/>
        <w:spacing w:after="0" w:line="284" w:lineRule="auto"/>
        <w:rPr>
          <w:sz w:val="20"/>
          <w:szCs w:val="20"/>
          <w:color w:val="auto"/>
        </w:rPr>
      </w:pPr>
      <w:r>
        <w:rPr>
          <w:rFonts w:ascii="Arial" w:cs="Arial" w:eastAsia="Arial" w:hAnsi="Arial"/>
          <w:sz w:val="21"/>
          <w:szCs w:val="21"/>
          <w:color w:val="auto"/>
        </w:rPr>
        <w:t xml:space="preserve">33.3. </w:t>
      </w:r>
      <w:r>
        <w:rPr>
          <w:rFonts w:ascii="Arial" w:cs="Arial" w:eastAsia="Arial" w:hAnsi="Arial"/>
          <w:sz w:val="21"/>
          <w:szCs w:val="21"/>
          <w:u w:val="single" w:color="auto"/>
          <w:color w:val="auto"/>
        </w:rPr>
        <w:t>Fractional Shares</w:t>
      </w:r>
      <w:r>
        <w:rPr>
          <w:rFonts w:ascii="Arial" w:cs="Arial" w:eastAsia="Arial" w:hAnsi="Arial"/>
          <w:sz w:val="21"/>
          <w:szCs w:val="21"/>
          <w:color w:val="auto"/>
        </w:rPr>
        <w:t>. No fractional Share shall be issuable upon exercise or vesting of any Award and the number of Shares to be issued shall be rounded down to the nearest whole Share, with in any Share remaining at the last vesting date due to such rounding to be issued upon exercise at such last vesting date.</w:t>
      </w:r>
    </w:p>
    <w:p>
      <w:pPr>
        <w:spacing w:after="0" w:line="223" w:lineRule="exact"/>
        <w:rPr>
          <w:sz w:val="20"/>
          <w:szCs w:val="20"/>
          <w:color w:val="auto"/>
        </w:rPr>
      </w:pPr>
    </w:p>
    <w:p>
      <w:pPr>
        <w:ind w:right="20" w:firstLine="510"/>
        <w:spacing w:after="0" w:line="273" w:lineRule="auto"/>
        <w:rPr>
          <w:sz w:val="20"/>
          <w:szCs w:val="20"/>
          <w:color w:val="auto"/>
        </w:rPr>
      </w:pPr>
      <w:r>
        <w:rPr>
          <w:rFonts w:ascii="Arial" w:cs="Arial" w:eastAsia="Arial" w:hAnsi="Arial"/>
          <w:sz w:val="21"/>
          <w:szCs w:val="21"/>
          <w:color w:val="auto"/>
        </w:rPr>
        <w:t xml:space="preserve">33.4. </w:t>
      </w:r>
      <w:r>
        <w:rPr>
          <w:rFonts w:ascii="Arial" w:cs="Arial" w:eastAsia="Arial" w:hAnsi="Arial"/>
          <w:sz w:val="21"/>
          <w:szCs w:val="21"/>
          <w:u w:val="single" w:color="auto"/>
          <w:color w:val="auto"/>
        </w:rPr>
        <w:t>Severability</w:t>
      </w:r>
      <w:r>
        <w:rPr>
          <w:rFonts w:ascii="Arial" w:cs="Arial" w:eastAsia="Arial" w:hAnsi="Arial"/>
          <w:sz w:val="21"/>
          <w:szCs w:val="21"/>
          <w:color w:val="auto"/>
        </w:rPr>
        <w:t>. If any provision of this Plan, any Award Agreement or any other agreement entered into in connection with an Award shall be determined to be illegal or unenforceable by any court of law in any jurisdiction, the remaining provisions hereof and thereof shall be severable and enforceable in accordance with their terms, and all provisions shall remain enforceable in any other jurisdiction. In addition, if any particular provision contained in this Plan, any Award Agreement or any other agreement entered into in connection with an Award shall for any reason be held to be excessively broad as to duration, geographic scope, activity or subject, it shall be construed by limiting and reducing such provision as to such characteristic so that the provision is enforceable to fullest extent compatible with Applicable Law as it shall then appear.</w:t>
      </w:r>
    </w:p>
    <w:p>
      <w:pPr>
        <w:spacing w:after="0" w:line="233" w:lineRule="exact"/>
        <w:rPr>
          <w:sz w:val="20"/>
          <w:szCs w:val="20"/>
          <w:color w:val="auto"/>
        </w:rPr>
      </w:pPr>
    </w:p>
    <w:p>
      <w:pPr>
        <w:ind w:right="520" w:firstLine="510"/>
        <w:spacing w:after="0" w:line="266" w:lineRule="auto"/>
        <w:rPr>
          <w:sz w:val="20"/>
          <w:szCs w:val="20"/>
          <w:color w:val="auto"/>
        </w:rPr>
      </w:pPr>
      <w:r>
        <w:rPr>
          <w:rFonts w:ascii="Arial" w:cs="Arial" w:eastAsia="Arial" w:hAnsi="Arial"/>
          <w:sz w:val="22"/>
          <w:szCs w:val="22"/>
          <w:color w:val="auto"/>
        </w:rPr>
        <w:t xml:space="preserve">33.5. </w:t>
      </w:r>
      <w:r>
        <w:rPr>
          <w:rFonts w:ascii="Arial" w:cs="Arial" w:eastAsia="Arial" w:hAnsi="Arial"/>
          <w:sz w:val="22"/>
          <w:szCs w:val="22"/>
          <w:u w:val="single" w:color="auto"/>
          <w:color w:val="auto"/>
        </w:rPr>
        <w:t>Captions and Titles</w:t>
      </w:r>
      <w:r>
        <w:rPr>
          <w:rFonts w:ascii="Arial" w:cs="Arial" w:eastAsia="Arial" w:hAnsi="Arial"/>
          <w:sz w:val="22"/>
          <w:szCs w:val="22"/>
          <w:color w:val="auto"/>
        </w:rPr>
        <w:t>. The use of captions and titles in this Plan or any Award Agreement or any other agreement entered into in connection with an Award is for the convenience of reference only and shall not affect the meaning or interpretation of any provision of this Plan or such agreement.</w:t>
      </w:r>
    </w:p>
    <w:p>
      <w:pPr>
        <w:spacing w:after="0" w:line="225" w:lineRule="exact"/>
        <w:rPr>
          <w:sz w:val="20"/>
          <w:szCs w:val="20"/>
          <w:color w:val="auto"/>
        </w:rPr>
      </w:pPr>
    </w:p>
    <w:p>
      <w:pPr>
        <w:jc w:val="center"/>
        <w:ind w:right="-539"/>
        <w:spacing w:after="0"/>
        <w:rPr>
          <w:sz w:val="20"/>
          <w:szCs w:val="20"/>
          <w:color w:val="auto"/>
        </w:rPr>
      </w:pPr>
      <w:r>
        <w:rPr>
          <w:rFonts w:ascii="Arial" w:cs="Arial" w:eastAsia="Arial" w:hAnsi="Arial"/>
          <w:sz w:val="22"/>
          <w:szCs w:val="22"/>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132320" cy="825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342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3">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0720"/>
          </w:cols>
          <w:pgMar w:left="320" w:top="395" w:right="859" w:bottom="1440" w:gutter="0" w:footer="0" w:header="0"/>
        </w:sectPr>
      </w:pPr>
    </w:p>
    <w:bookmarkStart w:id="222" w:name="page223"/>
    <w:bookmarkEnd w:id="222"/>
    <w:p>
      <w:pPr>
        <w:ind w:left="10120"/>
        <w:spacing w:after="0"/>
        <w:rPr>
          <w:sz w:val="20"/>
          <w:szCs w:val="20"/>
          <w:color w:val="auto"/>
        </w:rPr>
      </w:pPr>
      <w:r>
        <w:rPr>
          <w:rFonts w:ascii="Arial" w:cs="Arial" w:eastAsia="Arial" w:hAnsi="Arial"/>
          <w:sz w:val="19"/>
          <w:szCs w:val="19"/>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4">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5">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4.15</w:t>
      </w: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Dr. Moshe Eliash</w:t>
      </w:r>
    </w:p>
    <w:p>
      <w:pPr>
        <w:spacing w:after="0" w:line="27" w:lineRule="exact"/>
        <w:rPr>
          <w:sz w:val="20"/>
          <w:szCs w:val="20"/>
          <w:color w:val="auto"/>
        </w:rPr>
      </w:pPr>
    </w:p>
    <w:p>
      <w:pPr>
        <w:spacing w:after="0"/>
        <w:rPr>
          <w:sz w:val="20"/>
          <w:szCs w:val="20"/>
          <w:color w:val="auto"/>
        </w:rPr>
      </w:pPr>
      <w:r>
        <w:rPr>
          <w:rFonts w:ascii="Arial" w:cs="Arial" w:eastAsia="Arial" w:hAnsi="Arial"/>
          <w:sz w:val="22"/>
          <w:szCs w:val="22"/>
          <w:color w:val="auto"/>
        </w:rPr>
        <w:t>Barrister-at-law, Advocate and Notary</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2 Hasoreg St., POB 433</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Telephone 651681, 6054281</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Faximilia 6254282</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Jerusalem 91003</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Eliash7@bezeqint.net</w:t>
      </w:r>
    </w:p>
    <w:p>
      <w:pPr>
        <w:spacing w:after="0" w:line="283" w:lineRule="exact"/>
        <w:rPr>
          <w:sz w:val="20"/>
          <w:szCs w:val="20"/>
          <w:color w:val="auto"/>
        </w:rPr>
      </w:pPr>
    </w:p>
    <w:p>
      <w:pPr>
        <w:jc w:val="right"/>
        <w:spacing w:after="0"/>
        <w:rPr>
          <w:sz w:val="20"/>
          <w:szCs w:val="20"/>
          <w:color w:val="auto"/>
        </w:rPr>
      </w:pPr>
      <w:r>
        <w:rPr>
          <w:rFonts w:ascii="Arial" w:cs="Arial" w:eastAsia="Arial" w:hAnsi="Arial"/>
          <w:sz w:val="22"/>
          <w:szCs w:val="22"/>
          <w:color w:val="auto"/>
        </w:rPr>
        <w:t>Tuesday, 12 November 2019</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To: Sol-Gel</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Golda Meir 7</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Ness Ziona</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 xml:space="preserve">Re: </w:t>
      </w:r>
      <w:r>
        <w:rPr>
          <w:rFonts w:ascii="Arial" w:cs="Arial" w:eastAsia="Arial" w:hAnsi="Arial"/>
          <w:sz w:val="20"/>
          <w:szCs w:val="20"/>
          <w:b w:val="1"/>
          <w:bCs w:val="1"/>
          <w:u w:val="single" w:color="auto"/>
          <w:color w:val="auto"/>
        </w:rPr>
        <w:t>Extension of the lease periods</w:t>
      </w:r>
    </w:p>
    <w:p>
      <w:pPr>
        <w:spacing w:after="0" w:line="279" w:lineRule="exact"/>
        <w:rPr>
          <w:sz w:val="20"/>
          <w:szCs w:val="20"/>
          <w:color w:val="auto"/>
        </w:rPr>
      </w:pPr>
    </w:p>
    <w:p>
      <w:pPr>
        <w:ind w:right="340"/>
        <w:spacing w:after="0" w:line="262" w:lineRule="auto"/>
        <w:rPr>
          <w:sz w:val="20"/>
          <w:szCs w:val="20"/>
          <w:color w:val="auto"/>
        </w:rPr>
      </w:pPr>
      <w:r>
        <w:rPr>
          <w:rFonts w:ascii="Arial" w:cs="Arial" w:eastAsia="Arial" w:hAnsi="Arial"/>
          <w:sz w:val="22"/>
          <w:szCs w:val="22"/>
          <w:color w:val="auto"/>
        </w:rPr>
        <w:t>The owners of the property agree to extend the lease period in accordance with the lease agreement of 10/10/2007, as last amended in documents dated 30/3/16 and 22/09/16, and also the lease period in accordance with the lease agreement dated 30/01/17, as was last amended in documents dated 03/07/2018, so that the aforementioned lease periods end on December 31, 2023.</w:t>
      </w:r>
    </w:p>
    <w:p>
      <w:pPr>
        <w:spacing w:after="0" w:line="245" w:lineRule="exact"/>
        <w:rPr>
          <w:sz w:val="20"/>
          <w:szCs w:val="20"/>
          <w:color w:val="auto"/>
        </w:rPr>
      </w:pPr>
    </w:p>
    <w:p>
      <w:pPr>
        <w:ind w:right="880"/>
        <w:spacing w:after="0" w:line="276" w:lineRule="auto"/>
        <w:rPr>
          <w:sz w:val="20"/>
          <w:szCs w:val="20"/>
          <w:color w:val="auto"/>
        </w:rPr>
      </w:pPr>
      <w:r>
        <w:rPr>
          <w:rFonts w:ascii="Arial" w:cs="Arial" w:eastAsia="Arial" w:hAnsi="Arial"/>
          <w:sz w:val="22"/>
          <w:szCs w:val="22"/>
          <w:color w:val="auto"/>
        </w:rPr>
        <w:t>The extended lease periods are subject to all provisions of the aforementioned agreements, mutatis mutandis including provisions regarding the lease fee and management fee.</w:t>
      </w:r>
    </w:p>
    <w:p>
      <w:pPr>
        <w:spacing w:after="0" w:line="228" w:lineRule="exact"/>
        <w:rPr>
          <w:sz w:val="20"/>
          <w:szCs w:val="20"/>
          <w:color w:val="auto"/>
        </w:rPr>
      </w:pPr>
    </w:p>
    <w:p>
      <w:pPr>
        <w:ind w:right="140"/>
        <w:spacing w:after="0" w:line="358" w:lineRule="auto"/>
        <w:rPr>
          <w:sz w:val="20"/>
          <w:szCs w:val="20"/>
          <w:color w:val="auto"/>
        </w:rPr>
      </w:pPr>
      <w:r>
        <w:rPr>
          <w:rFonts w:ascii="Arial" w:cs="Arial" w:eastAsia="Arial" w:hAnsi="Arial"/>
          <w:sz w:val="19"/>
          <w:szCs w:val="19"/>
          <w:color w:val="auto"/>
        </w:rPr>
        <w:t>The owners guarantee that if any lessee evacuates parking spaces, the owners will inform you of such and you will be entitled to lease all or some of those parking space, upon a 14 day notice period, on the same terms as are customary at that time.</w:t>
      </w:r>
    </w:p>
    <w:p>
      <w:pPr>
        <w:spacing w:after="0" w:line="158" w:lineRule="exact"/>
        <w:rPr>
          <w:sz w:val="20"/>
          <w:szCs w:val="20"/>
          <w:color w:val="auto"/>
        </w:rPr>
      </w:pPr>
    </w:p>
    <w:p>
      <w:pPr>
        <w:spacing w:after="0"/>
        <w:rPr>
          <w:sz w:val="20"/>
          <w:szCs w:val="20"/>
          <w:color w:val="auto"/>
        </w:rPr>
      </w:pPr>
      <w:r>
        <w:rPr>
          <w:rFonts w:ascii="Arial" w:cs="Arial" w:eastAsia="Arial" w:hAnsi="Arial"/>
          <w:sz w:val="19"/>
          <w:szCs w:val="19"/>
          <w:color w:val="auto"/>
        </w:rPr>
        <w:t>If you agree to extend the lease periods as stated above, please confirm your approval on a copy of this letter and return to me.</w:t>
      </w:r>
    </w:p>
    <w:p>
      <w:pPr>
        <w:spacing w:after="0" w:line="322" w:lineRule="exact"/>
        <w:rPr>
          <w:sz w:val="20"/>
          <w:szCs w:val="20"/>
          <w:color w:val="auto"/>
        </w:rPr>
      </w:pPr>
    </w:p>
    <w:p>
      <w:pPr>
        <w:spacing w:after="0"/>
        <w:rPr>
          <w:sz w:val="20"/>
          <w:szCs w:val="20"/>
          <w:color w:val="auto"/>
        </w:rPr>
      </w:pPr>
      <w:r>
        <w:rPr>
          <w:rFonts w:ascii="Arial" w:cs="Arial" w:eastAsia="Arial" w:hAnsi="Arial"/>
          <w:sz w:val="22"/>
          <w:szCs w:val="22"/>
          <w:color w:val="auto"/>
        </w:rPr>
        <w:t>Respectfully,</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/s/ Moshe Eliash</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Dr. Moshe Eliash, Adv.</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We agree and confirm</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/s/ Gilad Mamlok</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Gilad Mamlok, CFO</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347345</wp:posOffset>
            </wp:positionV>
            <wp:extent cx="7132320" cy="342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7">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423" w:right="339" w:bottom="1440" w:gutter="0" w:footer="0" w:header="0"/>
        </w:sectPr>
      </w:pPr>
    </w:p>
    <w:bookmarkStart w:id="223" w:name="page224"/>
    <w:bookmarkEnd w:id="223"/>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89">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12.1</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CERTIFICATION BY CHIEF EXECUTIVE OFFICER PURSUANT TO SECTION 302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OF THE SARBANES-OXLEY ACT OF 2002</w:t>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22"/>
          <w:szCs w:val="22"/>
          <w:color w:val="auto"/>
        </w:rPr>
        <w:t>I, Alon Seri-Levy, certify that:</w:t>
      </w:r>
    </w:p>
    <w:p>
      <w:pPr>
        <w:spacing w:after="0" w:line="281" w:lineRule="exact"/>
        <w:rPr>
          <w:sz w:val="20"/>
          <w:szCs w:val="20"/>
          <w:color w:val="auto"/>
        </w:rPr>
      </w:pPr>
    </w:p>
    <w:p>
      <w:pPr>
        <w:ind w:left="840" w:hanging="333"/>
        <w:spacing w:after="0"/>
        <w:tabs>
          <w:tab w:leader="none" w:pos="840" w:val="left"/>
        </w:tabs>
        <w:numPr>
          <w:ilvl w:val="0"/>
          <w:numId w:val="210"/>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Sol-Gel Technologies Ltd.;</w:t>
      </w:r>
    </w:p>
    <w:p>
      <w:pPr>
        <w:spacing w:after="0" w:line="279" w:lineRule="exact"/>
        <w:rPr>
          <w:rFonts w:ascii="Arial" w:cs="Arial" w:eastAsia="Arial" w:hAnsi="Arial"/>
          <w:sz w:val="18"/>
          <w:szCs w:val="18"/>
          <w:color w:val="auto"/>
        </w:rPr>
      </w:pPr>
    </w:p>
    <w:p>
      <w:pPr>
        <w:jc w:val="both"/>
        <w:ind w:left="840" w:hanging="333"/>
        <w:spacing w:after="0" w:line="263" w:lineRule="auto"/>
        <w:tabs>
          <w:tab w:leader="none" w:pos="840" w:val="left"/>
        </w:tabs>
        <w:numPr>
          <w:ilvl w:val="0"/>
          <w:numId w:val="2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37" w:lineRule="exact"/>
        <w:rPr>
          <w:rFonts w:ascii="Arial" w:cs="Arial" w:eastAsia="Arial" w:hAnsi="Arial"/>
          <w:sz w:val="18"/>
          <w:szCs w:val="18"/>
          <w:color w:val="auto"/>
        </w:rPr>
      </w:pPr>
    </w:p>
    <w:p>
      <w:pPr>
        <w:ind w:left="840" w:hanging="333"/>
        <w:spacing w:after="0" w:line="308" w:lineRule="auto"/>
        <w:tabs>
          <w:tab w:leader="none" w:pos="840" w:val="left"/>
        </w:tabs>
        <w:numPr>
          <w:ilvl w:val="0"/>
          <w:numId w:val="21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00" w:lineRule="exact"/>
        <w:rPr>
          <w:rFonts w:ascii="Arial" w:cs="Arial" w:eastAsia="Arial" w:hAnsi="Arial"/>
          <w:sz w:val="17"/>
          <w:szCs w:val="17"/>
          <w:color w:val="auto"/>
        </w:rPr>
      </w:pPr>
    </w:p>
    <w:p>
      <w:pPr>
        <w:jc w:val="both"/>
        <w:ind w:left="840" w:hanging="333"/>
        <w:spacing w:after="0" w:line="291" w:lineRule="auto"/>
        <w:tabs>
          <w:tab w:leader="none" w:pos="840" w:val="left"/>
        </w:tabs>
        <w:numPr>
          <w:ilvl w:val="0"/>
          <w:numId w:val="210"/>
        </w:numPr>
        <w:rPr>
          <w:rFonts w:ascii="Arial" w:cs="Arial" w:eastAsia="Arial" w:hAnsi="Arial"/>
          <w:sz w:val="16"/>
          <w:szCs w:val="16"/>
          <w:color w:val="auto"/>
        </w:rPr>
      </w:pPr>
      <w:r>
        <w:rPr>
          <w:rFonts w:ascii="Arial" w:cs="Arial" w:eastAsia="Arial" w:hAnsi="Arial"/>
          <w:sz w:val="16"/>
          <w:szCs w:val="16"/>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840"/>
        <w:spacing w:after="0"/>
        <w:rPr>
          <w:rFonts w:ascii="Arial" w:cs="Arial" w:eastAsia="Arial" w:hAnsi="Arial"/>
          <w:sz w:val="16"/>
          <w:szCs w:val="16"/>
          <w:color w:val="auto"/>
        </w:rPr>
      </w:pPr>
      <w:r>
        <w:rPr>
          <w:rFonts w:ascii="Arial" w:cs="Arial" w:eastAsia="Arial" w:hAnsi="Arial"/>
          <w:sz w:val="18"/>
          <w:szCs w:val="18"/>
          <w:color w:val="auto"/>
        </w:rPr>
        <w:t>15d-15(f)) for the company and have:</w:t>
      </w:r>
    </w:p>
    <w:p>
      <w:pPr>
        <w:spacing w:after="0" w:line="264" w:lineRule="exact"/>
        <w:rPr>
          <w:rFonts w:ascii="Arial" w:cs="Arial" w:eastAsia="Arial" w:hAnsi="Arial"/>
          <w:sz w:val="16"/>
          <w:szCs w:val="16"/>
          <w:color w:val="auto"/>
        </w:rPr>
      </w:pPr>
    </w:p>
    <w:p>
      <w:pPr>
        <w:jc w:val="both"/>
        <w:ind w:left="1340" w:hanging="320"/>
        <w:spacing w:after="0" w:line="263" w:lineRule="auto"/>
        <w:tabs>
          <w:tab w:leader="none" w:pos="1340" w:val="left"/>
        </w:tabs>
        <w:numPr>
          <w:ilvl w:val="1"/>
          <w:numId w:val="2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37" w:lineRule="exact"/>
        <w:rPr>
          <w:rFonts w:ascii="Arial" w:cs="Arial" w:eastAsia="Arial" w:hAnsi="Arial"/>
          <w:sz w:val="18"/>
          <w:szCs w:val="18"/>
          <w:color w:val="auto"/>
        </w:rPr>
      </w:pPr>
    </w:p>
    <w:p>
      <w:pPr>
        <w:jc w:val="both"/>
        <w:ind w:left="1340" w:hanging="320"/>
        <w:spacing w:after="0" w:line="263" w:lineRule="auto"/>
        <w:tabs>
          <w:tab w:leader="none" w:pos="1340" w:val="left"/>
        </w:tabs>
        <w:numPr>
          <w:ilvl w:val="1"/>
          <w:numId w:val="2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37" w:lineRule="exact"/>
        <w:rPr>
          <w:rFonts w:ascii="Arial" w:cs="Arial" w:eastAsia="Arial" w:hAnsi="Arial"/>
          <w:sz w:val="18"/>
          <w:szCs w:val="18"/>
          <w:color w:val="auto"/>
        </w:rPr>
      </w:pPr>
    </w:p>
    <w:p>
      <w:pPr>
        <w:ind w:left="1340" w:right="20" w:hanging="320"/>
        <w:spacing w:after="0" w:line="342" w:lineRule="auto"/>
        <w:tabs>
          <w:tab w:leader="none" w:pos="1340" w:val="left"/>
        </w:tabs>
        <w:numPr>
          <w:ilvl w:val="1"/>
          <w:numId w:val="210"/>
        </w:numPr>
        <w:rPr>
          <w:rFonts w:ascii="Arial" w:cs="Arial" w:eastAsia="Arial" w:hAnsi="Arial"/>
          <w:sz w:val="16"/>
          <w:szCs w:val="16"/>
          <w:color w:val="auto"/>
        </w:rPr>
      </w:pPr>
      <w:r>
        <w:rPr>
          <w:rFonts w:ascii="Arial" w:cs="Arial" w:eastAsia="Arial" w:hAnsi="Arial"/>
          <w:sz w:val="16"/>
          <w:szCs w:val="16"/>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77" w:lineRule="exact"/>
        <w:rPr>
          <w:rFonts w:ascii="Arial" w:cs="Arial" w:eastAsia="Arial" w:hAnsi="Arial"/>
          <w:sz w:val="16"/>
          <w:szCs w:val="16"/>
          <w:color w:val="auto"/>
        </w:rPr>
      </w:pPr>
    </w:p>
    <w:p>
      <w:pPr>
        <w:jc w:val="both"/>
        <w:ind w:left="1340" w:hanging="320"/>
        <w:spacing w:after="0" w:line="263" w:lineRule="auto"/>
        <w:tabs>
          <w:tab w:leader="none" w:pos="1340" w:val="left"/>
        </w:tabs>
        <w:numPr>
          <w:ilvl w:val="1"/>
          <w:numId w:val="210"/>
        </w:numPr>
        <w:rPr>
          <w:rFonts w:ascii="Arial" w:cs="Arial" w:eastAsia="Arial" w:hAnsi="Arial"/>
          <w:sz w:val="18"/>
          <w:szCs w:val="18"/>
          <w:color w:val="auto"/>
        </w:rPr>
      </w:pPr>
      <w:r>
        <w:rPr>
          <w:rFonts w:ascii="Arial" w:cs="Arial" w:eastAsia="Arial" w:hAnsi="Arial"/>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37" w:lineRule="exact"/>
        <w:rPr>
          <w:rFonts w:ascii="Arial" w:cs="Arial" w:eastAsia="Arial" w:hAnsi="Arial"/>
          <w:sz w:val="18"/>
          <w:szCs w:val="18"/>
          <w:color w:val="auto"/>
        </w:rPr>
      </w:pPr>
    </w:p>
    <w:p>
      <w:pPr>
        <w:ind w:left="840" w:hanging="333"/>
        <w:spacing w:after="0" w:line="342" w:lineRule="auto"/>
        <w:tabs>
          <w:tab w:leader="none" w:pos="840" w:val="left"/>
        </w:tabs>
        <w:numPr>
          <w:ilvl w:val="0"/>
          <w:numId w:val="210"/>
        </w:numPr>
        <w:rPr>
          <w:rFonts w:ascii="Arial" w:cs="Arial" w:eastAsia="Arial" w:hAnsi="Arial"/>
          <w:sz w:val="16"/>
          <w:szCs w:val="16"/>
          <w:color w:val="auto"/>
        </w:rPr>
      </w:pPr>
      <w:r>
        <w:rPr>
          <w:rFonts w:ascii="Arial" w:cs="Arial" w:eastAsia="Arial" w:hAnsi="Arial"/>
          <w:sz w:val="16"/>
          <w:szCs w:val="16"/>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177" w:lineRule="exact"/>
        <w:rPr>
          <w:rFonts w:ascii="Arial" w:cs="Arial" w:eastAsia="Arial" w:hAnsi="Arial"/>
          <w:sz w:val="16"/>
          <w:szCs w:val="16"/>
          <w:color w:val="auto"/>
        </w:rPr>
      </w:pPr>
    </w:p>
    <w:p>
      <w:pPr>
        <w:ind w:left="1480" w:hanging="325"/>
        <w:spacing w:after="0" w:line="308" w:lineRule="auto"/>
        <w:tabs>
          <w:tab w:leader="none" w:pos="1480" w:val="left"/>
        </w:tabs>
        <w:numPr>
          <w:ilvl w:val="2"/>
          <w:numId w:val="21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00" w:lineRule="exact"/>
        <w:rPr>
          <w:rFonts w:ascii="Arial" w:cs="Arial" w:eastAsia="Arial" w:hAnsi="Arial"/>
          <w:sz w:val="17"/>
          <w:szCs w:val="17"/>
          <w:color w:val="auto"/>
        </w:rPr>
      </w:pPr>
    </w:p>
    <w:p>
      <w:pPr>
        <w:ind w:left="1480" w:hanging="325"/>
        <w:spacing w:after="0" w:line="277" w:lineRule="auto"/>
        <w:tabs>
          <w:tab w:leader="none" w:pos="1480" w:val="left"/>
        </w:tabs>
        <w:numPr>
          <w:ilvl w:val="2"/>
          <w:numId w:val="2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color w:val="auto"/>
        </w:rPr>
        <w:t>Date: March 24, 2020</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/s/ Alon Seri-Levy</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Alon Seri-Levy</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347345</wp:posOffset>
            </wp:positionV>
            <wp:extent cx="7132320" cy="342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1">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224" w:name="page225"/>
    <w:bookmarkEnd w:id="224"/>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342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2">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448945</wp:posOffset>
            </wp:positionV>
            <wp:extent cx="7132320" cy="82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3">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12.1</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CERTIFICATION BY CHIEF FINANCIAL OFFICER PURSUANT TO SECTION 302</w:t>
      </w:r>
    </w:p>
    <w:p>
      <w:pPr>
        <w:spacing w:after="0" w:line="27" w:lineRule="exact"/>
        <w:rPr>
          <w:sz w:val="20"/>
          <w:szCs w:val="20"/>
          <w:color w:val="auto"/>
        </w:rPr>
      </w:pPr>
    </w:p>
    <w:p>
      <w:pPr>
        <w:jc w:val="center"/>
        <w:spacing w:after="0" w:line="253" w:lineRule="exact"/>
        <w:rPr>
          <w:sz w:val="20"/>
          <w:szCs w:val="20"/>
          <w:color w:val="auto"/>
        </w:rPr>
      </w:pPr>
      <w:r>
        <w:rPr>
          <w:rFonts w:ascii="Arial" w:cs="Arial" w:eastAsia="Arial" w:hAnsi="Arial"/>
          <w:sz w:val="22"/>
          <w:szCs w:val="22"/>
          <w:b w:val="1"/>
          <w:bCs w:val="1"/>
          <w:color w:val="auto"/>
        </w:rPr>
        <w:t>OF THE SARBANES</w:t>
      </w:r>
      <w:r>
        <w:rPr>
          <w:rFonts w:ascii="MS PGothic" w:cs="MS PGothic" w:eastAsia="MS PGothic" w:hAnsi="MS PGothic"/>
          <w:sz w:val="22"/>
          <w:szCs w:val="22"/>
          <w:b w:val="1"/>
          <w:bCs w:val="1"/>
          <w:color w:val="auto"/>
        </w:rPr>
        <w:t>‑</w:t>
      </w:r>
      <w:r>
        <w:rPr>
          <w:rFonts w:ascii="Arial" w:cs="Arial" w:eastAsia="Arial" w:hAnsi="Arial"/>
          <w:sz w:val="22"/>
          <w:szCs w:val="22"/>
          <w:b w:val="1"/>
          <w:bCs w:val="1"/>
          <w:color w:val="auto"/>
        </w:rPr>
        <w:t>OXLEY ACT OF 2002</w:t>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22"/>
          <w:szCs w:val="22"/>
          <w:color w:val="auto"/>
        </w:rPr>
        <w:t>I, Gilad Mamlok, certify that:</w:t>
      </w:r>
    </w:p>
    <w:p>
      <w:pPr>
        <w:spacing w:after="0" w:line="281" w:lineRule="exact"/>
        <w:rPr>
          <w:sz w:val="20"/>
          <w:szCs w:val="20"/>
          <w:color w:val="auto"/>
        </w:rPr>
      </w:pPr>
    </w:p>
    <w:p>
      <w:pPr>
        <w:ind w:left="840" w:hanging="333"/>
        <w:spacing w:after="0"/>
        <w:tabs>
          <w:tab w:leader="none" w:pos="840" w:val="left"/>
        </w:tabs>
        <w:numPr>
          <w:ilvl w:val="0"/>
          <w:numId w:val="211"/>
        </w:numPr>
        <w:rPr>
          <w:rFonts w:ascii="Arial" w:cs="Arial" w:eastAsia="Arial" w:hAnsi="Arial"/>
          <w:sz w:val="18"/>
          <w:szCs w:val="18"/>
          <w:color w:val="auto"/>
        </w:rPr>
      </w:pPr>
      <w:r>
        <w:rPr>
          <w:rFonts w:ascii="Arial" w:cs="Arial" w:eastAsia="Arial" w:hAnsi="Arial"/>
          <w:sz w:val="18"/>
          <w:szCs w:val="18"/>
          <w:color w:val="auto"/>
        </w:rPr>
        <w:t>I have reviewed this annual report on Form 20-F of Sol-Gel Technologies Ltd.;</w:t>
      </w:r>
    </w:p>
    <w:p>
      <w:pPr>
        <w:spacing w:after="0" w:line="279" w:lineRule="exact"/>
        <w:rPr>
          <w:rFonts w:ascii="Arial" w:cs="Arial" w:eastAsia="Arial" w:hAnsi="Arial"/>
          <w:sz w:val="18"/>
          <w:szCs w:val="18"/>
          <w:color w:val="auto"/>
        </w:rPr>
      </w:pPr>
    </w:p>
    <w:p>
      <w:pPr>
        <w:jc w:val="both"/>
        <w:ind w:left="840" w:hanging="333"/>
        <w:spacing w:after="0" w:line="263" w:lineRule="auto"/>
        <w:tabs>
          <w:tab w:leader="none" w:pos="840" w:val="left"/>
        </w:tabs>
        <w:numPr>
          <w:ilvl w:val="0"/>
          <w:numId w:val="21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37" w:lineRule="exact"/>
        <w:rPr>
          <w:rFonts w:ascii="Arial" w:cs="Arial" w:eastAsia="Arial" w:hAnsi="Arial"/>
          <w:sz w:val="18"/>
          <w:szCs w:val="18"/>
          <w:color w:val="auto"/>
        </w:rPr>
      </w:pPr>
    </w:p>
    <w:p>
      <w:pPr>
        <w:ind w:left="840" w:hanging="333"/>
        <w:spacing w:after="0" w:line="308" w:lineRule="auto"/>
        <w:tabs>
          <w:tab w:leader="none" w:pos="840" w:val="left"/>
        </w:tabs>
        <w:numPr>
          <w:ilvl w:val="0"/>
          <w:numId w:val="2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00" w:lineRule="exact"/>
        <w:rPr>
          <w:rFonts w:ascii="Arial" w:cs="Arial" w:eastAsia="Arial" w:hAnsi="Arial"/>
          <w:sz w:val="17"/>
          <w:szCs w:val="17"/>
          <w:color w:val="auto"/>
        </w:rPr>
      </w:pPr>
    </w:p>
    <w:p>
      <w:pPr>
        <w:jc w:val="both"/>
        <w:ind w:left="840" w:hanging="333"/>
        <w:spacing w:after="0" w:line="291" w:lineRule="auto"/>
        <w:tabs>
          <w:tab w:leader="none" w:pos="840" w:val="left"/>
        </w:tabs>
        <w:numPr>
          <w:ilvl w:val="0"/>
          <w:numId w:val="211"/>
        </w:numPr>
        <w:rPr>
          <w:rFonts w:ascii="Arial" w:cs="Arial" w:eastAsia="Arial" w:hAnsi="Arial"/>
          <w:sz w:val="16"/>
          <w:szCs w:val="16"/>
          <w:color w:val="auto"/>
        </w:rPr>
      </w:pPr>
      <w:r>
        <w:rPr>
          <w:rFonts w:ascii="Arial" w:cs="Arial" w:eastAsia="Arial" w:hAnsi="Arial"/>
          <w:sz w:val="16"/>
          <w:szCs w:val="16"/>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840"/>
        <w:spacing w:after="0"/>
        <w:rPr>
          <w:rFonts w:ascii="Arial" w:cs="Arial" w:eastAsia="Arial" w:hAnsi="Arial"/>
          <w:sz w:val="16"/>
          <w:szCs w:val="16"/>
          <w:color w:val="auto"/>
        </w:rPr>
      </w:pPr>
      <w:r>
        <w:rPr>
          <w:rFonts w:ascii="Arial" w:cs="Arial" w:eastAsia="Arial" w:hAnsi="Arial"/>
          <w:sz w:val="18"/>
          <w:szCs w:val="18"/>
          <w:color w:val="auto"/>
        </w:rPr>
        <w:t>15d-15(f)) for the company and have:</w:t>
      </w:r>
    </w:p>
    <w:p>
      <w:pPr>
        <w:spacing w:after="0" w:line="264" w:lineRule="exact"/>
        <w:rPr>
          <w:rFonts w:ascii="Arial" w:cs="Arial" w:eastAsia="Arial" w:hAnsi="Arial"/>
          <w:sz w:val="16"/>
          <w:szCs w:val="16"/>
          <w:color w:val="auto"/>
        </w:rPr>
      </w:pPr>
    </w:p>
    <w:p>
      <w:pPr>
        <w:jc w:val="both"/>
        <w:ind w:left="1340" w:hanging="320"/>
        <w:spacing w:after="0" w:line="263" w:lineRule="auto"/>
        <w:tabs>
          <w:tab w:leader="none" w:pos="1340" w:val="left"/>
        </w:tabs>
        <w:numPr>
          <w:ilvl w:val="1"/>
          <w:numId w:val="2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37" w:lineRule="exact"/>
        <w:rPr>
          <w:rFonts w:ascii="Arial" w:cs="Arial" w:eastAsia="Arial" w:hAnsi="Arial"/>
          <w:sz w:val="18"/>
          <w:szCs w:val="18"/>
          <w:color w:val="auto"/>
        </w:rPr>
      </w:pPr>
    </w:p>
    <w:p>
      <w:pPr>
        <w:jc w:val="both"/>
        <w:ind w:left="1340" w:hanging="320"/>
        <w:spacing w:after="0" w:line="263" w:lineRule="auto"/>
        <w:tabs>
          <w:tab w:leader="none" w:pos="1340" w:val="left"/>
        </w:tabs>
        <w:numPr>
          <w:ilvl w:val="1"/>
          <w:numId w:val="2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37" w:lineRule="exact"/>
        <w:rPr>
          <w:rFonts w:ascii="Arial" w:cs="Arial" w:eastAsia="Arial" w:hAnsi="Arial"/>
          <w:sz w:val="18"/>
          <w:szCs w:val="18"/>
          <w:color w:val="auto"/>
        </w:rPr>
      </w:pPr>
    </w:p>
    <w:p>
      <w:pPr>
        <w:ind w:left="1340" w:right="20" w:hanging="320"/>
        <w:spacing w:after="0" w:line="342" w:lineRule="auto"/>
        <w:tabs>
          <w:tab w:leader="none" w:pos="1340" w:val="left"/>
        </w:tabs>
        <w:numPr>
          <w:ilvl w:val="1"/>
          <w:numId w:val="211"/>
        </w:numPr>
        <w:rPr>
          <w:rFonts w:ascii="Arial" w:cs="Arial" w:eastAsia="Arial" w:hAnsi="Arial"/>
          <w:sz w:val="16"/>
          <w:szCs w:val="16"/>
          <w:color w:val="auto"/>
        </w:rPr>
      </w:pPr>
      <w:r>
        <w:rPr>
          <w:rFonts w:ascii="Arial" w:cs="Arial" w:eastAsia="Arial" w:hAnsi="Arial"/>
          <w:sz w:val="16"/>
          <w:szCs w:val="16"/>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77" w:lineRule="exact"/>
        <w:rPr>
          <w:rFonts w:ascii="Arial" w:cs="Arial" w:eastAsia="Arial" w:hAnsi="Arial"/>
          <w:sz w:val="16"/>
          <w:szCs w:val="16"/>
          <w:color w:val="auto"/>
        </w:rPr>
      </w:pPr>
    </w:p>
    <w:p>
      <w:pPr>
        <w:jc w:val="both"/>
        <w:ind w:left="1340" w:hanging="320"/>
        <w:spacing w:after="0" w:line="263" w:lineRule="auto"/>
        <w:tabs>
          <w:tab w:leader="none" w:pos="1340" w:val="left"/>
        </w:tabs>
        <w:numPr>
          <w:ilvl w:val="1"/>
          <w:numId w:val="211"/>
        </w:numPr>
        <w:rPr>
          <w:rFonts w:ascii="Arial" w:cs="Arial" w:eastAsia="Arial" w:hAnsi="Arial"/>
          <w:sz w:val="18"/>
          <w:szCs w:val="18"/>
          <w:color w:val="auto"/>
        </w:rPr>
      </w:pPr>
      <w:r>
        <w:rPr>
          <w:rFonts w:ascii="Arial" w:cs="Arial" w:eastAsia="Arial" w:hAnsi="Arial"/>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37" w:lineRule="exact"/>
        <w:rPr>
          <w:rFonts w:ascii="Arial" w:cs="Arial" w:eastAsia="Arial" w:hAnsi="Arial"/>
          <w:sz w:val="18"/>
          <w:szCs w:val="18"/>
          <w:color w:val="auto"/>
        </w:rPr>
      </w:pPr>
    </w:p>
    <w:p>
      <w:pPr>
        <w:ind w:left="840" w:hanging="333"/>
        <w:spacing w:after="0" w:line="342" w:lineRule="auto"/>
        <w:tabs>
          <w:tab w:leader="none" w:pos="840" w:val="left"/>
        </w:tabs>
        <w:numPr>
          <w:ilvl w:val="0"/>
          <w:numId w:val="211"/>
        </w:numPr>
        <w:rPr>
          <w:rFonts w:ascii="Arial" w:cs="Arial" w:eastAsia="Arial" w:hAnsi="Arial"/>
          <w:sz w:val="16"/>
          <w:szCs w:val="16"/>
          <w:color w:val="auto"/>
        </w:rPr>
      </w:pPr>
      <w:r>
        <w:rPr>
          <w:rFonts w:ascii="Arial" w:cs="Arial" w:eastAsia="Arial" w:hAnsi="Arial"/>
          <w:sz w:val="16"/>
          <w:szCs w:val="16"/>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177" w:lineRule="exact"/>
        <w:rPr>
          <w:rFonts w:ascii="Arial" w:cs="Arial" w:eastAsia="Arial" w:hAnsi="Arial"/>
          <w:sz w:val="16"/>
          <w:szCs w:val="16"/>
          <w:color w:val="auto"/>
        </w:rPr>
      </w:pPr>
    </w:p>
    <w:p>
      <w:pPr>
        <w:ind w:left="1480" w:hanging="325"/>
        <w:spacing w:after="0" w:line="308" w:lineRule="auto"/>
        <w:tabs>
          <w:tab w:leader="none" w:pos="1480" w:val="left"/>
        </w:tabs>
        <w:numPr>
          <w:ilvl w:val="2"/>
          <w:numId w:val="21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00" w:lineRule="exact"/>
        <w:rPr>
          <w:rFonts w:ascii="Arial" w:cs="Arial" w:eastAsia="Arial" w:hAnsi="Arial"/>
          <w:sz w:val="17"/>
          <w:szCs w:val="17"/>
          <w:color w:val="auto"/>
        </w:rPr>
      </w:pPr>
    </w:p>
    <w:p>
      <w:pPr>
        <w:ind w:left="1480" w:hanging="325"/>
        <w:spacing w:after="0" w:line="277" w:lineRule="auto"/>
        <w:tabs>
          <w:tab w:leader="none" w:pos="1480" w:val="left"/>
        </w:tabs>
        <w:numPr>
          <w:ilvl w:val="2"/>
          <w:numId w:val="2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 March 24,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Gilad Mamlok</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Gilad Mamlok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4">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132320" cy="342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5">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814" w:right="339" w:bottom="1440" w:gutter="0" w:footer="0" w:header="0"/>
        </w:sectPr>
      </w:pPr>
    </w:p>
    <w:bookmarkStart w:id="225" w:name="page226"/>
    <w:bookmarkEnd w:id="225"/>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285115</wp:posOffset>
            </wp:positionH>
            <wp:positionV relativeFrom="page">
              <wp:posOffset>88900</wp:posOffset>
            </wp:positionV>
            <wp:extent cx="7054850" cy="342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6">
                      <a:extLst>
                        <a:ext uri="{28A0092B-C50C-407E-A947-70E740481C1C}"/>
                      </a:extLst>
                    </a:blip>
                    <a:srcRect/>
                    <a:stretch>
                      <a:fillRect/>
                    </a:stretch>
                  </pic:blipFill>
                  <pic:spPr bwMode="auto">
                    <a:xfrm>
                      <a:off x="0" y="0"/>
                      <a:ext cx="7054850" cy="34290"/>
                    </a:xfrm>
                    <a:prstGeom prst="rect">
                      <a:avLst/>
                    </a:prstGeom>
                    <a:noFill/>
                  </pic:spPr>
                </pic:pic>
              </a:graphicData>
            </a:graphic>
          </wp:anchor>
        </w:drawing>
        <w:drawing>
          <wp:anchor simplePos="0" relativeHeight="251657728" behindDoc="1" locked="0" layoutInCell="0" allowOverlap="1">
            <wp:simplePos x="0" y="0"/>
            <wp:positionH relativeFrom="page">
              <wp:posOffset>285115</wp:posOffset>
            </wp:positionH>
            <wp:positionV relativeFrom="page">
              <wp:posOffset>208915</wp:posOffset>
            </wp:positionV>
            <wp:extent cx="7054850" cy="825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7">
                      <a:extLst>
                        <a:ext uri="{28A0092B-C50C-407E-A947-70E740481C1C}"/>
                      </a:extLst>
                    </a:blip>
                    <a:srcRect/>
                    <a:stretch>
                      <a:fillRect/>
                    </a:stretch>
                  </pic:blipFill>
                  <pic:spPr bwMode="auto">
                    <a:xfrm>
                      <a:off x="0" y="0"/>
                      <a:ext cx="7054850" cy="8255"/>
                    </a:xfrm>
                    <a:prstGeom prst="rect">
                      <a:avLst/>
                    </a:prstGeom>
                    <a:noFill/>
                  </pic:spPr>
                </pic:pic>
              </a:graphicData>
            </a:graphic>
          </wp:anchor>
        </w:drawing>
        <w:t>Exhibit 13</w:t>
      </w:r>
    </w:p>
    <w:p>
      <w:pPr>
        <w:spacing w:after="0" w:line="200" w:lineRule="exact"/>
        <w:rPr>
          <w:sz w:val="20"/>
          <w:szCs w:val="20"/>
          <w:color w:val="auto"/>
        </w:rPr>
      </w:pPr>
    </w:p>
    <w:p>
      <w:pPr>
        <w:spacing w:after="0" w:line="357" w:lineRule="exact"/>
        <w:rPr>
          <w:sz w:val="20"/>
          <w:szCs w:val="20"/>
          <w:color w:val="auto"/>
        </w:rPr>
      </w:pPr>
    </w:p>
    <w:p>
      <w:pPr>
        <w:ind w:left="1700"/>
        <w:spacing w:after="0"/>
        <w:rPr>
          <w:sz w:val="20"/>
          <w:szCs w:val="20"/>
          <w:color w:val="auto"/>
        </w:rPr>
      </w:pPr>
      <w:r>
        <w:rPr>
          <w:rFonts w:ascii="Arial" w:cs="Arial" w:eastAsia="Arial" w:hAnsi="Arial"/>
          <w:sz w:val="22"/>
          <w:szCs w:val="22"/>
          <w:b w:val="1"/>
          <w:bCs w:val="1"/>
          <w:color w:val="auto"/>
        </w:rPr>
        <w:t>CERTIFICATION BY CHIEF EXECUTIVE OFFICER AND CHIEF FINANCIAL</w:t>
      </w:r>
    </w:p>
    <w:p>
      <w:pPr>
        <w:spacing w:after="0" w:line="27" w:lineRule="exact"/>
        <w:rPr>
          <w:sz w:val="20"/>
          <w:szCs w:val="20"/>
          <w:color w:val="auto"/>
        </w:rPr>
      </w:pPr>
    </w:p>
    <w:p>
      <w:pPr>
        <w:ind w:left="1500"/>
        <w:spacing w:after="0"/>
        <w:rPr>
          <w:sz w:val="20"/>
          <w:szCs w:val="20"/>
          <w:color w:val="auto"/>
        </w:rPr>
      </w:pPr>
      <w:r>
        <w:rPr>
          <w:rFonts w:ascii="Arial" w:cs="Arial" w:eastAsia="Arial" w:hAnsi="Arial"/>
          <w:sz w:val="22"/>
          <w:szCs w:val="22"/>
          <w:b w:val="1"/>
          <w:bCs w:val="1"/>
          <w:color w:val="auto"/>
        </w:rPr>
        <w:t>OFFICER PURSUAN TO SECTION 906 OF THE SARBANES-OXLEY ACT OF 2002</w:t>
      </w:r>
    </w:p>
    <w:p>
      <w:pPr>
        <w:spacing w:after="0" w:line="283" w:lineRule="exact"/>
        <w:rPr>
          <w:sz w:val="20"/>
          <w:szCs w:val="20"/>
          <w:color w:val="auto"/>
        </w:rPr>
      </w:pPr>
    </w:p>
    <w:p>
      <w:pPr>
        <w:jc w:val="both"/>
        <w:ind w:right="120"/>
        <w:spacing w:after="0" w:line="262" w:lineRule="auto"/>
        <w:rPr>
          <w:sz w:val="20"/>
          <w:szCs w:val="20"/>
          <w:color w:val="auto"/>
        </w:rPr>
      </w:pPr>
      <w:r>
        <w:rPr>
          <w:rFonts w:ascii="Arial" w:cs="Arial" w:eastAsia="Arial" w:hAnsi="Arial"/>
          <w:sz w:val="22"/>
          <w:szCs w:val="22"/>
          <w:color w:val="auto"/>
        </w:rPr>
        <w:t>In connection with the Annual Report of Sol-Gel Technologies Ltd. (the “Company”) on Form 20-F for the period ended December 31, 2019 as filed with the Securities and Exchange Commission on the date hereof (the “Report”), each of the undersigned officers of the Company certifies, pursuant to 18 U.S.C. §1350, as adopted pursuant to §906 of the Sarbanes-Oxley Act of 2002, that to such officer's knowledge:</w:t>
      </w:r>
    </w:p>
    <w:p>
      <w:pPr>
        <w:spacing w:after="0" w:line="239" w:lineRule="exact"/>
        <w:rPr>
          <w:sz w:val="20"/>
          <w:szCs w:val="20"/>
          <w:color w:val="auto"/>
        </w:rPr>
      </w:pPr>
    </w:p>
    <w:p>
      <w:pPr>
        <w:ind w:left="660" w:hanging="652"/>
        <w:spacing w:after="0"/>
        <w:tabs>
          <w:tab w:leader="none" w:pos="66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3" w:lineRule="exact"/>
        <w:rPr>
          <w:rFonts w:ascii="Arial" w:cs="Arial" w:eastAsia="Arial" w:hAnsi="Arial"/>
          <w:sz w:val="18"/>
          <w:szCs w:val="18"/>
          <w:color w:val="auto"/>
        </w:rPr>
      </w:pPr>
    </w:p>
    <w:p>
      <w:pPr>
        <w:ind w:left="660" w:hanging="652"/>
        <w:spacing w:after="0"/>
        <w:tabs>
          <w:tab w:leader="none" w:pos="660" w:val="left"/>
        </w:tabs>
        <w:numPr>
          <w:ilvl w:val="0"/>
          <w:numId w:val="212"/>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94" w:lineRule="exact"/>
        <w:rPr>
          <w:sz w:val="20"/>
          <w:szCs w:val="20"/>
          <w:color w:val="auto"/>
        </w:rPr>
      </w:pPr>
    </w:p>
    <w:p>
      <w:pPr>
        <w:spacing w:after="0"/>
        <w:rPr>
          <w:sz w:val="20"/>
          <w:szCs w:val="20"/>
          <w:color w:val="auto"/>
        </w:rPr>
      </w:pPr>
      <w:r>
        <w:rPr>
          <w:rFonts w:ascii="Arial" w:cs="Arial" w:eastAsia="Arial" w:hAnsi="Arial"/>
          <w:sz w:val="22"/>
          <w:szCs w:val="22"/>
          <w:color w:val="auto"/>
        </w:rPr>
        <w:t>Dated: March 24, 2020</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/s/ Alon Seri-Levy</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Alon Seri-Levy</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Chief Executive Officer</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/s/ Gilad Mamlok</w:t>
      </w:r>
    </w:p>
    <w:p>
      <w:pPr>
        <w:spacing w:after="0" w:line="21" w:lineRule="exact"/>
        <w:rPr>
          <w:sz w:val="20"/>
          <w:szCs w:val="20"/>
          <w:color w:val="auto"/>
        </w:rPr>
      </w:pPr>
    </w:p>
    <w:p>
      <w:pPr>
        <w:spacing w:after="0"/>
        <w:rPr>
          <w:sz w:val="20"/>
          <w:szCs w:val="20"/>
          <w:color w:val="auto"/>
        </w:rPr>
      </w:pPr>
      <w:r>
        <w:rPr>
          <w:rFonts w:ascii="Arial" w:cs="Arial" w:eastAsia="Arial" w:hAnsi="Arial"/>
          <w:sz w:val="22"/>
          <w:szCs w:val="22"/>
          <w:color w:val="auto"/>
        </w:rPr>
        <w:t>Gilad Mamlok</w:t>
      </w:r>
    </w:p>
    <w:p>
      <w:pPr>
        <w:spacing w:after="0" w:line="17" w:lineRule="exact"/>
        <w:rPr>
          <w:sz w:val="20"/>
          <w:szCs w:val="20"/>
          <w:color w:val="auto"/>
        </w:rPr>
      </w:pPr>
    </w:p>
    <w:p>
      <w:pPr>
        <w:spacing w:after="0"/>
        <w:rPr>
          <w:sz w:val="20"/>
          <w:szCs w:val="20"/>
          <w:color w:val="auto"/>
        </w:rPr>
      </w:pPr>
      <w:r>
        <w:rPr>
          <w:rFonts w:ascii="Arial" w:cs="Arial" w:eastAsia="Arial" w:hAnsi="Arial"/>
          <w:sz w:val="22"/>
          <w:szCs w:val="22"/>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253365</wp:posOffset>
            </wp:positionV>
            <wp:extent cx="7132320" cy="825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347345</wp:posOffset>
            </wp:positionV>
            <wp:extent cx="7132320" cy="342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9">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226" w:name="page227"/>
    <w:bookmarkEnd w:id="226"/>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342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0">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448945</wp:posOffset>
            </wp:positionV>
            <wp:extent cx="7132320" cy="825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01">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1303020" cy="110617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2">
                      <a:extLst>
                        <a:ext uri="{28A0092B-C50C-407E-A947-70E740481C1C}"/>
                      </a:extLst>
                    </a:blip>
                    <a:srcRect/>
                    <a:stretch>
                      <a:fillRect/>
                    </a:stretch>
                  </pic:blipFill>
                  <pic:spPr bwMode="auto">
                    <a:xfrm>
                      <a:off x="0" y="0"/>
                      <a:ext cx="1303020" cy="1106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CONSENT OF INDEPENDENT REGISTERED PUBLIC ACCOUNTING FIRM</w:t>
      </w:r>
    </w:p>
    <w:p>
      <w:pPr>
        <w:spacing w:after="0" w:line="293" w:lineRule="exact"/>
        <w:rPr>
          <w:sz w:val="20"/>
          <w:szCs w:val="20"/>
          <w:color w:val="auto"/>
        </w:rPr>
      </w:pPr>
    </w:p>
    <w:p>
      <w:pPr>
        <w:ind w:right="60"/>
        <w:spacing w:after="0" w:line="266" w:lineRule="auto"/>
        <w:rPr>
          <w:sz w:val="20"/>
          <w:szCs w:val="20"/>
          <w:color w:val="auto"/>
        </w:rPr>
      </w:pPr>
      <w:r>
        <w:rPr>
          <w:rFonts w:ascii="Arial" w:cs="Arial" w:eastAsia="Arial" w:hAnsi="Arial"/>
          <w:sz w:val="22"/>
          <w:szCs w:val="22"/>
          <w:color w:val="auto"/>
        </w:rPr>
        <w:t>We hereby consent to the incorporation by reference in the Registration Statements on Form S-8 (No. 333-223915) and Form F-3 (No. 333-230564) of Sol-Gel Technologies Ltd. of our report dated March 24, 2020 relating to the financial statements, which appears in this Form 20-F.</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620" w:type="dxa"/>
            <w:vAlign w:val="bottom"/>
          </w:tcPr>
          <w:p>
            <w:pPr>
              <w:spacing w:after="0"/>
              <w:rPr>
                <w:sz w:val="20"/>
                <w:szCs w:val="20"/>
                <w:color w:val="auto"/>
              </w:rPr>
            </w:pPr>
            <w:r>
              <w:rPr>
                <w:rFonts w:ascii="Arial" w:cs="Arial" w:eastAsia="Arial" w:hAnsi="Arial"/>
                <w:sz w:val="18"/>
                <w:szCs w:val="18"/>
                <w:color w:val="auto"/>
              </w:rPr>
              <w:t>Tel-Aviv, Israel</w:t>
            </w:r>
          </w:p>
        </w:tc>
        <w:tc>
          <w:tcPr>
            <w:tcW w:w="4740" w:type="dxa"/>
            <w:vAlign w:val="bottom"/>
            <w:gridSpan w:val="2"/>
          </w:tcPr>
          <w:p>
            <w:pPr>
              <w:spacing w:after="0"/>
              <w:rPr>
                <w:sz w:val="20"/>
                <w:szCs w:val="20"/>
                <w:color w:val="auto"/>
              </w:rPr>
            </w:pPr>
            <w:r>
              <w:rPr>
                <w:rFonts w:ascii="Arial" w:cs="Arial" w:eastAsia="Arial" w:hAnsi="Arial"/>
                <w:sz w:val="18"/>
                <w:szCs w:val="18"/>
                <w:color w:val="auto"/>
              </w:rPr>
              <w:t>/s/Kesselman &amp; Kesselman</w:t>
            </w:r>
          </w:p>
        </w:tc>
      </w:tr>
      <w:tr>
        <w:trPr>
          <w:trHeight w:val="20"/>
        </w:trPr>
        <w:tc>
          <w:tcPr>
            <w:tcW w:w="5620" w:type="dxa"/>
            <w:vAlign w:val="bottom"/>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r>
      <w:tr>
        <w:trPr>
          <w:trHeight w:val="222"/>
        </w:trPr>
        <w:tc>
          <w:tcPr>
            <w:tcW w:w="5620" w:type="dxa"/>
            <w:vAlign w:val="bottom"/>
          </w:tcPr>
          <w:p>
            <w:pPr>
              <w:spacing w:after="0"/>
              <w:rPr>
                <w:sz w:val="20"/>
                <w:szCs w:val="20"/>
                <w:color w:val="auto"/>
              </w:rPr>
            </w:pPr>
            <w:r>
              <w:rPr>
                <w:rFonts w:ascii="Arial" w:cs="Arial" w:eastAsia="Arial" w:hAnsi="Arial"/>
                <w:sz w:val="18"/>
                <w:szCs w:val="18"/>
                <w:color w:val="auto"/>
              </w:rPr>
              <w:t>March 24, 2020</w:t>
            </w:r>
          </w:p>
        </w:tc>
        <w:tc>
          <w:tcPr>
            <w:tcW w:w="4740" w:type="dxa"/>
            <w:vAlign w:val="bottom"/>
            <w:gridSpan w:val="2"/>
          </w:tcPr>
          <w:p>
            <w:pPr>
              <w:spacing w:after="0"/>
              <w:rPr>
                <w:sz w:val="20"/>
                <w:szCs w:val="20"/>
                <w:color w:val="auto"/>
              </w:rPr>
            </w:pPr>
            <w:r>
              <w:rPr>
                <w:rFonts w:ascii="Arial" w:cs="Arial" w:eastAsia="Arial" w:hAnsi="Arial"/>
                <w:sz w:val="18"/>
                <w:szCs w:val="18"/>
                <w:color w:val="auto"/>
              </w:rPr>
              <w:t>Certified Public Accountants (Isr.)</w:t>
            </w:r>
          </w:p>
        </w:tc>
      </w:tr>
      <w:tr>
        <w:trPr>
          <w:trHeight w:val="230"/>
        </w:trPr>
        <w:tc>
          <w:tcPr>
            <w:tcW w:w="5620" w:type="dxa"/>
            <w:vAlign w:val="bottom"/>
          </w:tcPr>
          <w:p>
            <w:pPr>
              <w:spacing w:after="0"/>
              <w:rPr>
                <w:sz w:val="20"/>
                <w:szCs w:val="20"/>
                <w:color w:val="auto"/>
              </w:rPr>
            </w:pPr>
          </w:p>
        </w:tc>
        <w:tc>
          <w:tcPr>
            <w:tcW w:w="4740" w:type="dxa"/>
            <w:vAlign w:val="bottom"/>
            <w:gridSpan w:val="2"/>
          </w:tcPr>
          <w:p>
            <w:pPr>
              <w:spacing w:after="0"/>
              <w:rPr>
                <w:sz w:val="20"/>
                <w:szCs w:val="20"/>
                <w:color w:val="auto"/>
              </w:rPr>
            </w:pPr>
            <w:r>
              <w:rPr>
                <w:rFonts w:ascii="Arial" w:cs="Arial" w:eastAsia="Arial" w:hAnsi="Arial"/>
                <w:sz w:val="18"/>
                <w:szCs w:val="18"/>
                <w:color w:val="auto"/>
                <w:w w:val="92"/>
              </w:rPr>
              <w:t>A member firm of PricewaterhouseCoopers International Limited</w:t>
            </w:r>
          </w:p>
        </w:tc>
      </w:tr>
    </w:tbl>
    <w:p>
      <w:pPr>
        <w:spacing w:after="0" w:line="200" w:lineRule="exact"/>
        <w:rPr>
          <w:sz w:val="20"/>
          <w:szCs w:val="20"/>
          <w:color w:val="auto"/>
        </w:rPr>
      </w:pPr>
    </w:p>
    <w:p>
      <w:pPr>
        <w:spacing w:after="0" w:line="231"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Kesselman &amp; Kesselman, Trade Tower, 25 Hamered Street, Tel-Aviv 6812508, Israel,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825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0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-113030</wp:posOffset>
            </wp:positionV>
            <wp:extent cx="889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0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-95885</wp:posOffset>
            </wp:positionV>
            <wp:extent cx="8890" cy="825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05">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-78740</wp:posOffset>
            </wp:positionV>
            <wp:extent cx="8890" cy="82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6">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-61595</wp:posOffset>
            </wp:positionV>
            <wp:extent cx="8890" cy="825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7">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-44450</wp:posOffset>
            </wp:positionV>
            <wp:extent cx="8890"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08">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-27305</wp:posOffset>
            </wp:positionV>
            <wp:extent cx="889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0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-10160</wp:posOffset>
            </wp:positionV>
            <wp:extent cx="8890" cy="82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0">
                      <a:extLst>
                        <a:ext uri="{28A0092B-C50C-407E-A947-70E740481C1C}"/>
                      </a:extLst>
                    </a:blip>
                    <a:srcRect/>
                    <a:stretch>
                      <a:fillRect/>
                    </a:stretch>
                  </pic:blipFill>
                  <pic:spPr bwMode="auto">
                    <a:xfrm>
                      <a:off x="0" y="0"/>
                      <a:ext cx="889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6350</wp:posOffset>
            </wp:positionV>
            <wp:extent cx="8890"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11">
                      <a:extLst>
                        <a:ext uri="{28A0092B-C50C-407E-A947-70E740481C1C}"/>
                      </a:extLst>
                    </a:blip>
                    <a:srcRect/>
                    <a:stretch>
                      <a:fillRect/>
                    </a:stretch>
                  </pic:blipFill>
                  <pic:spPr bwMode="auto">
                    <a:xfrm>
                      <a:off x="0" y="0"/>
                      <a:ext cx="8890" cy="8255"/>
                    </a:xfrm>
                    <a:prstGeom prst="rect">
                      <a:avLst/>
                    </a:prstGeom>
                    <a:noFill/>
                  </pic:spPr>
                </pic:pic>
              </a:graphicData>
            </a:graphic>
          </wp:anchor>
        </w:drawing>
      </w:r>
    </w:p>
    <w:p>
      <w:pPr>
        <w:spacing w:after="0" w:line="3"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P.O Box 50005 Tel-Aviv 6150001 Telephone: +972 -3- 7954555, Fax:+972 -3- 7954556, www.pwc.com/il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825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132320" cy="342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13">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1240"/>
      </w:cols>
      <w:pgMar w:left="320" w:top="108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92CA79"/>
    <w:multiLevelType w:val="hybridMultilevel"/>
    <w:lvl w:ilvl="0">
      <w:lvlJc w:val="left"/>
      <w:lvlText w:val="☐"/>
      <w:numFmt w:val="bullet"/>
      <w:start w:val="1"/>
    </w:lvl>
  </w:abstractNum>
  <w:abstractNum w:abstractNumId="1">
    <w:nsid w:val="1D545C4D"/>
    <w:multiLevelType w:val="hybridMultilevel"/>
    <w:lvl w:ilvl="0">
      <w:lvlJc w:val="left"/>
      <w:lvlText w:val="☒"/>
      <w:numFmt w:val="bullet"/>
      <w:start w:val="1"/>
    </w:lvl>
  </w:abstractNum>
  <w:abstractNum w:abstractNumId="2">
    <w:nsid w:val="59ADEA3D"/>
    <w:multiLevelType w:val="hybridMultilevel"/>
    <w:lvl w:ilvl="0">
      <w:lvlJc w:val="left"/>
      <w:lvlText w:val="☐"/>
      <w:numFmt w:val="bullet"/>
      <w:start w:val="1"/>
    </w:lvl>
  </w:abstractNum>
  <w:abstractNum w:abstractNumId="3">
    <w:nsid w:val="288F1A34"/>
    <w:multiLevelType w:val="hybridMultilevel"/>
    <w:lvl w:ilvl="0">
      <w:lvlJc w:val="left"/>
      <w:lvlText w:val="☐"/>
      <w:numFmt w:val="bullet"/>
      <w:start w:val="1"/>
    </w:lvl>
  </w:abstractNum>
  <w:abstractNum w:abstractNumId="4">
    <w:nsid w:val="2A155DBC"/>
    <w:multiLevelType w:val="hybridMultilevel"/>
    <w:lvl w:ilvl="0">
      <w:lvlJc w:val="left"/>
      <w:lvlText w:val="(%1)"/>
      <w:numFmt w:val="lowerRoman"/>
      <w:start w:val="1"/>
    </w:lvl>
  </w:abstractNum>
  <w:abstractNum w:abstractNumId="5">
    <w:nsid w:val="1D9F6E5F"/>
    <w:multiLevelType w:val="hybridMultilevel"/>
    <w:lvl w:ilvl="0">
      <w:lvlJc w:val="left"/>
      <w:lvlText w:val="•"/>
      <w:numFmt w:val="bullet"/>
      <w:start w:val="1"/>
    </w:lvl>
  </w:abstractNum>
  <w:abstractNum w:abstractNumId="6">
    <w:nsid w:val="97E1B4E"/>
    <w:multiLevelType w:val="hybridMultilevel"/>
    <w:lvl w:ilvl="0">
      <w:lvlJc w:val="left"/>
      <w:lvlText w:val="%1."/>
      <w:numFmt w:val="upperLetter"/>
      <w:start w:val="1"/>
    </w:lvl>
  </w:abstractNum>
  <w:abstractNum w:abstractNumId="7">
    <w:nsid w:val="51088277"/>
    <w:multiLevelType w:val="hybridMultilevel"/>
    <w:lvl w:ilvl="0">
      <w:lvlJc w:val="left"/>
      <w:lvlText w:val="*"/>
      <w:numFmt w:val="bullet"/>
      <w:start w:val="1"/>
    </w:lvl>
  </w:abstractNum>
  <w:abstractNum w:abstractNumId="8">
    <w:nsid w:val="1CA0C5FA"/>
    <w:multiLevelType w:val="hybridMultilevel"/>
    <w:lvl w:ilvl="0">
      <w:lvlJc w:val="left"/>
      <w:lvlText w:val="%1."/>
      <w:numFmt w:val="upperLetter"/>
      <w:start w:val="2"/>
    </w:lvl>
  </w:abstractNum>
  <w:abstractNum w:abstractNumId="9">
    <w:nsid w:val="53584BCB"/>
    <w:multiLevelType w:val="hybridMultilevel"/>
    <w:lvl w:ilvl="0">
      <w:lvlJc w:val="left"/>
      <w:lvlText w:val="%1."/>
      <w:numFmt w:val="upperLetter"/>
      <w:start w:val="4"/>
    </w:lvl>
  </w:abstractNum>
  <w:abstractNum w:abstractNumId="10">
    <w:nsid w:val="415E286C"/>
    <w:multiLevelType w:val="hybridMultilevel"/>
    <w:lvl w:ilvl="0">
      <w:lvlJc w:val="left"/>
      <w:lvlText w:val="•"/>
      <w:numFmt w:val="bullet"/>
      <w:start w:val="1"/>
    </w:lvl>
  </w:abstractNum>
  <w:abstractNum w:abstractNumId="11">
    <w:nsid w:val="7C58FD05"/>
    <w:multiLevelType w:val="hybridMultilevel"/>
    <w:lvl w:ilvl="0">
      <w:lvlJc w:val="left"/>
      <w:lvlText w:val="•"/>
      <w:numFmt w:val="bullet"/>
      <w:start w:val="1"/>
    </w:lvl>
    <w:lvl w:ilvl="1">
      <w:lvlJc w:val="left"/>
      <w:lvlText w:val="•"/>
      <w:numFmt w:val="bullet"/>
      <w:start w:val="1"/>
    </w:lvl>
  </w:abstractNum>
  <w:abstractNum w:abstractNumId="12">
    <w:nsid w:val="23D86AAC"/>
    <w:multiLevelType w:val="hybridMultilevel"/>
    <w:lvl w:ilvl="0">
      <w:lvlJc w:val="left"/>
      <w:lvlText w:val="•"/>
      <w:numFmt w:val="bullet"/>
      <w:start w:val="1"/>
    </w:lvl>
  </w:abstractNum>
  <w:abstractNum w:abstractNumId="13">
    <w:nsid w:val="45E6D486"/>
    <w:multiLevelType w:val="hybridMultilevel"/>
    <w:lvl w:ilvl="0">
      <w:lvlJc w:val="left"/>
      <w:lvlText w:val="•"/>
      <w:numFmt w:val="bullet"/>
      <w:start w:val="1"/>
    </w:lvl>
  </w:abstractNum>
  <w:abstractNum w:abstractNumId="14">
    <w:nsid w:val="5C10FE21"/>
    <w:multiLevelType w:val="hybridMultilevel"/>
    <w:lvl w:ilvl="0">
      <w:lvlJc w:val="left"/>
      <w:lvlText w:val="(%1)"/>
      <w:numFmt w:val="decimal"/>
      <w:start w:val="2"/>
    </w:lvl>
  </w:abstractNum>
  <w:abstractNum w:abstractNumId="15">
    <w:nsid w:val="E7FFA2B"/>
    <w:multiLevelType w:val="hybridMultilevel"/>
    <w:lvl w:ilvl="0">
      <w:lvlJc w:val="left"/>
      <w:lvlText w:val="•"/>
      <w:numFmt w:val="bullet"/>
      <w:start w:val="1"/>
    </w:lvl>
  </w:abstractNum>
  <w:abstractNum w:abstractNumId="16">
    <w:nsid w:val="3C5991AA"/>
    <w:multiLevelType w:val="hybridMultilevel"/>
    <w:lvl w:ilvl="0">
      <w:lvlJc w:val="left"/>
      <w:lvlText w:val="•"/>
      <w:numFmt w:val="bullet"/>
      <w:start w:val="1"/>
    </w:lvl>
  </w:abstractNum>
  <w:abstractNum w:abstractNumId="17">
    <w:nsid w:val="4BD8591A"/>
    <w:multiLevelType w:val="hybridMultilevel"/>
    <w:lvl w:ilvl="0">
      <w:lvlJc w:val="left"/>
      <w:lvlText w:val="•"/>
      <w:numFmt w:val="bullet"/>
      <w:start w:val="1"/>
    </w:lvl>
  </w:abstractNum>
  <w:abstractNum w:abstractNumId="18">
    <w:nsid w:val="78DF6A55"/>
    <w:multiLevelType w:val="hybridMultilevel"/>
    <w:lvl w:ilvl="0">
      <w:lvlJc w:val="left"/>
      <w:lvlText w:val="•"/>
      <w:numFmt w:val="bullet"/>
      <w:start w:val="1"/>
    </w:lvl>
  </w:abstractNum>
  <w:abstractNum w:abstractNumId="19">
    <w:nsid w:val="39B7AAA2"/>
    <w:multiLevelType w:val="hybridMultilevel"/>
    <w:lvl w:ilvl="0">
      <w:lvlJc w:val="left"/>
      <w:lvlText w:val="•"/>
      <w:numFmt w:val="bullet"/>
      <w:start w:val="1"/>
    </w:lvl>
  </w:abstractNum>
  <w:abstractNum w:abstractNumId="20">
    <w:nsid w:val="2B0D8DBE"/>
    <w:multiLevelType w:val="hybridMultilevel"/>
    <w:lvl w:ilvl="0">
      <w:lvlJc w:val="left"/>
      <w:lvlText w:val="•"/>
      <w:numFmt w:val="bullet"/>
      <w:start w:val="1"/>
    </w:lvl>
  </w:abstractNum>
  <w:abstractNum w:abstractNumId="21">
    <w:nsid w:val="6C80EC70"/>
    <w:multiLevelType w:val="hybridMultilevel"/>
    <w:lvl w:ilvl="0">
      <w:lvlJc w:val="left"/>
      <w:lvlText w:val="•"/>
      <w:numFmt w:val="bullet"/>
      <w:start w:val="1"/>
    </w:lvl>
  </w:abstractNum>
  <w:abstractNum w:abstractNumId="22">
    <w:nsid w:val="379E21B5"/>
    <w:multiLevelType w:val="hybridMultilevel"/>
    <w:lvl w:ilvl="0">
      <w:lvlJc w:val="left"/>
      <w:lvlText w:val="•"/>
      <w:numFmt w:val="bullet"/>
      <w:start w:val="1"/>
    </w:lvl>
  </w:abstractNum>
  <w:abstractNum w:abstractNumId="23">
    <w:nsid w:val="69E373"/>
    <w:multiLevelType w:val="hybridMultilevel"/>
    <w:lvl w:ilvl="0">
      <w:lvlJc w:val="left"/>
      <w:lvlText w:val="•"/>
      <w:numFmt w:val="bullet"/>
      <w:start w:val="1"/>
    </w:lvl>
  </w:abstractNum>
  <w:abstractNum w:abstractNumId="24">
    <w:nsid w:val="2C27173B"/>
    <w:multiLevelType w:val="hybridMultilevel"/>
    <w:lvl w:ilvl="0">
      <w:lvlJc w:val="left"/>
      <w:lvlText w:val="•"/>
      <w:numFmt w:val="bullet"/>
      <w:start w:val="1"/>
    </w:lvl>
  </w:abstractNum>
  <w:abstractNum w:abstractNumId="25">
    <w:nsid w:val="4C9B0904"/>
    <w:multiLevelType w:val="hybridMultilevel"/>
    <w:lvl w:ilvl="0">
      <w:lvlJc w:val="left"/>
      <w:lvlText w:val="•"/>
      <w:numFmt w:val="bullet"/>
      <w:start w:val="1"/>
    </w:lvl>
  </w:abstractNum>
  <w:abstractNum w:abstractNumId="26">
    <w:nsid w:val="6AA7B75C"/>
    <w:multiLevelType w:val="hybridMultilevel"/>
    <w:lvl w:ilvl="0">
      <w:lvlJc w:val="left"/>
      <w:lvlText w:val="•"/>
      <w:numFmt w:val="bullet"/>
      <w:start w:val="1"/>
    </w:lvl>
  </w:abstractNum>
  <w:abstractNum w:abstractNumId="27">
    <w:nsid w:val="1DF029D3"/>
    <w:multiLevelType w:val="hybridMultilevel"/>
    <w:lvl w:ilvl="0">
      <w:lvlJc w:val="left"/>
      <w:lvlText w:val="•"/>
      <w:numFmt w:val="bullet"/>
      <w:start w:val="1"/>
    </w:lvl>
  </w:abstractNum>
  <w:abstractNum w:abstractNumId="28">
    <w:nsid w:val="5675FF36"/>
    <w:multiLevelType w:val="hybridMultilevel"/>
    <w:lvl w:ilvl="0">
      <w:lvlJc w:val="left"/>
      <w:lvlText w:val="•"/>
      <w:numFmt w:val="bullet"/>
      <w:start w:val="1"/>
    </w:lvl>
  </w:abstractNum>
  <w:abstractNum w:abstractNumId="29">
    <w:nsid w:val="3DD15094"/>
    <w:multiLevelType w:val="hybridMultilevel"/>
    <w:lvl w:ilvl="0">
      <w:lvlJc w:val="left"/>
      <w:lvlText w:val="•"/>
      <w:numFmt w:val="bullet"/>
      <w:start w:val="1"/>
    </w:lvl>
  </w:abstractNum>
  <w:abstractNum w:abstractNumId="30">
    <w:nsid w:val="3DB012B3"/>
    <w:multiLevelType w:val="hybridMultilevel"/>
    <w:lvl w:ilvl="0">
      <w:lvlJc w:val="left"/>
      <w:lvlText w:val="•"/>
      <w:numFmt w:val="bullet"/>
      <w:start w:val="1"/>
    </w:lvl>
  </w:abstractNum>
  <w:abstractNum w:abstractNumId="31">
    <w:nsid w:val="2708C9AF"/>
    <w:multiLevelType w:val="hybridMultilevel"/>
    <w:lvl w:ilvl="0">
      <w:lvlJc w:val="left"/>
      <w:lvlText w:val="•"/>
      <w:numFmt w:val="bullet"/>
      <w:start w:val="1"/>
    </w:lvl>
  </w:abstractNum>
  <w:abstractNum w:abstractNumId="32">
    <w:nsid w:val="5B25ACE2"/>
    <w:multiLevelType w:val="hybridMultilevel"/>
    <w:lvl w:ilvl="0">
      <w:lvlJc w:val="left"/>
      <w:lvlText w:val="•"/>
      <w:numFmt w:val="bullet"/>
      <w:start w:val="1"/>
    </w:lvl>
  </w:abstractNum>
  <w:abstractNum w:abstractNumId="33">
    <w:nsid w:val="175DFCF0"/>
    <w:multiLevelType w:val="hybridMultilevel"/>
    <w:lvl w:ilvl="0">
      <w:lvlJc w:val="left"/>
      <w:lvlText w:val="•"/>
      <w:numFmt w:val="bullet"/>
      <w:start w:val="1"/>
    </w:lvl>
  </w:abstractNum>
  <w:abstractNum w:abstractNumId="34">
    <w:nsid w:val="4F97E3E4"/>
    <w:multiLevelType w:val="hybridMultilevel"/>
    <w:lvl w:ilvl="0">
      <w:lvlJc w:val="left"/>
      <w:lvlText w:val="•"/>
      <w:numFmt w:val="bullet"/>
      <w:start w:val="1"/>
    </w:lvl>
  </w:abstractNum>
  <w:abstractNum w:abstractNumId="35">
    <w:nsid w:val="53B0A9E"/>
    <w:multiLevelType w:val="hybridMultilevel"/>
    <w:lvl w:ilvl="0">
      <w:lvlJc w:val="left"/>
      <w:lvlText w:val="•"/>
      <w:numFmt w:val="bullet"/>
      <w:start w:val="1"/>
    </w:lvl>
  </w:abstractNum>
  <w:abstractNum w:abstractNumId="36">
    <w:nsid w:val="34FD6B4F"/>
    <w:multiLevelType w:val="hybridMultilevel"/>
    <w:lvl w:ilvl="0">
      <w:lvlJc w:val="left"/>
      <w:lvlText w:val="%1."/>
      <w:numFmt w:val="upperLetter"/>
      <w:start w:val="1"/>
    </w:lvl>
  </w:abstractNum>
  <w:abstractNum w:abstractNumId="37">
    <w:nsid w:val="5915FF32"/>
    <w:multiLevelType w:val="hybridMultilevel"/>
    <w:lvl w:ilvl="0">
      <w:lvlJc w:val="left"/>
      <w:lvlText w:val="%1."/>
      <w:numFmt w:val="upperLetter"/>
      <w:start w:val="2"/>
    </w:lvl>
  </w:abstractNum>
  <w:abstractNum w:abstractNumId="38">
    <w:nsid w:val="56438D15"/>
    <w:multiLevelType w:val="hybridMultilevel"/>
    <w:lvl w:ilvl="0">
      <w:lvlJc w:val="left"/>
      <w:lvlText w:val="%1."/>
      <w:numFmt w:val="decimal"/>
      <w:start w:val="12"/>
    </w:lvl>
  </w:abstractNum>
  <w:abstractNum w:abstractNumId="39">
    <w:nsid w:val="519E3149"/>
    <w:multiLevelType w:val="hybridMultilevel"/>
    <w:lvl w:ilvl="0">
      <w:lvlJc w:val="left"/>
      <w:lvlText w:val="•"/>
      <w:numFmt w:val="bullet"/>
      <w:start w:val="1"/>
    </w:lvl>
  </w:abstractNum>
  <w:abstractNum w:abstractNumId="40">
    <w:nsid w:val="2C6E4AFD"/>
    <w:multiLevelType w:val="hybridMultilevel"/>
    <w:lvl w:ilvl="0">
      <w:lvlJc w:val="left"/>
      <w:lvlText w:val="•"/>
      <w:numFmt w:val="bullet"/>
      <w:start w:val="1"/>
    </w:lvl>
    <w:lvl w:ilvl="1">
      <w:lvlJc w:val="left"/>
      <w:lvlText w:val="%2"/>
      <w:numFmt w:val="decimal"/>
      <w:start w:val="92"/>
    </w:lvl>
  </w:abstractNum>
  <w:abstractNum w:abstractNumId="41">
    <w:nsid w:val="17A1B582"/>
    <w:multiLevelType w:val="hybridMultilevel"/>
    <w:lvl w:ilvl="0">
      <w:lvlJc w:val="left"/>
      <w:lvlText w:val="•"/>
      <w:numFmt w:val="bullet"/>
      <w:start w:val="1"/>
    </w:lvl>
    <w:lvl w:ilvl="1">
      <w:lvlJc w:val="left"/>
      <w:lvlText w:val="%2."/>
      <w:numFmt w:val="decimal"/>
      <w:start w:val="12"/>
    </w:lvl>
  </w:abstractNum>
  <w:abstractNum w:abstractNumId="42">
    <w:nsid w:val="4DF72E4E"/>
    <w:multiLevelType w:val="hybridMultilevel"/>
    <w:lvl w:ilvl="0">
      <w:lvlJc w:val="left"/>
      <w:lvlText w:val="%1."/>
      <w:numFmt w:val="decimal"/>
      <w:start w:val="12"/>
    </w:lvl>
  </w:abstractNum>
  <w:abstractNum w:abstractNumId="43">
    <w:nsid w:val="5046B5A9"/>
    <w:multiLevelType w:val="hybridMultilevel"/>
    <w:lvl w:ilvl="0">
      <w:lvlJc w:val="left"/>
      <w:lvlText w:val="•"/>
      <w:numFmt w:val="bullet"/>
      <w:start w:val="1"/>
    </w:lvl>
  </w:abstractNum>
  <w:abstractNum w:abstractNumId="44">
    <w:nsid w:val="5D888A08"/>
    <w:multiLevelType w:val="hybridMultilevel"/>
    <w:lvl w:ilvl="0">
      <w:lvlJc w:val="left"/>
      <w:lvlText w:val="•"/>
      <w:numFmt w:val="bullet"/>
      <w:start w:val="1"/>
    </w:lvl>
  </w:abstractNum>
  <w:abstractNum w:abstractNumId="45">
    <w:nsid w:val="2A082C70"/>
    <w:multiLevelType w:val="hybridMultilevel"/>
    <w:lvl w:ilvl="0">
      <w:lvlJc w:val="left"/>
      <w:lvlText w:val="•"/>
      <w:numFmt w:val="bullet"/>
      <w:start w:val="1"/>
    </w:lvl>
  </w:abstractNum>
  <w:abstractNum w:abstractNumId="46">
    <w:nsid w:val="5EC6AFD4"/>
    <w:multiLevelType w:val="hybridMultilevel"/>
    <w:lvl w:ilvl="0">
      <w:lvlJc w:val="left"/>
      <w:lvlText w:val="•"/>
      <w:numFmt w:val="bullet"/>
      <w:start w:val="1"/>
    </w:lvl>
  </w:abstractNum>
  <w:abstractNum w:abstractNumId="47">
    <w:nsid w:val="19E21BB2"/>
    <w:multiLevelType w:val="hybridMultilevel"/>
    <w:lvl w:ilvl="0">
      <w:lvlJc w:val="left"/>
      <w:lvlText w:val="•"/>
      <w:numFmt w:val="bullet"/>
      <w:start w:val="1"/>
    </w:lvl>
  </w:abstractNum>
  <w:abstractNum w:abstractNumId="48">
    <w:nsid w:val="75E0858A"/>
    <w:multiLevelType w:val="hybridMultilevel"/>
    <w:lvl w:ilvl="0">
      <w:lvlJc w:val="left"/>
      <w:lvlText w:val="•"/>
      <w:numFmt w:val="bullet"/>
      <w:start w:val="1"/>
    </w:lvl>
  </w:abstractNum>
  <w:abstractNum w:abstractNumId="49">
    <w:nsid w:val="57A61A29"/>
    <w:multiLevelType w:val="hybridMultilevel"/>
    <w:lvl w:ilvl="0">
      <w:lvlJc w:val="left"/>
      <w:lvlText w:val="•"/>
      <w:numFmt w:val="bullet"/>
      <w:start w:val="1"/>
    </w:lvl>
  </w:abstractNum>
  <w:abstractNum w:abstractNumId="50">
    <w:nsid w:val="5399C654"/>
    <w:multiLevelType w:val="hybridMultilevel"/>
    <w:lvl w:ilvl="0">
      <w:lvlJc w:val="left"/>
      <w:lvlText w:val="•"/>
      <w:numFmt w:val="bullet"/>
      <w:start w:val="1"/>
    </w:lvl>
  </w:abstractNum>
  <w:abstractNum w:abstractNumId="51">
    <w:nsid w:val="20EE1348"/>
    <w:multiLevelType w:val="hybridMultilevel"/>
    <w:lvl w:ilvl="0">
      <w:lvlJc w:val="left"/>
      <w:lvlText w:val="•"/>
      <w:numFmt w:val="bullet"/>
      <w:start w:val="1"/>
    </w:lvl>
  </w:abstractNum>
  <w:abstractNum w:abstractNumId="52">
    <w:nsid w:val="4427069A"/>
    <w:multiLevelType w:val="hybridMultilevel"/>
    <w:lvl w:ilvl="0">
      <w:lvlJc w:val="left"/>
      <w:lvlText w:val="•"/>
      <w:numFmt w:val="bullet"/>
      <w:start w:val="1"/>
    </w:lvl>
  </w:abstractNum>
  <w:abstractNum w:abstractNumId="53">
    <w:nsid w:val="B37E80A"/>
    <w:multiLevelType w:val="hybridMultilevel"/>
    <w:lvl w:ilvl="0">
      <w:lvlJc w:val="left"/>
      <w:lvlText w:val="•"/>
      <w:numFmt w:val="bullet"/>
      <w:start w:val="1"/>
    </w:lvl>
  </w:abstractNum>
  <w:abstractNum w:abstractNumId="54">
    <w:nsid w:val="2157F6BC"/>
    <w:multiLevelType w:val="hybridMultilevel"/>
    <w:lvl w:ilvl="0">
      <w:lvlJc w:val="left"/>
      <w:lvlText w:val="•"/>
      <w:numFmt w:val="bullet"/>
      <w:start w:val="1"/>
    </w:lvl>
  </w:abstractNum>
  <w:abstractNum w:abstractNumId="55">
    <w:nsid w:val="704E1DD5"/>
    <w:multiLevelType w:val="hybridMultilevel"/>
    <w:lvl w:ilvl="0">
      <w:lvlJc w:val="left"/>
      <w:lvlText w:val="•"/>
      <w:numFmt w:val="bullet"/>
      <w:start w:val="1"/>
    </w:lvl>
  </w:abstractNum>
  <w:abstractNum w:abstractNumId="56">
    <w:nsid w:val="57D2F10E"/>
    <w:multiLevelType w:val="hybridMultilevel"/>
    <w:lvl w:ilvl="0">
      <w:lvlJc w:val="left"/>
      <w:lvlText w:val="%1."/>
      <w:numFmt w:val="upperLetter"/>
      <w:start w:val="3"/>
    </w:lvl>
  </w:abstractNum>
  <w:abstractNum w:abstractNumId="57">
    <w:nsid w:val="BFFAE18"/>
    <w:multiLevelType w:val="hybridMultilevel"/>
    <w:lvl w:ilvl="0">
      <w:lvlJc w:val="left"/>
      <w:lvlText w:val="%1."/>
      <w:numFmt w:val="upperLetter"/>
      <w:start w:val="4"/>
    </w:lvl>
  </w:abstractNum>
  <w:abstractNum w:abstractNumId="58">
    <w:nsid w:val="E3E47A8"/>
    <w:multiLevelType w:val="hybridMultilevel"/>
    <w:lvl w:ilvl="0">
      <w:lvlJc w:val="left"/>
      <w:lvlText w:val="%1."/>
      <w:numFmt w:val="decimal"/>
      <w:start w:val="12"/>
    </w:lvl>
  </w:abstractNum>
  <w:abstractNum w:abstractNumId="59">
    <w:nsid w:val="2E48F044"/>
    <w:multiLevelType w:val="hybridMultilevel"/>
    <w:lvl w:ilvl="0">
      <w:lvlJc w:val="left"/>
      <w:lvlText w:val="%1."/>
      <w:numFmt w:val="upperLetter"/>
      <w:start w:val="1"/>
    </w:lvl>
  </w:abstractNum>
  <w:abstractNum w:abstractNumId="60">
    <w:nsid w:val="49D0FEAC"/>
    <w:multiLevelType w:val="hybridMultilevel"/>
    <w:lvl w:ilvl="0">
      <w:lvlJc w:val="left"/>
      <w:lvlText w:val="•"/>
      <w:numFmt w:val="bullet"/>
      <w:start w:val="1"/>
    </w:lvl>
  </w:abstractNum>
  <w:abstractNum w:abstractNumId="61">
    <w:nsid w:val="4BEE5A5B"/>
    <w:multiLevelType w:val="hybridMultilevel"/>
    <w:lvl w:ilvl="0">
      <w:lvlJc w:val="left"/>
      <w:lvlText w:val="•"/>
      <w:numFmt w:val="bullet"/>
      <w:start w:val="1"/>
    </w:lvl>
  </w:abstractNum>
  <w:abstractNum w:abstractNumId="62">
    <w:nsid w:val="5551B9F3"/>
    <w:multiLevelType w:val="hybridMultilevel"/>
    <w:lvl w:ilvl="0">
      <w:lvlJc w:val="left"/>
      <w:lvlText w:val="•"/>
      <w:numFmt w:val="bullet"/>
      <w:start w:val="1"/>
    </w:lvl>
  </w:abstractNum>
  <w:abstractNum w:abstractNumId="63">
    <w:nsid w:val="24F6AB8E"/>
    <w:multiLevelType w:val="hybridMultilevel"/>
    <w:lvl w:ilvl="0">
      <w:lvlJc w:val="left"/>
      <w:lvlText w:val="(%1)"/>
      <w:numFmt w:val="lowerRoman"/>
      <w:start w:val="1"/>
    </w:lvl>
  </w:abstractNum>
  <w:abstractNum w:abstractNumId="64">
    <w:nsid w:val="634C574C"/>
    <w:multiLevelType w:val="hybridMultilevel"/>
    <w:lvl w:ilvl="0">
      <w:lvlJc w:val="left"/>
      <w:lvlText w:val="%1."/>
      <w:numFmt w:val="upperLetter"/>
      <w:start w:val="2"/>
    </w:lvl>
  </w:abstractNum>
  <w:abstractNum w:abstractNumId="65">
    <w:nsid w:val="24E99DD7"/>
    <w:multiLevelType w:val="hybridMultilevel"/>
    <w:lvl w:ilvl="0">
      <w:lvlJc w:val="left"/>
      <w:lvlText w:val="•"/>
      <w:numFmt w:val="bullet"/>
      <w:start w:val="1"/>
    </w:lvl>
  </w:abstractNum>
  <w:abstractNum w:abstractNumId="66">
    <w:nsid w:val="2A31B62D"/>
    <w:multiLevelType w:val="hybridMultilevel"/>
    <w:lvl w:ilvl="0">
      <w:lvlJc w:val="left"/>
      <w:lvlText w:val="%1."/>
      <w:numFmt w:val="upperLetter"/>
      <w:start w:val="3"/>
    </w:lvl>
  </w:abstractNum>
  <w:abstractNum w:abstractNumId="67">
    <w:nsid w:val="1849C29B"/>
    <w:multiLevelType w:val="hybridMultilevel"/>
    <w:lvl w:ilvl="0">
      <w:lvlJc w:val="left"/>
      <w:lvlText w:val="%1."/>
      <w:numFmt w:val="decimal"/>
      <w:start w:val="5"/>
    </w:lvl>
  </w:abstractNum>
  <w:abstractNum w:abstractNumId="68">
    <w:nsid w:val="7DFF9D09"/>
    <w:multiLevelType w:val="hybridMultilevel"/>
    <w:lvl w:ilvl="0">
      <w:lvlJc w:val="left"/>
      <w:lvlText w:val="%1."/>
      <w:numFmt w:val="upperLetter"/>
      <w:start w:val="4"/>
    </w:lvl>
  </w:abstractNum>
  <w:abstractNum w:abstractNumId="69">
    <w:nsid w:val="754342"/>
    <w:multiLevelType w:val="hybridMultilevel"/>
    <w:lvl w:ilvl="0">
      <w:lvlJc w:val="left"/>
      <w:lvlText w:val="%1."/>
      <w:numFmt w:val="upperLetter"/>
      <w:start w:val="5"/>
    </w:lvl>
  </w:abstractNum>
  <w:abstractNum w:abstractNumId="70">
    <w:nsid w:val="69E7F3E5"/>
    <w:multiLevelType w:val="hybridMultilevel"/>
    <w:lvl w:ilvl="0">
      <w:lvlJc w:val="left"/>
      <w:lvlText w:val="%1."/>
      <w:numFmt w:val="upperLetter"/>
      <w:start w:val="6"/>
    </w:lvl>
  </w:abstractNum>
  <w:abstractNum w:abstractNumId="71">
    <w:nsid w:val="2A6DE806"/>
    <w:multiLevelType w:val="hybridMultilevel"/>
    <w:lvl w:ilvl="0">
      <w:lvlJc w:val="left"/>
      <w:lvlText w:val="(%1)"/>
      <w:numFmt w:val="decimal"/>
      <w:start w:val="1"/>
    </w:lvl>
  </w:abstractNum>
  <w:abstractNum w:abstractNumId="72">
    <w:nsid w:val="1816F8C4"/>
    <w:multiLevelType w:val="hybridMultilevel"/>
    <w:lvl w:ilvl="0">
      <w:lvlJc w:val="left"/>
      <w:lvlText w:val="%1."/>
      <w:numFmt w:val="upperLetter"/>
      <w:start w:val="1"/>
    </w:lvl>
  </w:abstractNum>
  <w:abstractNum w:abstractNumId="73">
    <w:nsid w:val="37DF2233"/>
    <w:multiLevelType w:val="hybridMultilevel"/>
    <w:lvl w:ilvl="0">
      <w:lvlJc w:val="left"/>
      <w:lvlText w:val="%1."/>
      <w:numFmt w:val="upperLetter"/>
      <w:start w:val="2"/>
    </w:lvl>
  </w:abstractNum>
  <w:abstractNum w:abstractNumId="74">
    <w:nsid w:val="7AB49DAF"/>
    <w:multiLevelType w:val="hybridMultilevel"/>
    <w:lvl w:ilvl="0">
      <w:lvlJc w:val="left"/>
      <w:lvlText w:val="(%1)"/>
      <w:numFmt w:val="decimal"/>
      <w:start w:val="1"/>
    </w:lvl>
  </w:abstractNum>
  <w:abstractNum w:abstractNumId="75">
    <w:nsid w:val="759F82CD"/>
    <w:multiLevelType w:val="hybridMultilevel"/>
    <w:lvl w:ilvl="0">
      <w:lvlJc w:val="left"/>
      <w:lvlText w:val="%1."/>
      <w:numFmt w:val="upperLetter"/>
      <w:start w:val="3"/>
    </w:lvl>
  </w:abstractNum>
  <w:abstractNum w:abstractNumId="76">
    <w:nsid w:val="61E74EA3"/>
    <w:multiLevelType w:val="hybridMultilevel"/>
    <w:lvl w:ilvl="0">
      <w:lvlJc w:val="left"/>
      <w:lvlText w:val="•"/>
      <w:numFmt w:val="bullet"/>
      <w:start w:val="1"/>
    </w:lvl>
  </w:abstractNum>
  <w:abstractNum w:abstractNumId="77">
    <w:nsid w:val="597B4D84"/>
    <w:multiLevelType w:val="hybridMultilevel"/>
    <w:lvl w:ilvl="0">
      <w:lvlJc w:val="left"/>
      <w:lvlText w:val="•"/>
      <w:numFmt w:val="bullet"/>
      <w:start w:val="1"/>
    </w:lvl>
  </w:abstractNum>
  <w:abstractNum w:abstractNumId="78">
    <w:nsid w:val="F819E7F"/>
    <w:multiLevelType w:val="hybridMultilevel"/>
    <w:lvl w:ilvl="0">
      <w:lvlJc w:val="left"/>
      <w:lvlText w:val="•"/>
      <w:numFmt w:val="bullet"/>
      <w:start w:val="1"/>
    </w:lvl>
  </w:abstractNum>
  <w:abstractNum w:abstractNumId="79">
    <w:nsid w:val="57C7D42D"/>
    <w:multiLevelType w:val="hybridMultilevel"/>
    <w:lvl w:ilvl="0">
      <w:lvlJc w:val="left"/>
      <w:lvlText w:val="•"/>
      <w:numFmt w:val="bullet"/>
      <w:start w:val="1"/>
    </w:lvl>
  </w:abstractNum>
  <w:abstractNum w:abstractNumId="80">
    <w:nsid w:val="312167AD"/>
    <w:multiLevelType w:val="hybridMultilevel"/>
    <w:lvl w:ilvl="0">
      <w:lvlJc w:val="left"/>
      <w:lvlText w:val="•"/>
      <w:numFmt w:val="bullet"/>
      <w:start w:val="1"/>
    </w:lvl>
  </w:abstractNum>
  <w:abstractNum w:abstractNumId="81">
    <w:nsid w:val="631B64D4"/>
    <w:multiLevelType w:val="hybridMultilevel"/>
    <w:lvl w:ilvl="0">
      <w:lvlJc w:val="left"/>
      <w:lvlText w:val="•"/>
      <w:numFmt w:val="bullet"/>
      <w:start w:val="1"/>
    </w:lvl>
  </w:abstractNum>
  <w:abstractNum w:abstractNumId="82">
    <w:nsid w:val="78B5E776"/>
    <w:multiLevelType w:val="hybridMultilevel"/>
    <w:lvl w:ilvl="0">
      <w:lvlJc w:val="left"/>
      <w:lvlText w:val="(%1)"/>
      <w:numFmt w:val="decimal"/>
      <w:start w:val="1"/>
    </w:lvl>
  </w:abstractNum>
  <w:abstractNum w:abstractNumId="83">
    <w:nsid w:val="75486E47"/>
    <w:multiLevelType w:val="hybridMultilevel"/>
    <w:lvl w:ilvl="0">
      <w:lvlJc w:val="left"/>
      <w:lvlText w:val="•"/>
      <w:numFmt w:val="bullet"/>
      <w:start w:val="1"/>
    </w:lvl>
  </w:abstractNum>
  <w:abstractNum w:abstractNumId="84">
    <w:nsid w:val="6E534CDE"/>
    <w:multiLevelType w:val="hybridMultilevel"/>
    <w:lvl w:ilvl="0">
      <w:lvlJc w:val="left"/>
      <w:lvlText w:val="•"/>
      <w:numFmt w:val="bullet"/>
      <w:start w:val="1"/>
    </w:lvl>
    <w:lvl w:ilvl="1">
      <w:lvlJc w:val="left"/>
      <w:lvlText w:val="\endash "/>
      <w:numFmt w:val="bullet"/>
      <w:start w:val="1"/>
    </w:lvl>
  </w:abstractNum>
  <w:abstractNum w:abstractNumId="85">
    <w:nsid w:val="1A0DDE32"/>
    <w:multiLevelType w:val="hybridMultilevel"/>
    <w:lvl w:ilvl="0">
      <w:lvlJc w:val="left"/>
      <w:lvlText w:val="•"/>
      <w:numFmt w:val="bullet"/>
      <w:start w:val="1"/>
    </w:lvl>
  </w:abstractNum>
  <w:abstractNum w:abstractNumId="86">
    <w:nsid w:val="65968C1C"/>
    <w:multiLevelType w:val="hybridMultilevel"/>
    <w:lvl w:ilvl="0">
      <w:lvlJc w:val="left"/>
      <w:lvlText w:val="•"/>
      <w:numFmt w:val="bullet"/>
      <w:start w:val="1"/>
    </w:lvl>
  </w:abstractNum>
  <w:abstractNum w:abstractNumId="87">
    <w:nsid w:val="46263DEC"/>
    <w:multiLevelType w:val="hybridMultilevel"/>
    <w:lvl w:ilvl="0">
      <w:lvlJc w:val="left"/>
      <w:lvlText w:val="•"/>
      <w:numFmt w:val="bullet"/>
      <w:start w:val="1"/>
    </w:lvl>
  </w:abstractNum>
  <w:abstractNum w:abstractNumId="88">
    <w:nsid w:val="260D8C4A"/>
    <w:multiLevelType w:val="hybridMultilevel"/>
    <w:lvl w:ilvl="0">
      <w:lvlJc w:val="left"/>
      <w:lvlText w:val="•"/>
      <w:numFmt w:val="bullet"/>
      <w:start w:val="1"/>
    </w:lvl>
  </w:abstractNum>
  <w:abstractNum w:abstractNumId="89">
    <w:nsid w:val="73D4D3C4"/>
    <w:multiLevelType w:val="hybridMultilevel"/>
    <w:lvl w:ilvl="0">
      <w:lvlJc w:val="left"/>
      <w:lvlText w:val="•"/>
      <w:numFmt w:val="bullet"/>
      <w:start w:val="1"/>
    </w:lvl>
  </w:abstractNum>
  <w:abstractNum w:abstractNumId="90">
    <w:nsid w:val="746F2E30"/>
    <w:multiLevelType w:val="hybridMultilevel"/>
    <w:lvl w:ilvl="0">
      <w:lvlJc w:val="left"/>
      <w:lvlText w:val="•"/>
      <w:numFmt w:val="bullet"/>
      <w:start w:val="1"/>
    </w:lvl>
  </w:abstractNum>
  <w:abstractNum w:abstractNumId="91">
    <w:nsid w:val="6FDE8AF6"/>
    <w:multiLevelType w:val="hybridMultilevel"/>
    <w:lvl w:ilvl="0">
      <w:lvlJc w:val="left"/>
      <w:lvlText w:val="•"/>
      <w:numFmt w:val="bullet"/>
      <w:start w:val="1"/>
    </w:lvl>
  </w:abstractNum>
  <w:abstractNum w:abstractNumId="92">
    <w:nsid w:val="3FC32E20"/>
    <w:multiLevelType w:val="hybridMultilevel"/>
    <w:lvl w:ilvl="0">
      <w:lvlJc w:val="left"/>
      <w:lvlText w:val="•"/>
      <w:numFmt w:val="bullet"/>
      <w:start w:val="1"/>
    </w:lvl>
  </w:abstractNum>
  <w:abstractNum w:abstractNumId="93">
    <w:nsid w:val="49C0E823"/>
    <w:multiLevelType w:val="hybridMultilevel"/>
    <w:lvl w:ilvl="0">
      <w:lvlJc w:val="left"/>
      <w:lvlText w:val="•"/>
      <w:numFmt w:val="bullet"/>
      <w:start w:val="1"/>
    </w:lvl>
  </w:abstractNum>
  <w:abstractNum w:abstractNumId="94">
    <w:nsid w:val="14D53685"/>
    <w:multiLevelType w:val="hybridMultilevel"/>
    <w:lvl w:ilvl="0">
      <w:lvlJc w:val="left"/>
      <w:lvlText w:val="•"/>
      <w:numFmt w:val="bullet"/>
      <w:start w:val="1"/>
    </w:lvl>
  </w:abstractNum>
  <w:abstractNum w:abstractNumId="95">
    <w:nsid w:val="230F856C"/>
    <w:multiLevelType w:val="hybridMultilevel"/>
    <w:lvl w:ilvl="0">
      <w:lvlJc w:val="left"/>
      <w:lvlText w:val="•"/>
      <w:numFmt w:val="bullet"/>
      <w:start w:val="1"/>
    </w:lvl>
  </w:abstractNum>
  <w:abstractNum w:abstractNumId="96">
    <w:nsid w:val="6EAA85FB"/>
    <w:multiLevelType w:val="hybridMultilevel"/>
    <w:lvl w:ilvl="0">
      <w:lvlJc w:val="left"/>
      <w:lvlText w:val="•"/>
      <w:numFmt w:val="bullet"/>
      <w:start w:val="1"/>
    </w:lvl>
  </w:abstractNum>
  <w:abstractNum w:abstractNumId="97">
    <w:nsid w:val="3F06ECB2"/>
    <w:multiLevelType w:val="hybridMultilevel"/>
    <w:lvl w:ilvl="0">
      <w:lvlJc w:val="left"/>
      <w:lvlText w:val="%1."/>
      <w:numFmt w:val="upperLetter"/>
      <w:start w:val="4"/>
    </w:lvl>
  </w:abstractNum>
  <w:abstractNum w:abstractNumId="98">
    <w:nsid w:val="3B594807"/>
    <w:multiLevelType w:val="hybridMultilevel"/>
    <w:lvl w:ilvl="0">
      <w:lvlJc w:val="left"/>
      <w:lvlText w:val="%1."/>
      <w:numFmt w:val="upperLetter"/>
      <w:start w:val="5"/>
    </w:lvl>
  </w:abstractNum>
  <w:abstractNum w:abstractNumId="99">
    <w:nsid w:val="6CAA2304"/>
    <w:multiLevelType w:val="hybridMultilevel"/>
    <w:lvl w:ilvl="0">
      <w:lvlJc w:val="left"/>
      <w:lvlText w:val="%1."/>
      <w:numFmt w:val="upperLetter"/>
      <w:start w:val="1"/>
    </w:lvl>
  </w:abstractNum>
  <w:abstractNum w:abstractNumId="100">
    <w:nsid w:val="3F7C2FF4"/>
    <w:multiLevelType w:val="hybridMultilevel"/>
    <w:lvl w:ilvl="0">
      <w:lvlJc w:val="left"/>
      <w:lvlText w:val="•"/>
      <w:numFmt w:val="bullet"/>
      <w:start w:val="1"/>
    </w:lvl>
  </w:abstractNum>
  <w:abstractNum w:abstractNumId="101">
    <w:nsid w:val="25413BEC"/>
    <w:multiLevelType w:val="hybridMultilevel"/>
    <w:lvl w:ilvl="0">
      <w:lvlJc w:val="left"/>
      <w:lvlText w:val="*"/>
      <w:numFmt w:val="bullet"/>
      <w:start w:val="1"/>
    </w:lvl>
    <w:lvl w:ilvl="1">
      <w:lvlJc w:val="left"/>
      <w:lvlText w:val="(%2)"/>
      <w:numFmt w:val="decimal"/>
      <w:start w:val="1"/>
    </w:lvl>
  </w:abstractNum>
  <w:abstractNum w:abstractNumId="102">
    <w:nsid w:val="17180B0B"/>
    <w:multiLevelType w:val="hybridMultilevel"/>
    <w:lvl w:ilvl="0">
      <w:lvlJc w:val="left"/>
      <w:lvlText w:val="%1."/>
      <w:numFmt w:val="upperLetter"/>
      <w:start w:val="2"/>
    </w:lvl>
  </w:abstractNum>
  <w:abstractNum w:abstractNumId="103">
    <w:nsid w:val="579328B9"/>
    <w:multiLevelType w:val="hybridMultilevel"/>
    <w:lvl w:ilvl="0">
      <w:lvlJc w:val="left"/>
      <w:lvlText w:val="%1."/>
      <w:numFmt w:val="upperLetter"/>
      <w:start w:val="3"/>
    </w:lvl>
  </w:abstractNum>
  <w:abstractNum w:abstractNumId="104">
    <w:nsid w:val="5D205E20"/>
    <w:multiLevelType w:val="hybridMultilevel"/>
    <w:lvl w:ilvl="0">
      <w:lvlJc w:val="left"/>
      <w:lvlText w:val="%1."/>
      <w:numFmt w:val="upperLetter"/>
      <w:start w:val="1"/>
    </w:lvl>
  </w:abstractNum>
  <w:abstractNum w:abstractNumId="105">
    <w:nsid w:val="11CCA8BA"/>
    <w:multiLevelType w:val="hybridMultilevel"/>
    <w:lvl w:ilvl="0">
      <w:lvlJc w:val="left"/>
      <w:lvlText w:val="%1."/>
      <w:numFmt w:val="upperLetter"/>
      <w:start w:val="2"/>
    </w:lvl>
  </w:abstractNum>
  <w:abstractNum w:abstractNumId="106">
    <w:nsid w:val="4D32AB86"/>
    <w:multiLevelType w:val="hybridMultilevel"/>
    <w:lvl w:ilvl="0">
      <w:lvlJc w:val="left"/>
      <w:lvlText w:val="%1."/>
      <w:numFmt w:val="upperLetter"/>
      <w:start w:val="1"/>
    </w:lvl>
  </w:abstractNum>
  <w:abstractNum w:abstractNumId="107">
    <w:nsid w:val="3F07ACC3"/>
    <w:multiLevelType w:val="hybridMultilevel"/>
    <w:lvl w:ilvl="0">
      <w:lvlJc w:val="left"/>
      <w:lvlText w:val="%1."/>
      <w:numFmt w:val="upperLetter"/>
      <w:start w:val="2"/>
    </w:lvl>
  </w:abstractNum>
  <w:abstractNum w:abstractNumId="108">
    <w:nsid w:val="6B47F63E"/>
    <w:multiLevelType w:val="hybridMultilevel"/>
    <w:lvl w:ilvl="0">
      <w:lvlJc w:val="left"/>
      <w:lvlText w:val="%1."/>
      <w:numFmt w:val="upperLetter"/>
      <w:start w:val="3"/>
    </w:lvl>
  </w:abstractNum>
  <w:abstractNum w:abstractNumId="109">
    <w:nsid w:val="5CB44A05"/>
    <w:multiLevelType w:val="hybridMultilevel"/>
    <w:lvl w:ilvl="0">
      <w:lvlJc w:val="left"/>
      <w:lvlText w:val="%1."/>
      <w:numFmt w:val="upperLetter"/>
      <w:start w:val="4"/>
    </w:lvl>
  </w:abstractNum>
  <w:abstractNum w:abstractNumId="110">
    <w:nsid w:val="16CF80F1"/>
    <w:multiLevelType w:val="hybridMultilevel"/>
    <w:lvl w:ilvl="0">
      <w:lvlJc w:val="left"/>
      <w:lvlText w:val="%1."/>
      <w:numFmt w:val="upperLetter"/>
      <w:start w:val="5"/>
    </w:lvl>
  </w:abstractNum>
  <w:abstractNum w:abstractNumId="111">
    <w:nsid w:val="1C695DEC"/>
    <w:multiLevelType w:val="hybridMultilevel"/>
    <w:lvl w:ilvl="0">
      <w:lvlJc w:val="left"/>
      <w:lvlText w:val="%1."/>
      <w:numFmt w:val="upperLetter"/>
      <w:start w:val="6"/>
    </w:lvl>
  </w:abstractNum>
  <w:abstractNum w:abstractNumId="112">
    <w:nsid w:val="3FCFAED9"/>
    <w:multiLevelType w:val="hybridMultilevel"/>
    <w:lvl w:ilvl="0">
      <w:lvlJc w:val="left"/>
      <w:lvlText w:val="%1."/>
      <w:numFmt w:val="upperLetter"/>
      <w:start w:val="1"/>
    </w:lvl>
  </w:abstractNum>
  <w:abstractNum w:abstractNumId="113">
    <w:nsid w:val="F856867"/>
    <w:multiLevelType w:val="hybridMultilevel"/>
    <w:lvl w:ilvl="0">
      <w:lvlJc w:val="left"/>
      <w:lvlText w:val="%1."/>
      <w:numFmt w:val="upperLetter"/>
      <w:start w:val="2"/>
    </w:lvl>
  </w:abstractNum>
  <w:abstractNum w:abstractNumId="114">
    <w:nsid w:val="11B1CC33"/>
    <w:multiLevelType w:val="hybridMultilevel"/>
    <w:lvl w:ilvl="0">
      <w:lvlJc w:val="left"/>
      <w:lvlText w:val="•"/>
      <w:numFmt w:val="bullet"/>
      <w:start w:val="1"/>
    </w:lvl>
  </w:abstractNum>
  <w:abstractNum w:abstractNumId="115">
    <w:nsid w:val="2E22FBB7"/>
    <w:multiLevelType w:val="hybridMultilevel"/>
    <w:lvl w:ilvl="0">
      <w:lvlJc w:val="left"/>
      <w:lvlText w:val="%1."/>
      <w:numFmt w:val="upperLetter"/>
      <w:start w:val="3"/>
    </w:lvl>
  </w:abstractNum>
  <w:abstractNum w:abstractNumId="116">
    <w:nsid w:val="29934699"/>
    <w:multiLevelType w:val="hybridMultilevel"/>
    <w:lvl w:ilvl="0">
      <w:lvlJc w:val="left"/>
      <w:lvlText w:val="%1."/>
      <w:numFmt w:val="upperLetter"/>
      <w:start w:val="4"/>
    </w:lvl>
  </w:abstractNum>
  <w:abstractNum w:abstractNumId="117">
    <w:nsid w:val="77485850"/>
    <w:multiLevelType w:val="hybridMultilevel"/>
    <w:lvl w:ilvl="0">
      <w:lvlJc w:val="left"/>
      <w:lvlText w:val="%1."/>
      <w:numFmt w:val="upperLetter"/>
      <w:start w:val="5"/>
    </w:lvl>
  </w:abstractNum>
  <w:abstractNum w:abstractNumId="118">
    <w:nsid w:val="744939A3"/>
    <w:multiLevelType w:val="hybridMultilevel"/>
    <w:lvl w:ilvl="0">
      <w:lvlJc w:val="left"/>
      <w:lvlText w:val="•"/>
      <w:numFmt w:val="bullet"/>
      <w:start w:val="1"/>
    </w:lvl>
  </w:abstractNum>
  <w:abstractNum w:abstractNumId="119">
    <w:nsid w:val="4FA0D2E3"/>
    <w:multiLevelType w:val="hybridMultilevel"/>
    <w:lvl w:ilvl="0">
      <w:lvlJc w:val="left"/>
      <w:lvlText w:val="•"/>
      <w:numFmt w:val="bullet"/>
      <w:start w:val="1"/>
    </w:lvl>
  </w:abstractNum>
  <w:abstractNum w:abstractNumId="120">
    <w:nsid w:val="6B1D2C14"/>
    <w:multiLevelType w:val="hybridMultilevel"/>
    <w:lvl w:ilvl="0">
      <w:lvlJc w:val="left"/>
      <w:lvlText w:val="•"/>
      <w:numFmt w:val="bullet"/>
      <w:start w:val="1"/>
    </w:lvl>
  </w:abstractNum>
  <w:abstractNum w:abstractNumId="121">
    <w:nsid w:val="68B867D3"/>
    <w:multiLevelType w:val="hybridMultilevel"/>
    <w:lvl w:ilvl="0">
      <w:lvlJc w:val="left"/>
      <w:lvlText w:val="•"/>
      <w:numFmt w:val="bullet"/>
      <w:start w:val="1"/>
    </w:lvl>
  </w:abstractNum>
  <w:abstractNum w:abstractNumId="122">
    <w:nsid w:val="3F7F5DD9"/>
    <w:multiLevelType w:val="hybridMultilevel"/>
    <w:lvl w:ilvl="0">
      <w:lvlJc w:val="left"/>
      <w:lvlText w:val="•"/>
      <w:numFmt w:val="bullet"/>
      <w:start w:val="1"/>
    </w:lvl>
  </w:abstractNum>
  <w:abstractNum w:abstractNumId="123">
    <w:nsid w:val="2AE05A34"/>
    <w:multiLevelType w:val="hybridMultilevel"/>
    <w:lvl w:ilvl="0">
      <w:lvlJc w:val="left"/>
      <w:lvlText w:val="•"/>
      <w:numFmt w:val="bullet"/>
      <w:start w:val="1"/>
    </w:lvl>
  </w:abstractNum>
  <w:abstractNum w:abstractNumId="124">
    <w:nsid w:val="32794FF7"/>
    <w:multiLevelType w:val="hybridMultilevel"/>
    <w:lvl w:ilvl="0">
      <w:lvlJc w:val="left"/>
      <w:lvlText w:val="•"/>
      <w:numFmt w:val="bullet"/>
      <w:start w:val="1"/>
    </w:lvl>
  </w:abstractNum>
  <w:abstractNum w:abstractNumId="125">
    <w:nsid w:val="5454945E"/>
    <w:multiLevelType w:val="hybridMultilevel"/>
    <w:lvl w:ilvl="0">
      <w:lvlJc w:val="left"/>
      <w:lvlText w:val="%1."/>
      <w:numFmt w:val="upperLetter"/>
      <w:start w:val="6"/>
    </w:lvl>
  </w:abstractNum>
  <w:abstractNum w:abstractNumId="126">
    <w:nsid w:val="4DEFDFA0"/>
    <w:multiLevelType w:val="hybridMultilevel"/>
    <w:lvl w:ilvl="0">
      <w:lvlJc w:val="left"/>
      <w:lvlText w:val="%1."/>
      <w:numFmt w:val="upperLetter"/>
      <w:start w:val="7"/>
    </w:lvl>
  </w:abstractNum>
  <w:abstractNum w:abstractNumId="127">
    <w:nsid w:val="2123D5F2"/>
    <w:multiLevelType w:val="hybridMultilevel"/>
    <w:lvl w:ilvl="0">
      <w:lvlJc w:val="left"/>
      <w:lvlText w:val="%1."/>
      <w:numFmt w:val="upperLetter"/>
      <w:start w:val="8"/>
    </w:lvl>
  </w:abstractNum>
  <w:abstractNum w:abstractNumId="128">
    <w:nsid w:val="135B8110"/>
    <w:multiLevelType w:val="hybridMultilevel"/>
    <w:lvl w:ilvl="0">
      <w:lvlJc w:val="left"/>
      <w:lvlText w:val="%1."/>
      <w:numFmt w:val="upperLetter"/>
      <w:start w:val="9"/>
    </w:lvl>
  </w:abstractNum>
  <w:abstractNum w:abstractNumId="129">
    <w:nsid w:val="94927A8"/>
    <w:multiLevelType w:val="hybridMultilevel"/>
    <w:lvl w:ilvl="0">
      <w:lvlJc w:val="left"/>
      <w:lvlText w:val="%1."/>
      <w:numFmt w:val="upperLetter"/>
      <w:start w:val="1"/>
    </w:lvl>
  </w:abstractNum>
  <w:abstractNum w:abstractNumId="130">
    <w:nsid w:val="DCDF8F6"/>
    <w:multiLevelType w:val="hybridMultilevel"/>
    <w:lvl w:ilvl="0">
      <w:lvlJc w:val="left"/>
      <w:lvlText w:val="%1."/>
      <w:numFmt w:val="upperLetter"/>
      <w:start w:val="2"/>
    </w:lvl>
  </w:abstractNum>
  <w:abstractNum w:abstractNumId="131">
    <w:nsid w:val="52D7B105"/>
    <w:multiLevelType w:val="hybridMultilevel"/>
    <w:lvl w:ilvl="0">
      <w:lvlJc w:val="left"/>
      <w:lvlText w:val="%1."/>
      <w:numFmt w:val="upperLetter"/>
      <w:start w:val="3"/>
    </w:lvl>
  </w:abstractNum>
  <w:abstractNum w:abstractNumId="132">
    <w:nsid w:val="2E8A6394"/>
    <w:multiLevelType w:val="hybridMultilevel"/>
    <w:lvl w:ilvl="0">
      <w:lvlJc w:val="left"/>
      <w:lvlText w:val="%1."/>
      <w:numFmt w:val="upperLetter"/>
      <w:start w:val="4"/>
    </w:lvl>
  </w:abstractNum>
  <w:abstractNum w:abstractNumId="133">
    <w:nsid w:val="24E60401"/>
    <w:multiLevelType w:val="hybridMultilevel"/>
    <w:lvl w:ilvl="0">
      <w:lvlJc w:val="left"/>
      <w:lvlText w:val="(%1)"/>
      <w:numFmt w:val="lowerLetter"/>
      <w:start w:val="1"/>
    </w:lvl>
  </w:abstractNum>
  <w:abstractNum w:abstractNumId="134">
    <w:nsid w:val="2A6AD9BE"/>
    <w:multiLevelType w:val="hybridMultilevel"/>
    <w:lvl w:ilvl="0">
      <w:lvlJc w:val="left"/>
      <w:lvlText w:val="(%1)"/>
      <w:numFmt w:val="lowerLetter"/>
      <w:start w:val="2"/>
    </w:lvl>
  </w:abstractNum>
  <w:abstractNum w:abstractNumId="135">
    <w:nsid w:val="BAAC1B4"/>
    <w:multiLevelType w:val="hybridMultilevel"/>
    <w:lvl w:ilvl="0">
      <w:lvlJc w:val="left"/>
      <w:lvlText w:val="•"/>
      <w:numFmt w:val="bullet"/>
      <w:start w:val="1"/>
    </w:lvl>
  </w:abstractNum>
  <w:abstractNum w:abstractNumId="136">
    <w:nsid w:val="36B2ACBC"/>
    <w:multiLevelType w:val="hybridMultilevel"/>
    <w:lvl w:ilvl="0">
      <w:lvlJc w:val="left"/>
      <w:lvlText w:val="(%1)"/>
      <w:numFmt w:val="lowerLetter"/>
      <w:start w:val="4"/>
    </w:lvl>
  </w:abstractNum>
  <w:abstractNum w:abstractNumId="137">
    <w:nsid w:val="779D8544"/>
    <w:multiLevelType w:val="hybridMultilevel"/>
    <w:lvl w:ilvl="0">
      <w:lvlJc w:val="left"/>
      <w:lvlText w:val="(%1)"/>
      <w:numFmt w:val="decimal"/>
      <w:start w:val="1"/>
    </w:lvl>
  </w:abstractNum>
  <w:abstractNum w:abstractNumId="138">
    <w:nsid w:val="4AB26E78"/>
    <w:multiLevelType w:val="hybridMultilevel"/>
    <w:lvl w:ilvl="0">
      <w:lvlJc w:val="left"/>
      <w:lvlText w:val="•"/>
      <w:numFmt w:val="bullet"/>
      <w:start w:val="1"/>
    </w:lvl>
  </w:abstractNum>
  <w:abstractNum w:abstractNumId="139">
    <w:nsid w:val="21FAA2FA"/>
    <w:multiLevelType w:val="hybridMultilevel"/>
    <w:lvl w:ilvl="0">
      <w:lvlJc w:val="left"/>
      <w:lvlText w:val="%1"/>
      <w:numFmt w:val="decimal"/>
      <w:start w:val="101"/>
    </w:lvl>
    <w:lvl w:ilvl="1">
      <w:lvlJc w:val="left"/>
      <w:lvlText w:val="(%2)"/>
      <w:numFmt w:val="lowerRoman"/>
      <w:start w:val="1"/>
    </w:lvl>
  </w:abstractNum>
  <w:abstractNum w:abstractNumId="140">
    <w:nsid w:val="5451CF49"/>
    <w:multiLevelType w:val="hybridMultilevel"/>
    <w:lvl w:ilvl="0">
      <w:lvlJc w:val="left"/>
      <w:lvlText w:val="†"/>
      <w:numFmt w:val="bullet"/>
      <w:start w:val="1"/>
    </w:lvl>
  </w:abstractNum>
  <w:abstractNum w:abstractNumId="141">
    <w:nsid w:val="6181EF69"/>
    <w:multiLevelType w:val="hybridMultilevel"/>
    <w:lvl w:ilvl="0">
      <w:lvlJc w:val="left"/>
      <w:lvlText w:val="∞"/>
      <w:numFmt w:val="bullet"/>
      <w:start w:val="1"/>
    </w:lvl>
  </w:abstractNum>
  <w:abstractNum w:abstractNumId="142">
    <w:nsid w:val="3E6400E6"/>
    <w:multiLevelType w:val="hybridMultilevel"/>
    <w:lvl w:ilvl="0">
      <w:lvlJc w:val="left"/>
      <w:lvlText w:val="%1."/>
      <w:numFmt w:val="lowerLetter"/>
      <w:start w:val="1"/>
    </w:lvl>
  </w:abstractNum>
  <w:abstractNum w:abstractNumId="143">
    <w:nsid w:val="14217E23"/>
    <w:multiLevelType w:val="hybridMultilevel"/>
    <w:lvl w:ilvl="0">
      <w:lvlJc w:val="left"/>
      <w:lvlText w:val="%1."/>
      <w:numFmt w:val="lowerLetter"/>
      <w:start w:val="3"/>
    </w:lvl>
  </w:abstractNum>
  <w:abstractNum w:abstractNumId="144">
    <w:nsid w:val="710757D0"/>
    <w:multiLevelType w:val="hybridMultilevel"/>
    <w:lvl w:ilvl="0">
      <w:lvlJc w:val="left"/>
      <w:lvlText w:val="%1."/>
      <w:numFmt w:val="lowerLetter"/>
      <w:start w:val="5"/>
    </w:lvl>
  </w:abstractNum>
  <w:abstractNum w:abstractNumId="145">
    <w:nsid w:val="5015CD1A"/>
    <w:multiLevelType w:val="hybridMultilevel"/>
    <w:lvl w:ilvl="0">
      <w:lvlJc w:val="left"/>
      <w:lvlText w:val="%1."/>
      <w:numFmt w:val="lowerLetter"/>
      <w:start w:val="7"/>
    </w:lvl>
  </w:abstractNum>
  <w:abstractNum w:abstractNumId="146">
    <w:nsid w:val="424479DA"/>
    <w:multiLevelType w:val="hybridMultilevel"/>
    <w:lvl w:ilvl="0">
      <w:lvlJc w:val="left"/>
      <w:lvlText w:val="%1."/>
      <w:numFmt w:val="lowerLetter"/>
      <w:start w:val="8"/>
    </w:lvl>
    <w:lvl w:ilvl="1">
      <w:lvlJc w:val="left"/>
      <w:lvlText w:val="%2)"/>
      <w:numFmt w:val="decimal"/>
      <w:start w:val="1"/>
    </w:lvl>
  </w:abstractNum>
  <w:abstractNum w:abstractNumId="147">
    <w:nsid w:val="1A9A9E69"/>
    <w:multiLevelType w:val="hybridMultilevel"/>
    <w:lvl w:ilvl="0">
      <w:lvlJc w:val="left"/>
      <w:lvlText w:val="%1."/>
      <w:numFmt w:val="lowerRoman"/>
      <w:start w:val="1"/>
    </w:lvl>
  </w:abstractNum>
  <w:abstractNum w:abstractNumId="148">
    <w:nsid w:val="475E256A"/>
    <w:multiLevelType w:val="hybridMultilevel"/>
    <w:lvl w:ilvl="0">
      <w:lvlJc w:val="left"/>
      <w:lvlText w:val="%1."/>
      <w:numFmt w:val="lowerLetter"/>
      <w:start w:val="10"/>
    </w:lvl>
  </w:abstractNum>
  <w:abstractNum w:abstractNumId="149">
    <w:nsid w:val="368DB37E"/>
    <w:multiLevelType w:val="hybridMultilevel"/>
    <w:lvl w:ilvl="0">
      <w:lvlJc w:val="left"/>
      <w:lvlText w:val="%1."/>
      <w:numFmt w:val="lowerLetter"/>
      <w:start w:val="12"/>
    </w:lvl>
  </w:abstractNum>
  <w:abstractNum w:abstractNumId="150">
    <w:nsid w:val="6A3B714C"/>
    <w:multiLevelType w:val="hybridMultilevel"/>
    <w:lvl w:ilvl="0">
      <w:lvlJc w:val="left"/>
      <w:lvlText w:val="%1."/>
      <w:numFmt w:val="lowerLetter"/>
      <w:start w:val="13"/>
    </w:lvl>
    <w:lvl w:ilvl="1">
      <w:lvlJc w:val="left"/>
      <w:lvlText w:val="%2)"/>
      <w:numFmt w:val="decimal"/>
      <w:start w:val="1"/>
    </w:lvl>
  </w:abstractNum>
  <w:abstractNum w:abstractNumId="151">
    <w:nsid w:val="327B517E"/>
    <w:multiLevelType w:val="hybridMultilevel"/>
    <w:lvl w:ilvl="0">
      <w:lvlJc w:val="left"/>
      <w:lvlText w:val="%1."/>
      <w:numFmt w:val="lowerLetter"/>
      <w:start w:val="15"/>
    </w:lvl>
  </w:abstractNum>
  <w:abstractNum w:abstractNumId="152">
    <w:nsid w:val="1F461B51"/>
    <w:multiLevelType w:val="hybridMultilevel"/>
    <w:lvl w:ilvl="0">
      <w:lvlJc w:val="left"/>
      <w:lvlText w:val="%1."/>
      <w:numFmt w:val="lowerLetter"/>
      <w:start w:val="18"/>
    </w:lvl>
    <w:lvl w:ilvl="1">
      <w:lvlJc w:val="left"/>
      <w:lvlText w:val="%2)"/>
      <w:numFmt w:val="decimal"/>
      <w:start w:val="1"/>
    </w:lvl>
    <w:lvl w:ilvl="2">
      <w:lvlJc w:val="left"/>
      <w:lvlText w:val="%3."/>
      <w:numFmt w:val="lowerLetter"/>
      <w:start w:val="1"/>
    </w:lvl>
  </w:abstractNum>
  <w:abstractNum w:abstractNumId="153">
    <w:nsid w:val="29BACF25"/>
    <w:multiLevelType w:val="hybridMultilevel"/>
    <w:lvl w:ilvl="0">
      <w:lvlJc w:val="left"/>
      <w:lvlText w:val="%1."/>
      <w:numFmt w:val="lowerLetter"/>
      <w:start w:val="1"/>
    </w:lvl>
    <w:lvl w:ilvl="1">
      <w:lvlJc w:val="left"/>
      <w:lvlText w:val="%2)"/>
      <w:numFmt w:val="decimal"/>
      <w:start w:val="1"/>
    </w:lvl>
  </w:abstractNum>
  <w:abstractNum w:abstractNumId="154">
    <w:nsid w:val="5D5BABB3"/>
    <w:multiLevelType w:val="hybridMultilevel"/>
    <w:lvl w:ilvl="0">
      <w:lvlJc w:val="left"/>
      <w:lvlText w:val="%1)"/>
      <w:numFmt w:val="decimal"/>
      <w:start w:val="2"/>
    </w:lvl>
  </w:abstractNum>
  <w:abstractNum w:abstractNumId="155">
    <w:nsid w:val="51BF6B48"/>
    <w:multiLevelType w:val="hybridMultilevel"/>
    <w:lvl w:ilvl="0">
      <w:lvlJc w:val="left"/>
      <w:lvlText w:val="%1."/>
      <w:numFmt w:val="lowerRoman"/>
      <w:start w:val="1"/>
    </w:lvl>
  </w:abstractNum>
  <w:abstractNum w:abstractNumId="156">
    <w:nsid w:val="7E0F6384"/>
    <w:multiLevelType w:val="hybridMultilevel"/>
    <w:lvl w:ilvl="0">
      <w:lvlJc w:val="left"/>
      <w:lvlText w:val="%1."/>
      <w:numFmt w:val="lowerLetter"/>
      <w:start w:val="3"/>
    </w:lvl>
  </w:abstractNum>
  <w:abstractNum w:abstractNumId="157">
    <w:nsid w:val="2B4B8B53"/>
    <w:multiLevelType w:val="hybridMultilevel"/>
    <w:lvl w:ilvl="0">
      <w:lvlJc w:val="left"/>
      <w:lvlText w:val="%1."/>
      <w:numFmt w:val="lowerLetter"/>
      <w:start w:val="1"/>
    </w:lvl>
  </w:abstractNum>
  <w:abstractNum w:abstractNumId="158">
    <w:nsid w:val="72E3413A"/>
    <w:multiLevelType w:val="hybridMultilevel"/>
    <w:lvl w:ilvl="0">
      <w:lvlJc w:val="left"/>
      <w:lvlText w:val="%1."/>
      <w:numFmt w:val="lowerLetter"/>
      <w:start w:val="1"/>
    </w:lvl>
    <w:lvl w:ilvl="1">
      <w:lvlJc w:val="left"/>
      <w:lvlText w:val="%2)"/>
      <w:numFmt w:val="decimal"/>
      <w:start w:val="1"/>
    </w:lvl>
  </w:abstractNum>
  <w:abstractNum w:abstractNumId="159">
    <w:nsid w:val="116AE494"/>
    <w:multiLevelType w:val="hybridMultilevel"/>
    <w:lvl w:ilvl="0">
      <w:lvlJc w:val="left"/>
      <w:lvlText w:val="%1"/>
      <w:numFmt w:val="lowerLetter"/>
      <w:start w:val="1"/>
    </w:lvl>
    <w:lvl w:ilvl="1">
      <w:lvlJc w:val="left"/>
      <w:lvlText w:val="%2)"/>
      <w:numFmt w:val="decimal"/>
      <w:start w:val="4"/>
    </w:lvl>
  </w:abstractNum>
  <w:abstractNum w:abstractNumId="160">
    <w:nsid w:val="3494B2FB"/>
    <w:multiLevelType w:val="hybridMultilevel"/>
    <w:lvl w:ilvl="0">
      <w:lvlJc w:val="left"/>
      <w:lvlText w:val="%1"/>
      <w:numFmt w:val="lowerLetter"/>
      <w:start w:val="1"/>
    </w:lvl>
    <w:lvl w:ilvl="1">
      <w:lvlJc w:val="left"/>
      <w:lvlText w:val="%2)"/>
      <w:numFmt w:val="decimal"/>
      <w:start w:val="1"/>
    </w:lvl>
  </w:abstractNum>
  <w:abstractNum w:abstractNumId="161">
    <w:nsid w:val="B13A31"/>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162">
    <w:nsid w:val="64429599"/>
    <w:multiLevelType w:val="hybridMultilevel"/>
    <w:lvl w:ilvl="0">
      <w:lvlJc w:val="left"/>
      <w:lvlText w:val="%1."/>
      <w:numFmt w:val="lowerLetter"/>
      <w:start w:val="2"/>
    </w:lvl>
  </w:abstractNum>
  <w:abstractNum w:abstractNumId="163">
    <w:nsid w:val="631F1690"/>
    <w:multiLevelType w:val="hybridMultilevel"/>
    <w:lvl w:ilvl="0">
      <w:lvlJc w:val="left"/>
      <w:lvlText w:val="%1."/>
      <w:numFmt w:val="lowerLetter"/>
      <w:start w:val="3"/>
    </w:lvl>
    <w:lvl w:ilvl="1">
      <w:lvlJc w:val="left"/>
      <w:lvlText w:val="%2."/>
      <w:numFmt w:val="lowerLetter"/>
      <w:start w:val="4"/>
    </w:lvl>
  </w:abstractNum>
  <w:abstractNum w:abstractNumId="164">
    <w:nsid w:val="25973E32"/>
    <w:multiLevelType w:val="hybridMultilevel"/>
    <w:lvl w:ilvl="0">
      <w:lvlJc w:val="left"/>
      <w:lvlText w:val="%1."/>
      <w:numFmt w:val="lowerLetter"/>
      <w:start w:val="1"/>
    </w:lvl>
  </w:abstractNum>
  <w:abstractNum w:abstractNumId="165">
    <w:nsid w:val="EAD6F57"/>
    <w:multiLevelType w:val="hybridMultilevel"/>
    <w:lvl w:ilvl="0">
      <w:lvlJc w:val="left"/>
      <w:lvlText w:val="%1."/>
      <w:numFmt w:val="lowerLetter"/>
      <w:start w:val="3"/>
    </w:lvl>
  </w:abstractNum>
  <w:abstractNum w:abstractNumId="166">
    <w:nsid w:val="6EC9D844"/>
    <w:multiLevelType w:val="hybridMultilevel"/>
    <w:lvl w:ilvl="0">
      <w:lvlJc w:val="left"/>
      <w:lvlText w:val="%1."/>
      <w:numFmt w:val="lowerLetter"/>
      <w:start w:val="5"/>
    </w:lvl>
  </w:abstractNum>
  <w:abstractNum w:abstractNumId="167">
    <w:nsid w:val="5C49EAEE"/>
    <w:multiLevelType w:val="hybridMultilevel"/>
    <w:lvl w:ilvl="0">
      <w:lvlJc w:val="left"/>
      <w:lvlText w:val="%1."/>
      <w:numFmt w:val="lowerLetter"/>
      <w:start w:val="7"/>
    </w:lvl>
  </w:abstractNum>
  <w:abstractNum w:abstractNumId="168">
    <w:nsid w:val="64AF49B"/>
    <w:multiLevelType w:val="hybridMultilevel"/>
    <w:lvl w:ilvl="0">
      <w:lvlJc w:val="left"/>
      <w:lvlText w:val="%1."/>
      <w:numFmt w:val="lowerRoman"/>
      <w:start w:val="1"/>
    </w:lvl>
  </w:abstractNum>
  <w:abstractNum w:abstractNumId="169">
    <w:nsid w:val="397C46BC"/>
    <w:multiLevelType w:val="hybridMultilevel"/>
    <w:lvl w:ilvl="0">
      <w:lvlJc w:val="left"/>
      <w:lvlText w:val="%1."/>
      <w:numFmt w:val="lowerLetter"/>
      <w:start w:val="1"/>
    </w:lvl>
  </w:abstractNum>
  <w:abstractNum w:abstractNumId="170">
    <w:nsid w:val="7E448DE9"/>
    <w:multiLevelType w:val="hybridMultilevel"/>
    <w:lvl w:ilvl="0">
      <w:lvlJc w:val="left"/>
      <w:lvlText w:val="%1."/>
      <w:numFmt w:val="lowerLetter"/>
      <w:start w:val="1"/>
    </w:lvl>
  </w:abstractNum>
  <w:abstractNum w:abstractNumId="171">
    <w:nsid w:val="5A9CC3E5"/>
    <w:multiLevelType w:val="hybridMultilevel"/>
    <w:lvl w:ilvl="0">
      <w:lvlJc w:val="left"/>
      <w:lvlText w:val="•"/>
      <w:numFmt w:val="bullet"/>
      <w:start w:val="1"/>
    </w:lvl>
  </w:abstractNum>
  <w:abstractNum w:abstractNumId="172">
    <w:nsid w:val="1AFE3625"/>
    <w:multiLevelType w:val="hybridMultilevel"/>
    <w:lvl w:ilvl="0">
      <w:lvlJc w:val="left"/>
      <w:lvlText w:val="•"/>
      <w:numFmt w:val="bullet"/>
      <w:start w:val="1"/>
    </w:lvl>
  </w:abstractNum>
  <w:abstractNum w:abstractNumId="173">
    <w:nsid w:val="3CA88ECF"/>
    <w:multiLevelType w:val="hybridMultilevel"/>
    <w:lvl w:ilvl="0">
      <w:lvlJc w:val="left"/>
      <w:lvlText w:val="%1."/>
      <w:numFmt w:val="decimal"/>
      <w:start w:val="1"/>
    </w:lvl>
  </w:abstractNum>
  <w:abstractNum w:abstractNumId="174">
    <w:nsid w:val="6EBE4208"/>
    <w:multiLevelType w:val="hybridMultilevel"/>
    <w:lvl w:ilvl="0">
      <w:lvlJc w:val="left"/>
      <w:lvlText w:val="(%1)"/>
      <w:numFmt w:val="lowerRoman"/>
      <w:start w:val="1"/>
    </w:lvl>
  </w:abstractNum>
  <w:abstractNum w:abstractNumId="175">
    <w:nsid w:val="C058DF5"/>
    <w:multiLevelType w:val="hybridMultilevel"/>
    <w:lvl w:ilvl="0">
      <w:lvlJc w:val="left"/>
      <w:lvlText w:val="%1."/>
      <w:numFmt w:val="decimal"/>
      <w:start w:val="2"/>
    </w:lvl>
  </w:abstractNum>
  <w:abstractNum w:abstractNumId="176">
    <w:nsid w:val="CBE5BE9"/>
    <w:multiLevelType w:val="hybridMultilevel"/>
    <w:lvl w:ilvl="0">
      <w:lvlJc w:val="left"/>
      <w:lvlText w:val="(%1)"/>
      <w:numFmt w:val="lowerRoman"/>
      <w:start w:val="1"/>
    </w:lvl>
    <w:lvl w:ilvl="1">
      <w:lvlJc w:val="left"/>
      <w:lvlText w:val="(%2)"/>
      <w:numFmt w:val="decimal"/>
      <w:start w:val="1"/>
    </w:lvl>
  </w:abstractNum>
  <w:abstractNum w:abstractNumId="177">
    <w:nsid w:val="3102BBE2"/>
    <w:multiLevelType w:val="hybridMultilevel"/>
    <w:lvl w:ilvl="0">
      <w:lvlJc w:val="left"/>
      <w:lvlText w:val="(%1)"/>
      <w:numFmt w:val="decimal"/>
      <w:start w:val="3"/>
    </w:lvl>
  </w:abstractNum>
  <w:abstractNum w:abstractNumId="178">
    <w:nsid w:val="26A02C5E"/>
    <w:multiLevelType w:val="hybridMultilevel"/>
    <w:lvl w:ilvl="0">
      <w:lvlJc w:val="left"/>
      <w:lvlText w:val="%1."/>
      <w:numFmt w:val="decimal"/>
      <w:start w:val="3"/>
    </w:lvl>
  </w:abstractNum>
  <w:abstractNum w:abstractNumId="179">
    <w:nsid w:val="541C8153"/>
    <w:multiLevelType w:val="hybridMultilevel"/>
    <w:lvl w:ilvl="0">
      <w:lvlJc w:val="left"/>
      <w:lvlText w:val="(%1)"/>
      <w:numFmt w:val="lowerRoman"/>
      <w:start w:val="1"/>
    </w:lvl>
  </w:abstractNum>
  <w:abstractNum w:abstractNumId="180">
    <w:nsid w:val="67906F60"/>
    <w:multiLevelType w:val="hybridMultilevel"/>
    <w:lvl w:ilvl="0">
      <w:lvlJc w:val="left"/>
      <w:lvlText w:val="(%1)"/>
      <w:numFmt w:val="lowerRoman"/>
      <w:start w:val="8"/>
    </w:lvl>
  </w:abstractNum>
  <w:abstractNum w:abstractNumId="181">
    <w:nsid w:val="10DB9DAA"/>
    <w:multiLevelType w:val="hybridMultilevel"/>
    <w:lvl w:ilvl="0">
      <w:lvlJc w:val="left"/>
      <w:lvlText w:val="%1."/>
      <w:numFmt w:val="decimal"/>
      <w:start w:val="4"/>
    </w:lvl>
  </w:abstractNum>
  <w:abstractNum w:abstractNumId="182">
    <w:nsid w:val="697D2D2"/>
    <w:multiLevelType w:val="hybridMultilevel"/>
    <w:lvl w:ilvl="0">
      <w:lvlJc w:val="left"/>
      <w:lvlText w:val="%1."/>
      <w:numFmt w:val="decimal"/>
      <w:start w:val="5"/>
    </w:lvl>
  </w:abstractNum>
  <w:abstractNum w:abstractNumId="183">
    <w:nsid w:val="6D68AB2"/>
    <w:multiLevelType w:val="hybridMultilevel"/>
    <w:lvl w:ilvl="0">
      <w:lvlJc w:val="left"/>
      <w:lvlText w:val="%1."/>
      <w:numFmt w:val="decimal"/>
      <w:start w:val="6"/>
    </w:lvl>
  </w:abstractNum>
  <w:abstractNum w:abstractNumId="184">
    <w:nsid w:val="3A966CD0"/>
    <w:multiLevelType w:val="hybridMultilevel"/>
    <w:lvl w:ilvl="0">
      <w:lvlJc w:val="left"/>
      <w:lvlText w:val="(%1)"/>
      <w:numFmt w:val="lowerRoman"/>
      <w:start w:val="3"/>
    </w:lvl>
  </w:abstractNum>
  <w:abstractNum w:abstractNumId="185">
    <w:nsid w:val="63F37E85"/>
    <w:multiLevelType w:val="hybridMultilevel"/>
    <w:lvl w:ilvl="0">
      <w:lvlJc w:val="left"/>
      <w:lvlText w:val="(%1)"/>
      <w:numFmt w:val="lowerRoman"/>
      <w:start w:val="1"/>
    </w:lvl>
  </w:abstractNum>
  <w:abstractNum w:abstractNumId="186">
    <w:nsid w:val="5895F5FA"/>
    <w:multiLevelType w:val="hybridMultilevel"/>
    <w:lvl w:ilvl="0">
      <w:lvlJc w:val="left"/>
      <w:lvlText w:val="%1."/>
      <w:numFmt w:val="decimal"/>
      <w:start w:val="7"/>
    </w:lvl>
  </w:abstractNum>
  <w:abstractNum w:abstractNumId="187">
    <w:nsid w:val="38A5D054"/>
    <w:multiLevelType w:val="hybridMultilevel"/>
    <w:lvl w:ilvl="0">
      <w:lvlJc w:val="left"/>
      <w:lvlText w:val="%1."/>
      <w:numFmt w:val="decimal"/>
      <w:start w:val="8"/>
    </w:lvl>
  </w:abstractNum>
  <w:abstractNum w:abstractNumId="188">
    <w:nsid w:val="F3F09D8"/>
    <w:multiLevelType w:val="hybridMultilevel"/>
    <w:lvl w:ilvl="0">
      <w:lvlJc w:val="left"/>
      <w:lvlText w:val="%1."/>
      <w:numFmt w:val="decimal"/>
      <w:start w:val="9"/>
    </w:lvl>
  </w:abstractNum>
  <w:abstractNum w:abstractNumId="189">
    <w:nsid w:val="4B793735"/>
    <w:multiLevelType w:val="hybridMultilevel"/>
    <w:lvl w:ilvl="0">
      <w:lvlJc w:val="left"/>
      <w:lvlText w:val="(%1)"/>
      <w:numFmt w:val="lowerRoman"/>
      <w:start w:val="1"/>
    </w:lvl>
  </w:abstractNum>
  <w:abstractNum w:abstractNumId="190">
    <w:nsid w:val="4A10B4E8"/>
    <w:multiLevelType w:val="hybridMultilevel"/>
    <w:lvl w:ilvl="0">
      <w:lvlJc w:val="left"/>
      <w:lvlText w:val="%1."/>
      <w:numFmt w:val="decimal"/>
      <w:start w:val="10"/>
    </w:lvl>
  </w:abstractNum>
  <w:abstractNum w:abstractNumId="191">
    <w:nsid w:val="43D3BCD4"/>
    <w:multiLevelType w:val="hybridMultilevel"/>
    <w:lvl w:ilvl="0">
      <w:lvlJc w:val="left"/>
      <w:lvlText w:val="%1."/>
      <w:numFmt w:val="decimal"/>
      <w:start w:val="11"/>
    </w:lvl>
  </w:abstractNum>
  <w:abstractNum w:abstractNumId="192">
    <w:nsid w:val="4C2A7166"/>
    <w:multiLevelType w:val="hybridMultilevel"/>
    <w:lvl w:ilvl="0">
      <w:lvlJc w:val="left"/>
      <w:lvlText w:val="%1."/>
      <w:numFmt w:val="decimal"/>
      <w:start w:val="12"/>
    </w:lvl>
  </w:abstractNum>
  <w:abstractNum w:abstractNumId="193">
    <w:nsid w:val="2E534A82"/>
    <w:multiLevelType w:val="hybridMultilevel"/>
    <w:lvl w:ilvl="0">
      <w:lvlJc w:val="left"/>
      <w:lvlText w:val="%1."/>
      <w:numFmt w:val="decimal"/>
      <w:start w:val="13"/>
    </w:lvl>
  </w:abstractNum>
  <w:abstractNum w:abstractNumId="194">
    <w:nsid w:val="26F2D364"/>
    <w:multiLevelType w:val="hybridMultilevel"/>
    <w:lvl w:ilvl="0">
      <w:lvlJc w:val="left"/>
      <w:lvlText w:val="%1."/>
      <w:numFmt w:val="decimal"/>
      <w:start w:val="14"/>
    </w:lvl>
  </w:abstractNum>
  <w:abstractNum w:abstractNumId="195">
    <w:nsid w:val="71C1AF98"/>
    <w:multiLevelType w:val="hybridMultilevel"/>
    <w:lvl w:ilvl="0">
      <w:lvlJc w:val="left"/>
      <w:lvlText w:val="%1."/>
      <w:numFmt w:val="decimal"/>
      <w:start w:val="15"/>
    </w:lvl>
  </w:abstractNum>
  <w:abstractNum w:abstractNumId="196">
    <w:nsid w:val="3D00B9D9"/>
    <w:multiLevelType w:val="hybridMultilevel"/>
    <w:lvl w:ilvl="0">
      <w:lvlJc w:val="left"/>
      <w:lvlText w:val="%1."/>
      <w:numFmt w:val="decimal"/>
      <w:start w:val="16"/>
    </w:lvl>
  </w:abstractNum>
  <w:abstractNum w:abstractNumId="197">
    <w:nsid w:val="15BCABA8"/>
    <w:multiLevelType w:val="hybridMultilevel"/>
    <w:lvl w:ilvl="0">
      <w:lvlJc w:val="left"/>
      <w:lvlText w:val="%1."/>
      <w:numFmt w:val="decimal"/>
      <w:start w:val="17"/>
    </w:lvl>
  </w:abstractNum>
  <w:abstractNum w:abstractNumId="198">
    <w:nsid w:val="4E0B9A87"/>
    <w:multiLevelType w:val="hybridMultilevel"/>
    <w:lvl w:ilvl="0">
      <w:lvlJc w:val="left"/>
      <w:lvlText w:val="%1."/>
      <w:numFmt w:val="decimal"/>
      <w:start w:val="18"/>
    </w:lvl>
  </w:abstractNum>
  <w:abstractNum w:abstractNumId="199">
    <w:nsid w:val="434BAE75"/>
    <w:multiLevelType w:val="hybridMultilevel"/>
    <w:lvl w:ilvl="0">
      <w:lvlJc w:val="left"/>
      <w:lvlText w:val="%1."/>
      <w:numFmt w:val="decimal"/>
      <w:start w:val="19"/>
    </w:lvl>
  </w:abstractNum>
  <w:abstractNum w:abstractNumId="200">
    <w:nsid w:val="4F38F265"/>
    <w:multiLevelType w:val="hybridMultilevel"/>
    <w:lvl w:ilvl="0">
      <w:lvlJc w:val="left"/>
      <w:lvlText w:val="%1."/>
      <w:numFmt w:val="decimal"/>
      <w:start w:val="20"/>
    </w:lvl>
    <w:lvl w:ilvl="1">
      <w:lvlJc w:val="left"/>
      <w:lvlText w:val="%2."/>
      <w:numFmt w:val="decimal"/>
      <w:start w:val="21"/>
    </w:lvl>
  </w:abstractNum>
  <w:abstractNum w:abstractNumId="201">
    <w:nsid w:val="4C502870"/>
    <w:multiLevelType w:val="hybridMultilevel"/>
    <w:lvl w:ilvl="0">
      <w:lvlJc w:val="left"/>
      <w:lvlText w:val="%1."/>
      <w:numFmt w:val="decimal"/>
      <w:start w:val="22"/>
    </w:lvl>
  </w:abstractNum>
  <w:abstractNum w:abstractNumId="202">
    <w:nsid w:val="1DE8725A"/>
    <w:multiLevelType w:val="hybridMultilevel"/>
    <w:lvl w:ilvl="0">
      <w:lvlJc w:val="left"/>
      <w:lvlText w:val="%1."/>
      <w:numFmt w:val="decimal"/>
      <w:start w:val="24"/>
    </w:lvl>
    <w:lvl w:ilvl="1">
      <w:lvlJc w:val="left"/>
      <w:lvlText w:val="%2."/>
      <w:numFmt w:val="decimal"/>
      <w:start w:val="25"/>
    </w:lvl>
  </w:abstractNum>
  <w:abstractNum w:abstractNumId="203">
    <w:nsid w:val="6A37288A"/>
    <w:multiLevelType w:val="hybridMultilevel"/>
    <w:lvl w:ilvl="0">
      <w:lvlJc w:val="left"/>
      <w:lvlText w:val="%1."/>
      <w:numFmt w:val="decimal"/>
      <w:start w:val="26"/>
    </w:lvl>
  </w:abstractNum>
  <w:abstractNum w:abstractNumId="204">
    <w:nsid w:val="8F8B73F"/>
    <w:multiLevelType w:val="hybridMultilevel"/>
    <w:lvl w:ilvl="0">
      <w:lvlJc w:val="left"/>
      <w:lvlText w:val="%1."/>
      <w:numFmt w:val="decimal"/>
      <w:start w:val="27"/>
    </w:lvl>
  </w:abstractNum>
  <w:abstractNum w:abstractNumId="205">
    <w:nsid w:val="CA6B462"/>
    <w:multiLevelType w:val="hybridMultilevel"/>
    <w:lvl w:ilvl="0">
      <w:lvlJc w:val="left"/>
      <w:lvlText w:val="%1."/>
      <w:numFmt w:val="decimal"/>
      <w:start w:val="28"/>
    </w:lvl>
  </w:abstractNum>
  <w:abstractNum w:abstractNumId="206">
    <w:nsid w:val="763CB680"/>
    <w:multiLevelType w:val="hybridMultilevel"/>
    <w:lvl w:ilvl="0">
      <w:lvlJc w:val="left"/>
      <w:lvlText w:val="%1."/>
      <w:numFmt w:val="decimal"/>
      <w:start w:val="29"/>
    </w:lvl>
  </w:abstractNum>
  <w:abstractNum w:abstractNumId="207">
    <w:nsid w:val="15B71329"/>
    <w:multiLevelType w:val="hybridMultilevel"/>
    <w:lvl w:ilvl="0">
      <w:lvlJc w:val="left"/>
      <w:lvlText w:val="%1."/>
      <w:numFmt w:val="decimal"/>
      <w:start w:val="31"/>
    </w:lvl>
  </w:abstractNum>
  <w:abstractNum w:abstractNumId="208">
    <w:nsid w:val="3DA97044"/>
    <w:multiLevelType w:val="hybridMultilevel"/>
    <w:lvl w:ilvl="0">
      <w:lvlJc w:val="left"/>
      <w:lvlText w:val="%1."/>
      <w:numFmt w:val="decimal"/>
      <w:start w:val="33"/>
    </w:lvl>
  </w:abstractNum>
  <w:abstractNum w:abstractNumId="209">
    <w:nsid w:val="1CDCE2D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10">
    <w:nsid w:val="69D3947C"/>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211">
    <w:nsid w:val="2539DFA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jpe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png"/><Relationship Id="rId78" Type="http://schemas.openxmlformats.org/officeDocument/2006/relationships/image" Target="media/image71.jpe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png"/><Relationship Id="rId85" Type="http://schemas.openxmlformats.org/officeDocument/2006/relationships/image" Target="media/image78.jpe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92" Type="http://schemas.openxmlformats.org/officeDocument/2006/relationships/image" Target="media/image164.png"/><Relationship Id="rId193" Type="http://schemas.openxmlformats.org/officeDocument/2006/relationships/image" Target="media/image165.png"/><Relationship Id="rId194" Type="http://schemas.openxmlformats.org/officeDocument/2006/relationships/image" Target="media/image166.png"/><Relationship Id="rId195" Type="http://schemas.openxmlformats.org/officeDocument/2006/relationships/image" Target="media/image167.png"/><Relationship Id="rId196" Type="http://schemas.openxmlformats.org/officeDocument/2006/relationships/image" Target="media/image168.png"/><Relationship Id="rId197" Type="http://schemas.openxmlformats.org/officeDocument/2006/relationships/image" Target="media/image169.jpeg"/><Relationship Id="rId198" Type="http://schemas.openxmlformats.org/officeDocument/2006/relationships/image" Target="media/image170.png"/><Relationship Id="rId199" Type="http://schemas.openxmlformats.org/officeDocument/2006/relationships/image" Target="media/image171.png"/><Relationship Id="rId200" Type="http://schemas.openxmlformats.org/officeDocument/2006/relationships/image" Target="media/image172.png"/><Relationship Id="rId201" Type="http://schemas.openxmlformats.org/officeDocument/2006/relationships/image" Target="media/image173.png"/><Relationship Id="rId202" Type="http://schemas.openxmlformats.org/officeDocument/2006/relationships/image" Target="media/image174.png"/><Relationship Id="rId203" Type="http://schemas.openxmlformats.org/officeDocument/2006/relationships/image" Target="media/image175.png"/><Relationship Id="rId204" Type="http://schemas.openxmlformats.org/officeDocument/2006/relationships/image" Target="media/image176.png"/><Relationship Id="rId205" Type="http://schemas.openxmlformats.org/officeDocument/2006/relationships/image" Target="media/image177.png"/><Relationship Id="rId206" Type="http://schemas.openxmlformats.org/officeDocument/2006/relationships/image" Target="media/image178.png"/><Relationship Id="rId207" Type="http://schemas.openxmlformats.org/officeDocument/2006/relationships/image" Target="media/image179.png"/><Relationship Id="rId208" Type="http://schemas.openxmlformats.org/officeDocument/2006/relationships/image" Target="media/image180.png"/><Relationship Id="rId209" Type="http://schemas.openxmlformats.org/officeDocument/2006/relationships/image" Target="media/image181.png"/><Relationship Id="rId210" Type="http://schemas.openxmlformats.org/officeDocument/2006/relationships/image" Target="media/image182.png"/><Relationship Id="rId211" Type="http://schemas.openxmlformats.org/officeDocument/2006/relationships/image" Target="media/image183.png"/><Relationship Id="rId212" Type="http://schemas.openxmlformats.org/officeDocument/2006/relationships/image" Target="media/image184.png"/><Relationship Id="rId213" Type="http://schemas.openxmlformats.org/officeDocument/2006/relationships/image" Target="media/image185.png"/><Relationship Id="rId214" Type="http://schemas.openxmlformats.org/officeDocument/2006/relationships/image" Target="media/image186.png"/><Relationship Id="rId215" Type="http://schemas.openxmlformats.org/officeDocument/2006/relationships/image" Target="media/image187.png"/><Relationship Id="rId216" Type="http://schemas.openxmlformats.org/officeDocument/2006/relationships/image" Target="media/image188.png"/><Relationship Id="rId217" Type="http://schemas.openxmlformats.org/officeDocument/2006/relationships/image" Target="media/image189.png"/><Relationship Id="rId218" Type="http://schemas.openxmlformats.org/officeDocument/2006/relationships/image" Target="media/image190.png"/><Relationship Id="rId219" Type="http://schemas.openxmlformats.org/officeDocument/2006/relationships/image" Target="media/image191.png"/><Relationship Id="rId220" Type="http://schemas.openxmlformats.org/officeDocument/2006/relationships/image" Target="media/image192.png"/><Relationship Id="rId221" Type="http://schemas.openxmlformats.org/officeDocument/2006/relationships/image" Target="media/image193.png"/><Relationship Id="rId222" Type="http://schemas.openxmlformats.org/officeDocument/2006/relationships/image" Target="media/image194.png"/><Relationship Id="rId223" Type="http://schemas.openxmlformats.org/officeDocument/2006/relationships/image" Target="media/image195.png"/><Relationship Id="rId224" Type="http://schemas.openxmlformats.org/officeDocument/2006/relationships/image" Target="media/image196.png"/><Relationship Id="rId225" Type="http://schemas.openxmlformats.org/officeDocument/2006/relationships/image" Target="media/image197.png"/><Relationship Id="rId226" Type="http://schemas.openxmlformats.org/officeDocument/2006/relationships/image" Target="media/image198.png"/><Relationship Id="rId227" Type="http://schemas.openxmlformats.org/officeDocument/2006/relationships/image" Target="media/image199.png"/><Relationship Id="rId228" Type="http://schemas.openxmlformats.org/officeDocument/2006/relationships/image" Target="media/image200.png"/><Relationship Id="rId229" Type="http://schemas.openxmlformats.org/officeDocument/2006/relationships/image" Target="media/image201.png"/><Relationship Id="rId230" Type="http://schemas.openxmlformats.org/officeDocument/2006/relationships/image" Target="media/image202.png"/><Relationship Id="rId231" Type="http://schemas.openxmlformats.org/officeDocument/2006/relationships/image" Target="media/image203.png"/><Relationship Id="rId232" Type="http://schemas.openxmlformats.org/officeDocument/2006/relationships/image" Target="media/image204.png"/><Relationship Id="rId233" Type="http://schemas.openxmlformats.org/officeDocument/2006/relationships/image" Target="media/image205.png"/><Relationship Id="rId234" Type="http://schemas.openxmlformats.org/officeDocument/2006/relationships/image" Target="media/image206.png"/><Relationship Id="rId235" Type="http://schemas.openxmlformats.org/officeDocument/2006/relationships/image" Target="media/image207.png"/><Relationship Id="rId236" Type="http://schemas.openxmlformats.org/officeDocument/2006/relationships/image" Target="media/image208.png"/><Relationship Id="rId237" Type="http://schemas.openxmlformats.org/officeDocument/2006/relationships/image" Target="media/image209.png"/><Relationship Id="rId238" Type="http://schemas.openxmlformats.org/officeDocument/2006/relationships/image" Target="media/image210.png"/><Relationship Id="rId239" Type="http://schemas.openxmlformats.org/officeDocument/2006/relationships/image" Target="media/image211.png"/><Relationship Id="rId240" Type="http://schemas.openxmlformats.org/officeDocument/2006/relationships/image" Target="media/image212.png"/><Relationship Id="rId241" Type="http://schemas.openxmlformats.org/officeDocument/2006/relationships/image" Target="media/image213.png"/><Relationship Id="rId242" Type="http://schemas.openxmlformats.org/officeDocument/2006/relationships/image" Target="media/image214.png"/><Relationship Id="rId243" Type="http://schemas.openxmlformats.org/officeDocument/2006/relationships/image" Target="media/image215.png"/><Relationship Id="rId244" Type="http://schemas.openxmlformats.org/officeDocument/2006/relationships/image" Target="media/image216.png"/><Relationship Id="rId245" Type="http://schemas.openxmlformats.org/officeDocument/2006/relationships/image" Target="media/image217.png"/><Relationship Id="rId246" Type="http://schemas.openxmlformats.org/officeDocument/2006/relationships/image" Target="media/image218.png"/><Relationship Id="rId247" Type="http://schemas.openxmlformats.org/officeDocument/2006/relationships/image" Target="media/image219.png"/><Relationship Id="rId248" Type="http://schemas.openxmlformats.org/officeDocument/2006/relationships/image" Target="media/image220.png"/><Relationship Id="rId249" Type="http://schemas.openxmlformats.org/officeDocument/2006/relationships/image" Target="media/image221.png"/><Relationship Id="rId250" Type="http://schemas.openxmlformats.org/officeDocument/2006/relationships/image" Target="media/image222.png"/><Relationship Id="rId251" Type="http://schemas.openxmlformats.org/officeDocument/2006/relationships/image" Target="media/image223.png"/><Relationship Id="rId252" Type="http://schemas.openxmlformats.org/officeDocument/2006/relationships/image" Target="media/image224.png"/><Relationship Id="rId253" Type="http://schemas.openxmlformats.org/officeDocument/2006/relationships/image" Target="media/image225.png"/><Relationship Id="rId254" Type="http://schemas.openxmlformats.org/officeDocument/2006/relationships/image" Target="media/image226.png"/><Relationship Id="rId255" Type="http://schemas.openxmlformats.org/officeDocument/2006/relationships/image" Target="media/image227.png"/><Relationship Id="rId256" Type="http://schemas.openxmlformats.org/officeDocument/2006/relationships/image" Target="media/image228.png"/><Relationship Id="rId257" Type="http://schemas.openxmlformats.org/officeDocument/2006/relationships/image" Target="media/image229.png"/><Relationship Id="rId258" Type="http://schemas.openxmlformats.org/officeDocument/2006/relationships/image" Target="media/image230.png"/><Relationship Id="rId259" Type="http://schemas.openxmlformats.org/officeDocument/2006/relationships/image" Target="media/image231.png"/><Relationship Id="rId260" Type="http://schemas.openxmlformats.org/officeDocument/2006/relationships/image" Target="media/image232.png"/><Relationship Id="rId261" Type="http://schemas.openxmlformats.org/officeDocument/2006/relationships/image" Target="media/image233.png"/><Relationship Id="rId262" Type="http://schemas.openxmlformats.org/officeDocument/2006/relationships/image" Target="media/image234.png"/><Relationship Id="rId263" Type="http://schemas.openxmlformats.org/officeDocument/2006/relationships/image" Target="media/image235.png"/><Relationship Id="rId264" Type="http://schemas.openxmlformats.org/officeDocument/2006/relationships/image" Target="media/image236.png"/><Relationship Id="rId265" Type="http://schemas.openxmlformats.org/officeDocument/2006/relationships/image" Target="media/image237.png"/><Relationship Id="rId266" Type="http://schemas.openxmlformats.org/officeDocument/2006/relationships/image" Target="media/image238.png"/><Relationship Id="rId267" Type="http://schemas.openxmlformats.org/officeDocument/2006/relationships/image" Target="media/image239.png"/><Relationship Id="rId268" Type="http://schemas.openxmlformats.org/officeDocument/2006/relationships/image" Target="media/image240.png"/><Relationship Id="rId269" Type="http://schemas.openxmlformats.org/officeDocument/2006/relationships/image" Target="media/image241.png"/><Relationship Id="rId270" Type="http://schemas.openxmlformats.org/officeDocument/2006/relationships/image" Target="media/image242.png"/><Relationship Id="rId271" Type="http://schemas.openxmlformats.org/officeDocument/2006/relationships/image" Target="media/image243.png"/><Relationship Id="rId272" Type="http://schemas.openxmlformats.org/officeDocument/2006/relationships/image" Target="media/image244.png"/><Relationship Id="rId273" Type="http://schemas.openxmlformats.org/officeDocument/2006/relationships/image" Target="media/image245.png"/><Relationship Id="rId274" Type="http://schemas.openxmlformats.org/officeDocument/2006/relationships/image" Target="media/image246.png"/><Relationship Id="rId275" Type="http://schemas.openxmlformats.org/officeDocument/2006/relationships/image" Target="media/image247.png"/><Relationship Id="rId276" Type="http://schemas.openxmlformats.org/officeDocument/2006/relationships/image" Target="media/image248.png"/><Relationship Id="rId277" Type="http://schemas.openxmlformats.org/officeDocument/2006/relationships/image" Target="media/image249.png"/><Relationship Id="rId278" Type="http://schemas.openxmlformats.org/officeDocument/2006/relationships/image" Target="media/image250.png"/><Relationship Id="rId279" Type="http://schemas.openxmlformats.org/officeDocument/2006/relationships/image" Target="media/image251.png"/><Relationship Id="rId280" Type="http://schemas.openxmlformats.org/officeDocument/2006/relationships/image" Target="media/image252.png"/><Relationship Id="rId281" Type="http://schemas.openxmlformats.org/officeDocument/2006/relationships/image" Target="media/image253.png"/><Relationship Id="rId282" Type="http://schemas.openxmlformats.org/officeDocument/2006/relationships/image" Target="media/image254.png"/><Relationship Id="rId283" Type="http://schemas.openxmlformats.org/officeDocument/2006/relationships/image" Target="media/image255.png"/><Relationship Id="rId284" Type="http://schemas.openxmlformats.org/officeDocument/2006/relationships/image" Target="media/image256.png"/><Relationship Id="rId285" Type="http://schemas.openxmlformats.org/officeDocument/2006/relationships/image" Target="media/image257.png"/><Relationship Id="rId286" Type="http://schemas.openxmlformats.org/officeDocument/2006/relationships/image" Target="media/image258.png"/><Relationship Id="rId287" Type="http://schemas.openxmlformats.org/officeDocument/2006/relationships/image" Target="media/image259.png"/><Relationship Id="rId288" Type="http://schemas.openxmlformats.org/officeDocument/2006/relationships/image" Target="media/image260.png"/><Relationship Id="rId289" Type="http://schemas.openxmlformats.org/officeDocument/2006/relationships/image" Target="media/image261.png"/><Relationship Id="rId290" Type="http://schemas.openxmlformats.org/officeDocument/2006/relationships/image" Target="media/image262.png"/><Relationship Id="rId291" Type="http://schemas.openxmlformats.org/officeDocument/2006/relationships/image" Target="media/image263.png"/><Relationship Id="rId292" Type="http://schemas.openxmlformats.org/officeDocument/2006/relationships/image" Target="media/image264.png"/><Relationship Id="rId293" Type="http://schemas.openxmlformats.org/officeDocument/2006/relationships/image" Target="media/image265.png"/><Relationship Id="rId294" Type="http://schemas.openxmlformats.org/officeDocument/2006/relationships/image" Target="media/image266.png"/><Relationship Id="rId295" Type="http://schemas.openxmlformats.org/officeDocument/2006/relationships/image" Target="media/image267.png"/><Relationship Id="rId296" Type="http://schemas.openxmlformats.org/officeDocument/2006/relationships/image" Target="media/image268.png"/><Relationship Id="rId297" Type="http://schemas.openxmlformats.org/officeDocument/2006/relationships/image" Target="media/image269.png"/><Relationship Id="rId298" Type="http://schemas.openxmlformats.org/officeDocument/2006/relationships/image" Target="media/image270.png"/><Relationship Id="rId299" Type="http://schemas.openxmlformats.org/officeDocument/2006/relationships/image" Target="media/image271.png"/><Relationship Id="rId300" Type="http://schemas.openxmlformats.org/officeDocument/2006/relationships/image" Target="media/image272.png"/><Relationship Id="rId301" Type="http://schemas.openxmlformats.org/officeDocument/2006/relationships/image" Target="media/image273.png"/><Relationship Id="rId302" Type="http://schemas.openxmlformats.org/officeDocument/2006/relationships/image" Target="media/image274.jpeg"/><Relationship Id="rId303" Type="http://schemas.openxmlformats.org/officeDocument/2006/relationships/image" Target="media/image275.png"/><Relationship Id="rId304" Type="http://schemas.openxmlformats.org/officeDocument/2006/relationships/image" Target="media/image276.png"/><Relationship Id="rId305" Type="http://schemas.openxmlformats.org/officeDocument/2006/relationships/image" Target="media/image277.png"/><Relationship Id="rId306" Type="http://schemas.openxmlformats.org/officeDocument/2006/relationships/image" Target="media/image278.png"/><Relationship Id="rId307" Type="http://schemas.openxmlformats.org/officeDocument/2006/relationships/image" Target="media/image279.png"/><Relationship Id="rId308" Type="http://schemas.openxmlformats.org/officeDocument/2006/relationships/image" Target="media/image280.png"/><Relationship Id="rId309" Type="http://schemas.openxmlformats.org/officeDocument/2006/relationships/image" Target="media/image281.png"/><Relationship Id="rId310" Type="http://schemas.openxmlformats.org/officeDocument/2006/relationships/image" Target="media/image282.png"/><Relationship Id="rId311" Type="http://schemas.openxmlformats.org/officeDocument/2006/relationships/image" Target="media/image283.png"/><Relationship Id="rId312" Type="http://schemas.openxmlformats.org/officeDocument/2006/relationships/image" Target="media/image284.png"/><Relationship Id="rId313" Type="http://schemas.openxmlformats.org/officeDocument/2006/relationships/image" Target="media/image285.png"/><Relationship Id="rId171" Type="http://schemas.openxmlformats.org/officeDocument/2006/relationships/hyperlink" Target="http://www.sec.gov/Archives/edgar/data/1684693/000114420418003151/tv482396_ex3-1.htm" TargetMode="External"/><Relationship Id="rId172" Type="http://schemas.openxmlformats.org/officeDocument/2006/relationships/hyperlink" Target="http://www.sec.gov/Archives/edgar/data/1684693/000117891318002424/exhibit_99-1.htm" TargetMode="External"/><Relationship Id="rId173" Type="http://schemas.openxmlformats.org/officeDocument/2006/relationships/hyperlink" Target="http://www.sec.gov/Archives/edgar/data/1684693/000157104917007981/t1702540_ex4-1.htm" TargetMode="External"/><Relationship Id="rId174" Type="http://schemas.openxmlformats.org/officeDocument/2006/relationships/hyperlink" Target="http://www.sec.gov/Archives/edgar/data/1684693/000157104917007780/t1702477_ex10-3.htm" TargetMode="External"/><Relationship Id="rId175" Type="http://schemas.openxmlformats.org/officeDocument/2006/relationships/hyperlink" Target="http://www.sec.gov/Archives/edgar/data/1684693/000157104917007780/t1702477_ex10-4.htm" TargetMode="External"/><Relationship Id="rId176" Type="http://schemas.openxmlformats.org/officeDocument/2006/relationships/hyperlink" Target="http://www.sec.gov/Archives/edgar/data/1684693/000157104917007981/t1702540_ex10-5.htm" TargetMode="External"/><Relationship Id="rId177" Type="http://schemas.openxmlformats.org/officeDocument/2006/relationships/hyperlink" Target="http://www.sec.gov/Archives/edgar/data/1684693/000114420418003151/tv482396_ex10-6.htm" TargetMode="External"/><Relationship Id="rId178" Type="http://schemas.openxmlformats.org/officeDocument/2006/relationships/hyperlink" Target="http://www.sec.gov/Archives/edgar/data/1684693/000114420418005995/tv484898_ex99-2.htm" TargetMode="External"/><Relationship Id="rId179" Type="http://schemas.openxmlformats.org/officeDocument/2006/relationships/hyperlink" Target="http://www.sec.gov/Archives/edgar/data/1684693/000157104917007701/t1702381_ex10-7.htm" TargetMode="External"/><Relationship Id="rId180" Type="http://schemas.openxmlformats.org/officeDocument/2006/relationships/hyperlink" Target="http://www.sec.gov/Archives/edgar/data/1684693/000157104917007701/t1702381_ex10-8.htm" TargetMode="External"/><Relationship Id="rId181" Type="http://schemas.openxmlformats.org/officeDocument/2006/relationships/hyperlink" Target="http://www.sec.gov/Archives/edgar/data/1684693/000157104917007701/t1702381_ex10-9.htm" TargetMode="External"/><Relationship Id="rId182" Type="http://schemas.openxmlformats.org/officeDocument/2006/relationships/hyperlink" Target="http://www.sec.gov/Archives/edgar/data/1684693/000157104917007701/t1702381_ex10-10.htm" TargetMode="External"/><Relationship Id="rId183" Type="http://schemas.openxmlformats.org/officeDocument/2006/relationships/hyperlink" Target="http://www.sec.gov/Archives/edgar/data/1684693/000157104917007701/t1702381_ex10-11.htm" TargetMode="External"/><Relationship Id="rId184" Type="http://schemas.openxmlformats.org/officeDocument/2006/relationships/hyperlink" Target="http://www.sec.gov/Archives/edgar/data/1684693/000117891319000896/exhibit_4-12.htm" TargetMode="External"/><Relationship Id="rId185" Type="http://schemas.openxmlformats.org/officeDocument/2006/relationships/hyperlink" Target="http://www.sec.gov/Archives/edgar/data/1684693/000117891319000896/exhibit_4-13.htm" TargetMode="External"/><Relationship Id="rId186" Type="http://schemas.openxmlformats.org/officeDocument/2006/relationships/hyperlink" Target="http://www.sec.gov/Archives/edgar/data/1684693/000117891319000896/exhibit_4-14.htm" TargetMode="External"/><Relationship Id="rId187" Type="http://schemas.openxmlformats.org/officeDocument/2006/relationships/hyperlink" Target="http://www.sec.gov/Archives/edgar/data/1684693/000157104917007701/t1702381_ex10-12.htm" TargetMode="External"/><Relationship Id="rId188" Type="http://schemas.openxmlformats.org/officeDocument/2006/relationships/hyperlink" Target="http://www.sec.gov/Archives/edgar/data/1684693/000157104917007701/t1702381_ex10-13.htm" TargetMode="External"/><Relationship Id="rId189" Type="http://schemas.openxmlformats.org/officeDocument/2006/relationships/hyperlink" Target="http://www.sec.gov/Archives/edgar/data/1684693/000157104917007701/t1702381_ex10-14.htm" TargetMode="External"/><Relationship Id="rId190" Type="http://schemas.openxmlformats.org/officeDocument/2006/relationships/hyperlink" Target="http://www.sec.gov/Archives/edgar/data/1684693/000157104917007701/t1702381_ex10-15.htm" TargetMode="External"/><Relationship Id="rId191" Type="http://schemas.openxmlformats.org/officeDocument/2006/relationships/hyperlink" Target="http://www.sec.gov/Archives/edgar/data/1684693/000114420418004431/tv483839_ex10-1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2020-03-24T15:48:24Z</dcterms:created>
  <dcterms:modified xsi:type="dcterms:W3CDTF">2020-03-24T15:48:24Z</dcterms:modified>
</cp:coreProperties>
</file>