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4892.htm"/>
      <w:bookmarkStart w:id="1" w:name="kszk2634892"/>
      <w:bookmarkStart w:id="2" w:name="zk2634892.htm"/>
      <w:bookmarkStart w:id="3" w:name="kszk2634892"/>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March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001-38367</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SOL-GEL TECHNOLOGIES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7 Golda Meir Street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Ness Ziona 7403650,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49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INFORMATION CONTAINED IN THIS REPORT ON 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Sol-Gel Technologies, Ltd. (the “Company”) entered into an underwriting agreement (the “Underwriting Agreement”) with TD Securities (USA) LLC and LifeSci Capital LLC as representative (the “Representative”) of the underwriters named therein, relating to the issuance and sale by the Company of 459,112 ordinary shares of the Company, par value NIS 1.00 per share (the “Ordinary Shares”), in an underwritten registered direct offering (“Offering”) at a public offering price of $72.00 per Ordinary Share. The sale of the Ordinary Shares in the Offering was made by means of a shelf registration statement on Form F-3 (File No. 333-286822) previously filed with the Securities and Exchange Commission (the “SEC”) and declared effective on May 8, 2025, and the prospectus contained therein, as supplemented by the prospectus supplement, dated March 23, 2026. The Offering is expected to close on or about March 25, 2026, subject to satisfaction of customary closing conditions. The gross proceeds from the Offering, before deducting underwriting discounts and commissions and other estimated offering expenses, are expected to be approximately $33.1 million. </w:t>
        <w:br/>
        <w:t xml:space="preserve">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intends to use the net proceeds from the Offering to fund the continued development of SGT-610, including pre-commercialization activities and research and development, and the remainder for working capital and other general corporate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Underwriting Agreement contains customary representations, warranties and agreements by the Company, customary conditions to closing, indemnification obligations of the Company and the underwriters thereunder against certain liabilities, including for liabilities under the Securities Act, and termination provisions. The provisions of the Underwriting Agreement, including the representations and warranties contained therein, are not for the benefit of any party other than the parties to such agreement and are not intended as a document for investors and the public to obtain factual information about the current state of affairs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description of the Underwriting Agreement is qualified in its entirety by reference to the Underwriting Agreement, copies of which is attached hereto as Exhibit 1.1.</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 copy of the opinion of Goldfarb, Gross, Seligman &amp; Co. regarding the validity of the Ordinary Shares issued and sold in the Offering is filed as Exhibit 5.1 to this Report on Form 6-K and is incorporated by reference into the Company’s registration statement on Form F-3 (File No. 333-286822) filed with the SEC.</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March 23, 2026, the Company issued a press release announcing the pricing of the Offering, a copy of which press release is attached hereto as Exhibit 99.1 and is incorporated by reference herein.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Attached hereto and incorporated by reference herein are the following exhibits: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pPr>
      <w:hyperlink w:anchor="exhibit_1-1.htm">
        <w:r>
          <w:rPr>
            <w:rStyle w:val="InternetLink"/>
            <w:rFonts w:ascii="Times New Roman;Times;serif" w:hAnsi="Times New Roman;Times;serif"/>
            <w:color w:val="000000"/>
            <w:sz w:val="20"/>
            <w:u w:val="single"/>
          </w:rPr>
          <w:t>Exhibit 1.1: Underwriting Agreement, dated March 23, 2026, between the Company and TD Securities (USA) LLC and LifeSci Capital LLC.</w:t>
        </w:r>
      </w:hyperlink>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pPr>
      <w:hyperlink w:anchor="exhibit_5-1.htm">
        <w:r>
          <w:rPr>
            <w:rStyle w:val="InternetLink"/>
            <w:rFonts w:ascii="Times New Roman;Times;serif" w:hAnsi="Times New Roman;Times;serif"/>
            <w:color w:val="000000"/>
            <w:sz w:val="20"/>
            <w:u w:val="single"/>
          </w:rPr>
          <w:t>Exhibit 5.1: Opinion of Goldfarb, Gross, Seligman &amp; Co.</w:t>
        </w:r>
      </w:hyperlink>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pPr>
      <w:hyperlink w:anchor="exhibit_5-1.htm">
        <w:r>
          <w:rPr>
            <w:rStyle w:val="InternetLink"/>
            <w:rFonts w:ascii="Times New Roman;Times;serif" w:hAnsi="Times New Roman;Times;serif"/>
            <w:color w:val="000000"/>
            <w:sz w:val="20"/>
            <w:u w:val="single"/>
          </w:rPr>
          <w:t>Exhibit 23.1: Consent of Goldfarb, Gross, Seligman &amp; Co. (included in Exhibit 5.1).</w:t>
        </w:r>
      </w:hyperlink>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pPr>
      <w:hyperlink w:anchor="exhibit_99-1.htm">
        <w:r>
          <w:rPr>
            <w:rStyle w:val="InternetLink"/>
            <w:rFonts w:ascii="Times New Roman;Times;serif" w:hAnsi="Times New Roman;Times;serif"/>
            <w:color w:val="000000"/>
            <w:sz w:val="20"/>
          </w:rPr>
          <w:t>Exhibit 99.1: Company’s press release entitled: “Sol-Gel Technologies Ltd. Announces Pricing of Oversubscribed Underwritten Offering.”</w:t>
        </w:r>
      </w:hyperlink>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Form 6-K and related exhibits are hereby incorporated by reference into the Company’s Registration Statement on Form S-8 (Registrations No. 333-223915, 333-270477 and 333-286820) and its Registration Statements on Form F-3 (Registrations No. 333-286822 and 333-270478).</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49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9194569bb3f0477381cf2a8652717bef"/>
      <w:bookmarkStart w:id="5" w:name="z9194569bb3f0477381cf2a8652717bef"/>
      <w:bookmarkEnd w:id="5"/>
    </w:p>
    <w:tbl>
      <w:tblPr>
        <w:tblW w:w="5844" w:type="dxa"/>
        <w:jc w:val="left"/>
        <w:tblInd w:w="0" w:type="dxa"/>
        <w:tblLayout w:type="fixed"/>
        <w:tblCellMar>
          <w:top w:w="0" w:type="dxa"/>
          <w:left w:w="0" w:type="dxa"/>
          <w:bottom w:w="0" w:type="dxa"/>
          <w:right w:w="0" w:type="dxa"/>
        </w:tblCellMar>
      </w:tblPr>
      <w:tblGrid>
        <w:gridCol w:w="2105"/>
        <w:gridCol w:w="530"/>
        <w:gridCol w:w="3209"/>
      </w:tblGrid>
      <w:tr>
        <w:trPr/>
        <w:tc>
          <w:tcPr>
            <w:tcW w:w="2105" w:type="dxa"/>
            <w:tcBorders/>
            <w:vAlign w:val="center"/>
          </w:tcPr>
          <w:p>
            <w:pPr>
              <w:pStyle w:val="TableContents"/>
              <w:bidi w:val="0"/>
              <w:spacing w:lineRule="auto" w:line="300" w:before="0" w:after="0"/>
              <w:jc w:val="left"/>
              <w:rPr/>
            </w:pPr>
            <w:r>
              <w:rPr/>
              <w:t> </w:t>
            </w:r>
          </w:p>
        </w:tc>
        <w:tc>
          <w:tcPr>
            <w:tcW w:w="3739" w:type="dxa"/>
            <w:gridSpan w:val="2"/>
            <w:tcBorders/>
            <w:vAlign w:val="center"/>
          </w:tcPr>
          <w:p>
            <w:pPr>
              <w:pStyle w:val="TableContents"/>
              <w:bidi w:val="0"/>
              <w:spacing w:lineRule="auto" w:line="300" w:before="0" w:after="0"/>
              <w:jc w:val="left"/>
              <w:rPr>
                <w:b/>
              </w:rPr>
            </w:pPr>
            <w:r>
              <w:rPr>
                <w:b/>
              </w:rPr>
              <w:t>SOL-GEL TECHNOLOGIES LTD.</w:t>
            </w:r>
          </w:p>
        </w:tc>
      </w:tr>
      <w:tr>
        <w:trPr/>
        <w:tc>
          <w:tcPr>
            <w:tcW w:w="2105" w:type="dxa"/>
            <w:tcBorders/>
            <w:vAlign w:val="center"/>
          </w:tcPr>
          <w:p>
            <w:pPr>
              <w:pStyle w:val="TableContents"/>
              <w:bidi w:val="0"/>
              <w:spacing w:lineRule="auto" w:line="300" w:before="0" w:after="0"/>
              <w:jc w:val="left"/>
              <w:rPr/>
            </w:pPr>
            <w:r>
              <w:rPr/>
              <w:t> </w:t>
            </w:r>
          </w:p>
        </w:tc>
        <w:tc>
          <w:tcPr>
            <w:tcW w:w="530" w:type="dxa"/>
            <w:tcBorders/>
            <w:vAlign w:val="center"/>
          </w:tcPr>
          <w:p>
            <w:pPr>
              <w:pStyle w:val="TableContents"/>
              <w:bidi w:val="0"/>
              <w:spacing w:lineRule="auto" w:line="300" w:before="0" w:after="0"/>
              <w:jc w:val="left"/>
              <w:rPr/>
            </w:pPr>
            <w:r>
              <w:rPr/>
              <w:t> </w:t>
            </w:r>
          </w:p>
        </w:tc>
        <w:tc>
          <w:tcPr>
            <w:tcW w:w="3209" w:type="dxa"/>
            <w:tcBorders/>
            <w:vAlign w:val="center"/>
          </w:tcPr>
          <w:p>
            <w:pPr>
              <w:pStyle w:val="TableContents"/>
              <w:bidi w:val="0"/>
              <w:spacing w:lineRule="auto" w:line="300" w:before="0" w:after="0"/>
              <w:jc w:val="left"/>
              <w:rPr/>
            </w:pPr>
            <w:r>
              <w:rPr/>
              <w:t> </w:t>
            </w:r>
          </w:p>
        </w:tc>
      </w:tr>
      <w:tr>
        <w:trPr/>
        <w:tc>
          <w:tcPr>
            <w:tcW w:w="2105" w:type="dxa"/>
            <w:tcBorders/>
            <w:vAlign w:val="center"/>
          </w:tcPr>
          <w:p>
            <w:pPr>
              <w:pStyle w:val="TableContents"/>
              <w:bidi w:val="0"/>
              <w:spacing w:lineRule="auto" w:line="300" w:before="0" w:after="0"/>
              <w:jc w:val="left"/>
              <w:rPr/>
            </w:pPr>
            <w:r>
              <w:rPr/>
              <w:t>Date: March 24, 2026</w:t>
            </w:r>
          </w:p>
        </w:tc>
        <w:tc>
          <w:tcPr>
            <w:tcW w:w="530" w:type="dxa"/>
            <w:tcBorders/>
            <w:vAlign w:val="center"/>
          </w:tcPr>
          <w:p>
            <w:pPr>
              <w:pStyle w:val="TableContents"/>
              <w:bidi w:val="0"/>
              <w:spacing w:lineRule="auto" w:line="300" w:before="0" w:after="0"/>
              <w:jc w:val="left"/>
              <w:rPr/>
            </w:pPr>
            <w:r>
              <w:rPr/>
              <w:t>By:</w:t>
            </w:r>
          </w:p>
        </w:tc>
        <w:tc>
          <w:tcPr>
            <w:tcW w:w="3209" w:type="dxa"/>
            <w:tcBorders>
              <w:bottom w:val="single" w:sz="12" w:space="0" w:color="000000"/>
            </w:tcBorders>
            <w:tcMar>
              <w:bottom w:w="28" w:type="dxa"/>
            </w:tcMar>
            <w:vAlign w:val="center"/>
          </w:tcPr>
          <w:p>
            <w:pPr>
              <w:pStyle w:val="TableContents"/>
              <w:bidi w:val="0"/>
              <w:spacing w:lineRule="auto" w:line="300" w:before="0" w:after="0"/>
              <w:jc w:val="left"/>
              <w:rPr/>
            </w:pPr>
            <w:r>
              <w:rPr/>
              <w:t>/s/ Eyal Ben-Or</w:t>
            </w:r>
          </w:p>
        </w:tc>
      </w:tr>
      <w:tr>
        <w:trPr/>
        <w:tc>
          <w:tcPr>
            <w:tcW w:w="2105" w:type="dxa"/>
            <w:tcBorders/>
            <w:vAlign w:val="center"/>
          </w:tcPr>
          <w:p>
            <w:pPr>
              <w:pStyle w:val="TableContents"/>
              <w:bidi w:val="0"/>
              <w:spacing w:lineRule="auto" w:line="300" w:before="0" w:after="0"/>
              <w:jc w:val="left"/>
              <w:rPr/>
            </w:pPr>
            <w:r>
              <w:rPr/>
              <w:t> </w:t>
            </w:r>
          </w:p>
        </w:tc>
        <w:tc>
          <w:tcPr>
            <w:tcW w:w="530" w:type="dxa"/>
            <w:tcBorders/>
            <w:vAlign w:val="center"/>
          </w:tcPr>
          <w:p>
            <w:pPr>
              <w:pStyle w:val="TableContents"/>
              <w:bidi w:val="0"/>
              <w:spacing w:lineRule="auto" w:line="300" w:before="0" w:after="0"/>
              <w:jc w:val="left"/>
              <w:rPr/>
            </w:pPr>
            <w:r>
              <w:rPr/>
              <w:t> </w:t>
            </w:r>
          </w:p>
        </w:tc>
        <w:tc>
          <w:tcPr>
            <w:tcW w:w="3209" w:type="dxa"/>
            <w:tcBorders/>
            <w:vAlign w:val="center"/>
          </w:tcPr>
          <w:p>
            <w:pPr>
              <w:pStyle w:val="TableContents"/>
              <w:bidi w:val="0"/>
              <w:spacing w:lineRule="auto" w:line="300" w:before="0" w:after="0"/>
              <w:jc w:val="left"/>
              <w:rPr/>
            </w:pPr>
            <w:r>
              <w:rPr/>
              <w:t>Eyal Ben-Or</w:t>
            </w:r>
          </w:p>
        </w:tc>
      </w:tr>
      <w:tr>
        <w:trPr/>
        <w:tc>
          <w:tcPr>
            <w:tcW w:w="2105" w:type="dxa"/>
            <w:tcBorders/>
            <w:vAlign w:val="center"/>
          </w:tcPr>
          <w:p>
            <w:pPr>
              <w:pStyle w:val="TableContents"/>
              <w:bidi w:val="0"/>
              <w:spacing w:lineRule="auto" w:line="300" w:before="0" w:after="0"/>
              <w:jc w:val="left"/>
              <w:rPr/>
            </w:pPr>
            <w:r>
              <w:rPr/>
              <w:t> </w:t>
            </w:r>
          </w:p>
        </w:tc>
        <w:tc>
          <w:tcPr>
            <w:tcW w:w="530" w:type="dxa"/>
            <w:tcBorders/>
            <w:vAlign w:val="center"/>
          </w:tcPr>
          <w:p>
            <w:pPr>
              <w:pStyle w:val="TableContents"/>
              <w:bidi w:val="0"/>
              <w:spacing w:lineRule="auto" w:line="300" w:before="0" w:after="0"/>
              <w:jc w:val="left"/>
              <w:rPr/>
            </w:pPr>
            <w:r>
              <w:rPr/>
              <w:t> </w:t>
            </w:r>
          </w:p>
        </w:tc>
        <w:tc>
          <w:tcPr>
            <w:tcW w:w="3209" w:type="dxa"/>
            <w:tcBorders/>
            <w:vAlign w:val="center"/>
          </w:tcPr>
          <w:p>
            <w:pPr>
              <w:pStyle w:val="TableContents"/>
              <w:bidi w:val="0"/>
              <w:spacing w:lineRule="auto" w:line="300" w:before="0" w:after="0"/>
              <w:jc w:val="left"/>
              <w:rPr/>
            </w:pPr>
            <w:r>
              <w:rPr/>
              <w:t>Chief Financial Officer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lineRule="auto" w:line="300"/>
        <w:jc w:val="left"/>
        <w:rPr/>
      </w:pPr>
      <w:r>
        <w:rPr/>
      </w:r>
    </w:p>
    <w:p>
      <w:pPr>
        <w:pStyle w:val="HorizontalLine"/>
        <w:bidi w:val="0"/>
        <w:jc w:val="left"/>
        <w:rPr/>
      </w:pPr>
      <w:r>
        <w:rPr/>
      </w:r>
      <w:bookmarkStart w:id="6" w:name="exhibit_1-1.htm"/>
      <w:bookmarkStart w:id="7" w:name="ksexhibit_11"/>
      <w:bookmarkStart w:id="8" w:name="exhibit_1-1.htm"/>
      <w:bookmarkStart w:id="9" w:name="ksexhibit_11"/>
      <w:bookmarkEnd w:id="8"/>
      <w:bookmarkEnd w:id="9"/>
      <w:r>
        <w:br w:type="page"/>
      </w:r>
    </w:p>
    <w:p>
      <w:pPr>
        <w:pStyle w:val="TextBody"/>
        <w:bidi w:val="0"/>
        <w:spacing w:before="0" w:after="0"/>
        <w:jc w:val="left"/>
        <w:rPr/>
      </w:pPr>
      <w:r>
        <w:rPr/>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1.1</w:t>
      </w:r>
    </w:p>
    <w:p>
      <w:pPr>
        <w:pStyle w:val="TextBody"/>
        <w:bidi w:val="0"/>
        <w:spacing w:lineRule="auto" w:line="300"/>
        <w:jc w:val="center"/>
        <w:rPr>
          <w:rFonts w:ascii="Times New Roman;Times;serif" w:hAnsi="Times New Roman;Times;serif"/>
          <w:b/>
          <w:color w:val="000000"/>
          <w:sz w:val="20"/>
        </w:rPr>
      </w:pPr>
      <w:r>
        <w:rPr>
          <w:rFonts w:ascii="Times New Roman;Times;serif" w:hAnsi="Times New Roman;Times;serif"/>
          <w:b/>
          <w:color w:val="000000"/>
          <w:sz w:val="20"/>
        </w:rPr>
        <w:t>Sol-Gel Technologies Ltd.</w:t>
      </w:r>
    </w:p>
    <w:p>
      <w:pPr>
        <w:pStyle w:val="TextBody"/>
        <w:bidi w:val="0"/>
        <w:spacing w:lineRule="auto" w:line="300"/>
        <w:jc w:val="center"/>
        <w:rPr>
          <w:rFonts w:ascii="Times New Roman;Times;serif" w:hAnsi="Times New Roman;Times;serif"/>
          <w:b/>
          <w:color w:val="000000"/>
          <w:sz w:val="20"/>
        </w:rPr>
      </w:pPr>
      <w:r>
        <w:rPr>
          <w:rFonts w:ascii="Times New Roman;Times;serif" w:hAnsi="Times New Roman;Times;serif"/>
          <w:b/>
          <w:color w:val="000000"/>
          <w:sz w:val="20"/>
        </w:rPr>
        <w:t>459,112 Ordinary Shares (Par Value NIS 1.0 Per Share)</w:t>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UNDERWRITING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March 23,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TD SECURITIES (USA) LLC</w:t>
        <w:br/>
        <w:t>LIFESCI CAPITAL LLC</w:t>
        <w:br/>
        <w:t>As Representatives of the several Underwriters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 TD SECURITIES (USA) LLC</w:t>
        <w:br/>
        <w:t>1 Vanderbilt Avenue</w:t>
        <w:br/>
        <w:t>New York, New York 10017</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c/o LIFESCI CAPITAL LLC</w:t>
        <w:br/>
        <w:t>1700 Broadway, 40th Floor</w:t>
        <w:br/>
        <w:t>New York, NY 10019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Introductory.</w:t>
      </w:r>
      <w:r>
        <w:rPr>
          <w:rFonts w:ascii="Times New Roman;Times;serif" w:hAnsi="Times New Roman;Times;serif"/>
          <w:color w:val="000000"/>
          <w:sz w:val="20"/>
        </w:rPr>
        <w:t xml:space="preserve"> Sol-Gel Technologies Ltd., a company organized under the laws of the State of Israel (the “</w:t>
      </w:r>
      <w:r>
        <w:rPr>
          <w:rFonts w:ascii="Times New Roman;Times;serif" w:hAnsi="Times New Roman;Times;serif"/>
          <w:b/>
          <w:color w:val="000000"/>
          <w:sz w:val="20"/>
        </w:rPr>
        <w:t>Company</w:t>
      </w:r>
      <w:r>
        <w:rPr>
          <w:rFonts w:ascii="Times New Roman;Times;serif" w:hAnsi="Times New Roman;Times;serif"/>
          <w:color w:val="000000"/>
          <w:sz w:val="20"/>
        </w:rPr>
        <w:t xml:space="preserve">”), proposes to issue and sell to the several underwriters named in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(the “</w:t>
      </w:r>
      <w:r>
        <w:rPr>
          <w:rFonts w:ascii="Times New Roman;Times;serif" w:hAnsi="Times New Roman;Times;serif"/>
          <w:b/>
          <w:color w:val="000000"/>
          <w:sz w:val="20"/>
        </w:rPr>
        <w:t>Underwriters</w:t>
      </w:r>
      <w:r>
        <w:rPr>
          <w:rFonts w:ascii="Times New Roman;Times;serif" w:hAnsi="Times New Roman;Times;serif"/>
          <w:color w:val="000000"/>
          <w:sz w:val="20"/>
        </w:rPr>
        <w:t>”) an aggregate of 459,112 ordinary shares of the Company, par value NIS 1.0 per share (the “</w:t>
      </w:r>
      <w:r>
        <w:rPr>
          <w:rFonts w:ascii="Times New Roman;Times;serif" w:hAnsi="Times New Roman;Times;serif"/>
          <w:b/>
          <w:color w:val="000000"/>
          <w:sz w:val="20"/>
        </w:rPr>
        <w:t>Ordinary Shares</w:t>
      </w:r>
      <w:r>
        <w:rPr>
          <w:rFonts w:ascii="Times New Roman;Times;serif" w:hAnsi="Times New Roman;Times;serif"/>
          <w:color w:val="000000"/>
          <w:sz w:val="20"/>
        </w:rPr>
        <w:t>”). The 459,112 Ordinary Shares to be sold by the Company are called the “</w:t>
      </w:r>
      <w:r>
        <w:rPr>
          <w:rFonts w:ascii="Times New Roman;Times;serif" w:hAnsi="Times New Roman;Times;serif"/>
          <w:b/>
          <w:color w:val="000000"/>
          <w:sz w:val="20"/>
        </w:rPr>
        <w:t>Offered Shares</w:t>
      </w:r>
      <w:r>
        <w:rPr>
          <w:rFonts w:ascii="Times New Roman;Times;serif" w:hAnsi="Times New Roman;Times;serif"/>
          <w:color w:val="000000"/>
          <w:sz w:val="20"/>
        </w:rPr>
        <w:t>.”  TD Securities (USA) LLC (“</w:t>
      </w:r>
      <w:r>
        <w:rPr>
          <w:rFonts w:ascii="Times New Roman;Times;serif" w:hAnsi="Times New Roman;Times;serif"/>
          <w:b/>
          <w:color w:val="000000"/>
          <w:sz w:val="20"/>
        </w:rPr>
        <w:t>TD Cowen</w:t>
      </w:r>
      <w:r>
        <w:rPr>
          <w:rFonts w:ascii="Times New Roman;Times;serif" w:hAnsi="Times New Roman;Times;serif"/>
          <w:color w:val="000000"/>
          <w:sz w:val="20"/>
        </w:rPr>
        <w:t>”) and LifeSci Capital LLC (“</w:t>
      </w:r>
      <w:r>
        <w:rPr>
          <w:rFonts w:ascii="Times New Roman;Times;serif" w:hAnsi="Times New Roman;Times;serif"/>
          <w:b/>
          <w:color w:val="000000"/>
          <w:sz w:val="20"/>
        </w:rPr>
        <w:t>LifeSci Capital</w:t>
      </w:r>
      <w:r>
        <w:rPr>
          <w:rFonts w:ascii="Times New Roman;Times;serif" w:hAnsi="Times New Roman;Times;serif"/>
          <w:color w:val="000000"/>
          <w:sz w:val="20"/>
        </w:rPr>
        <w:t>”) have agreed to act as representatives of the Underwriters (each in such capacity, a “</w:t>
      </w:r>
      <w:r>
        <w:rPr>
          <w:rFonts w:ascii="Times New Roman;Times;serif" w:hAnsi="Times New Roman;Times;serif"/>
          <w:b/>
          <w:color w:val="000000"/>
          <w:sz w:val="20"/>
        </w:rPr>
        <w:t>Representative</w:t>
      </w:r>
      <w:r>
        <w:rPr>
          <w:rFonts w:ascii="Times New Roman;Times;serif" w:hAnsi="Times New Roman;Times;serif"/>
          <w:color w:val="000000"/>
          <w:sz w:val="20"/>
        </w:rPr>
        <w:t>” and collectively, the “</w:t>
      </w:r>
      <w:r>
        <w:rPr>
          <w:rFonts w:ascii="Times New Roman;Times;serif" w:hAnsi="Times New Roman;Times;serif"/>
          <w:b/>
          <w:color w:val="000000"/>
          <w:sz w:val="20"/>
        </w:rPr>
        <w:t>Representatives</w:t>
      </w:r>
      <w:r>
        <w:rPr>
          <w:rFonts w:ascii="Times New Roman;Times;serif" w:hAnsi="Times New Roman;Times;serif"/>
          <w:color w:val="000000"/>
          <w:sz w:val="20"/>
        </w:rPr>
        <w:t>”) in connection with the offering and sale of the Offered Shares.</w:t>
      </w:r>
    </w:p>
    <w:p>
      <w:pPr>
        <w:pStyle w:val="TextBody"/>
        <w:bidi w:val="0"/>
        <w:spacing w:lineRule="auto" w:line="300" w:before="0" w:after="0"/>
        <w:jc w:val="both"/>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has prepared and filed with the Securities and Exchange Commission (the “</w:t>
      </w:r>
      <w:r>
        <w:rPr>
          <w:rFonts w:ascii="Times New Roman;Times;serif" w:hAnsi="Times New Roman;Times;serif"/>
          <w:b/>
          <w:color w:val="000000"/>
          <w:sz w:val="20"/>
        </w:rPr>
        <w:t>Commission</w:t>
      </w:r>
      <w:r>
        <w:rPr>
          <w:rFonts w:ascii="Times New Roman;Times;serif" w:hAnsi="Times New Roman;Times;serif"/>
          <w:color w:val="000000"/>
          <w:sz w:val="20"/>
        </w:rPr>
        <w:t>”) a shelf registration statement on Form F-3, File No. 333-286822, including a base prospectus (the “</w:t>
      </w:r>
      <w:r>
        <w:rPr>
          <w:rFonts w:ascii="Times New Roman;Times;serif" w:hAnsi="Times New Roman;Times;serif"/>
          <w:b/>
          <w:color w:val="000000"/>
          <w:sz w:val="20"/>
        </w:rPr>
        <w:t>Base Prospectus</w:t>
      </w:r>
      <w:r>
        <w:rPr>
          <w:rFonts w:ascii="Times New Roman;Times;serif" w:hAnsi="Times New Roman;Times;serif"/>
          <w:color w:val="000000"/>
          <w:sz w:val="20"/>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Times;serif" w:hAnsi="Times New Roman;Times;serif"/>
          <w:b/>
          <w:color w:val="000000"/>
          <w:sz w:val="20"/>
        </w:rPr>
        <w:t>Securities Act</w:t>
      </w:r>
      <w:r>
        <w:rPr>
          <w:rFonts w:ascii="Times New Roman;Times;serif" w:hAnsi="Times New Roman;Times;serif"/>
          <w:color w:val="000000"/>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Times;serif" w:hAnsi="Times New Roman;Times;serif"/>
          <w:b/>
          <w:color w:val="000000"/>
          <w:sz w:val="20"/>
        </w:rPr>
        <w:t>Registration Statement</w:t>
      </w:r>
      <w:r>
        <w:rPr>
          <w:rFonts w:ascii="Times New Roman;Times;serif" w:hAnsi="Times New Roman;Times;serif"/>
          <w:color w:val="000000"/>
          <w:sz w:val="20"/>
        </w:rPr>
        <w:t>.” Any registration statement filed by the Company pursuant to Rule 462(b) under the Securities Act in connection with the offer and sale of the Offered Shares is called the “</w:t>
      </w:r>
      <w:r>
        <w:rPr>
          <w:rFonts w:ascii="Times New Roman;Times;serif" w:hAnsi="Times New Roman;Times;serif"/>
          <w:b/>
          <w:color w:val="000000"/>
          <w:sz w:val="20"/>
        </w:rPr>
        <w:t>Rule 462(b) Registration Statement</w:t>
      </w:r>
      <w:r>
        <w:rPr>
          <w:rFonts w:ascii="Times New Roman;Times;serif" w:hAnsi="Times New Roman;Times;serif"/>
          <w:color w:val="000000"/>
          <w:sz w:val="20"/>
        </w:rPr>
        <w:t>,” and from and after the date and time of filing of any such Rule 462(b) Registration Statement the term “Registration Statement” shall include the Rule 462(b) Registration Statement. As used herein, the term “</w:t>
      </w:r>
      <w:r>
        <w:rPr>
          <w:rFonts w:ascii="Times New Roman;Times;serif" w:hAnsi="Times New Roman;Times;serif"/>
          <w:b/>
          <w:color w:val="000000"/>
          <w:sz w:val="20"/>
        </w:rPr>
        <w:t>Prospectus</w:t>
      </w:r>
      <w:r>
        <w:rPr>
          <w:rFonts w:ascii="Times New Roman;Times;serif" w:hAnsi="Times New Roman;Times;serif"/>
          <w:color w:val="000000"/>
          <w:sz w:val="20"/>
        </w:rPr>
        <w:t>” shall mean the final prospectus supplement to the Base Prospectus that describes the Offered Shares and the offering thereof (the “</w:t>
      </w:r>
      <w:r>
        <w:rPr>
          <w:rFonts w:ascii="Times New Roman;Times;serif" w:hAnsi="Times New Roman;Times;serif"/>
          <w:b/>
          <w:color w:val="000000"/>
          <w:sz w:val="20"/>
        </w:rPr>
        <w:t>Final Prospectus Supplement</w:t>
      </w:r>
      <w:r>
        <w:rPr>
          <w:rFonts w:ascii="Times New Roman;Times;serif" w:hAnsi="Times New Roman;Times;serif"/>
          <w:color w:val="000000"/>
          <w:sz w:val="20"/>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any preliminary prospectus and the Prospectus shall refer to both the prospectus supplement and the Base Prospectus components of such prospectus. As used herein, “</w:t>
      </w:r>
      <w:r>
        <w:rPr>
          <w:rFonts w:ascii="Times New Roman;Times;serif" w:hAnsi="Times New Roman;Times;serif"/>
          <w:b/>
          <w:color w:val="000000"/>
          <w:sz w:val="20"/>
        </w:rPr>
        <w:t>Applicable Time</w:t>
      </w:r>
      <w:r>
        <w:rPr>
          <w:rFonts w:ascii="Times New Roman;Times;serif" w:hAnsi="Times New Roman;Times;serif"/>
          <w:color w:val="000000"/>
          <w:sz w:val="20"/>
        </w:rPr>
        <w:t>” is 6:30 p.m. (New York City time) on March 23, 2026. As used herein, “</w:t>
      </w:r>
      <w:r>
        <w:rPr>
          <w:rFonts w:ascii="Times New Roman;Times;serif" w:hAnsi="Times New Roman;Times;serif"/>
          <w:b/>
          <w:color w:val="000000"/>
          <w:sz w:val="20"/>
        </w:rPr>
        <w:t>free writing prospectus</w:t>
      </w:r>
      <w:r>
        <w:rPr>
          <w:rFonts w:ascii="Times New Roman;Times;serif" w:hAnsi="Times New Roman;Times;serif"/>
          <w:color w:val="000000"/>
          <w:sz w:val="20"/>
        </w:rPr>
        <w:t>” has the meaning set forth in Rule 405 under the Securities Act, and “</w:t>
      </w:r>
      <w:r>
        <w:rPr>
          <w:rFonts w:ascii="Times New Roman;Times;serif" w:hAnsi="Times New Roman;Times;serif"/>
          <w:b/>
          <w:color w:val="000000"/>
          <w:sz w:val="20"/>
        </w:rPr>
        <w:t>Time of Sale Prospectus</w:t>
      </w:r>
      <w:r>
        <w:rPr>
          <w:rFonts w:ascii="Times New Roman;Times;serif" w:hAnsi="Times New Roman;Times;serif"/>
          <w:color w:val="000000"/>
          <w:sz w:val="20"/>
        </w:rPr>
        <w:t xml:space="preserve">” means the Prospectus, as amended or supplemented immediately prior to the Applicable Time, together with the free writing prospectuses, if any, identified in </w:t>
      </w:r>
      <w:r>
        <w:rPr>
          <w:rFonts w:ascii="Times New Roman;Times;serif" w:hAnsi="Times New Roman;Times;serif"/>
          <w:color w:val="000000"/>
          <w:sz w:val="20"/>
          <w:u w:val="single"/>
        </w:rPr>
        <w:t>Schedule B</w:t>
      </w:r>
      <w:r>
        <w:rPr>
          <w:rFonts w:ascii="Times New Roman;Times;serif" w:hAnsi="Times New Roman;Times;serif"/>
          <w:color w:val="000000"/>
          <w:sz w:val="20"/>
        </w:rPr>
        <w:t xml:space="preserve"> hereto. As used herein, “</w:t>
      </w:r>
      <w:r>
        <w:rPr>
          <w:rFonts w:ascii="Times New Roman;Times;serif" w:hAnsi="Times New Roman;Times;serif"/>
          <w:b/>
          <w:color w:val="000000"/>
          <w:sz w:val="20"/>
        </w:rPr>
        <w:t>Road Show</w:t>
      </w:r>
      <w:r>
        <w:rPr>
          <w:rFonts w:ascii="Times New Roman;Times;serif" w:hAnsi="Times New Roman;Times;serif"/>
          <w:color w:val="000000"/>
          <w:sz w:val="20"/>
        </w:rPr>
        <w:t>” means a “road show” (as defined in Rule 433 under the Securities Act) relating to the offering of the Offered Shares contemplated hereby that is a “written communication” (as defined in Rule 405 under the Securities Act).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any preliminary prospectus, the Base Prospectus, the Time of Sale Prospectus or the Prospectus, as the case may be. All references in this Agreement to amendments or supplements to the Registration Statement,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color w:val="000000"/>
          <w:sz w:val="20"/>
        </w:rPr>
        <w:t>Exchange Act</w:t>
      </w:r>
      <w:r>
        <w:rPr>
          <w:rFonts w:ascii="Times New Roman;Times;serif" w:hAnsi="Times New Roman;Times;serif"/>
          <w:color w:val="000000"/>
          <w:sz w:val="20"/>
        </w:rPr>
        <w:t>”) that is or is deemed to be incorporated by reference in the Registration Statement, any preliminary prospectus, the Base Prospectus, or the Prospectus, as the case may be. All references in this Agreement to (i)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color w:val="000000"/>
          <w:sz w:val="20"/>
        </w:rPr>
        <w:t>EDGAR</w:t>
      </w:r>
      <w:r>
        <w:rPr>
          <w:rFonts w:ascii="Times New Roman;Times;serif" w:hAnsi="Times New Roman;Times;serif"/>
          <w:color w:val="000000"/>
          <w:sz w:val="20"/>
        </w:rPr>
        <w:t>”) and (ii) the Prospectus shall be deemed to include any “electronic Prospectus” provided for use in connection with the offering of the Offered Shares as contemplated by Section 3(n) of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Company has only one subsidiary, then all references herein to “subsidiaries” of the Company shall be deemed to refer to such single subsidiary, </w:t>
      </w:r>
      <w:r>
        <w:rPr>
          <w:rFonts w:ascii="Times New Roman;Times;serif" w:hAnsi="Times New Roman;Times;serif"/>
          <w:color w:val="000000"/>
          <w:sz w:val="20"/>
          <w:u w:val="single"/>
        </w:rPr>
        <w:t>mutatis</w:t>
      </w:r>
      <w:r>
        <w:rPr>
          <w:rFonts w:ascii="Times New Roman;Times;serif" w:hAnsi="Times New Roman;Times;serif"/>
          <w:color w:val="000000"/>
          <w:sz w:val="20"/>
        </w:rPr>
        <w:t> </w:t>
      </w:r>
      <w:r>
        <w:rPr>
          <w:rFonts w:ascii="Times New Roman;Times;serif" w:hAnsi="Times New Roman;Times;serif"/>
          <w:color w:val="000000"/>
          <w:sz w:val="20"/>
          <w:u w:val="single"/>
        </w:rPr>
        <w:t>mutandis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hereby confirms its agreements with the Underwriters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Section 1. </w:t>
      </w:r>
      <w:r>
        <w:rPr>
          <w:rFonts w:ascii="Times New Roman;Times;serif" w:hAnsi="Times New Roman;Times;serif"/>
          <w:color w:val="000000"/>
          <w:sz w:val="20"/>
        </w:rPr>
        <w:t>Representations and Warranties of the Company. The Company hereby represents, warrants and covenants to each Underwriter, as of the date of this Agreement and as of the Closing Date (as defined herein),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b/>
          <w:i/>
          <w:color w:val="000000"/>
          <w:sz w:val="20"/>
        </w:rPr>
        <w:t>Compliance with Registration Requirements</w:t>
      </w:r>
      <w:r>
        <w:rPr>
          <w:rFonts w:ascii="Times New Roman;Times;serif" w:hAnsi="Times New Roman;Times;serif"/>
          <w:b/>
          <w:color w:val="000000"/>
          <w:sz w:val="20"/>
        </w:rPr>
        <w:t>.</w:t>
      </w:r>
      <w:r>
        <w:rPr>
          <w:rFonts w:ascii="Times New Roman;Times;serif" w:hAnsi="Times New Roman;Times;serif"/>
          <w:color w:val="000000"/>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20-F (the “</w:t>
      </w:r>
      <w:r>
        <w:rPr>
          <w:rFonts w:ascii="Times New Roman;Times;serif" w:hAnsi="Times New Roman;Times;serif"/>
          <w:b/>
          <w:color w:val="000000"/>
          <w:sz w:val="20"/>
        </w:rPr>
        <w:t>Annual Report</w:t>
      </w:r>
      <w:r>
        <w:rPr>
          <w:rFonts w:ascii="Times New Roman;Times;serif" w:hAnsi="Times New Roman;Times;serif"/>
          <w:color w:val="000000"/>
          <w:sz w:val="20"/>
        </w:rPr>
        <w:t>”) for the year ended December 31, 2025 was filed with the Commission, or, if later, at the time the Registration Statement was originally filed with the Commission, the Company met the then-applicable requirements for use of Form F-3 under the Securities Act. The Company is a “foreign private issuer” within the meaning of Rule 405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b/>
          <w:i/>
          <w:color w:val="000000"/>
          <w:sz w:val="20"/>
        </w:rPr>
        <w:t>Disclosure</w:t>
      </w:r>
      <w:r>
        <w:rPr>
          <w:rFonts w:ascii="Times New Roman;Times;serif" w:hAnsi="Times New Roman;Times;serif"/>
          <w:b/>
          <w:color w:val="000000"/>
          <w:sz w:val="20"/>
        </w:rPr>
        <w:t>.</w:t>
      </w:r>
      <w:r>
        <w:rPr>
          <w:rFonts w:ascii="Times New Roman;Times;serif" w:hAnsi="Times New Roman;Times;serif"/>
          <w:color w:val="000000"/>
          <w:sz w:val="20"/>
        </w:rPr>
        <w:t xml:space="preserve"> Any preliminary prospectus and the Prospectus when filed complied in all material respects with the applicable provisions of the Securities Act and, if filed with the Commission through EDGAR, was identical (except as may be permitted by Regulation S</w:t>
        <w:noBreakHyphen/>
        <w:t>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applicable provisions of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Closing Date, will not, contain any untrue statement of a material fact or omit to state a material fact necessary to make the statements therein, in the light of the circumstances under which they were made, not misleading. The Prospectus (including any Prospectus wrapper), as amended or supplemented,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 </w:t>
      </w:r>
      <w:r>
        <w:rPr>
          <w:rFonts w:ascii="Times New Roman;Times;serif" w:hAnsi="Times New Roman;Times;serif"/>
          <w:b/>
          <w:i/>
          <w:color w:val="000000"/>
          <w:sz w:val="20"/>
        </w:rPr>
        <w:t>Free Writing Prospectuses; Road Show</w:t>
      </w:r>
      <w:r>
        <w:rPr>
          <w:rFonts w:ascii="Times New Roman;Times;serif" w:hAnsi="Times New Roman;Times;serif"/>
          <w:b/>
          <w:color w:val="000000"/>
          <w:sz w:val="20"/>
        </w:rPr>
        <w:t>.</w:t>
      </w:r>
      <w:r>
        <w:rPr>
          <w:rFonts w:ascii="Times New Roman;Times;serif" w:hAnsi="Times New Roman;Times;serif"/>
          <w:color w:val="000000"/>
          <w:sz w:val="20"/>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Times;serif" w:hAnsi="Times New Roman;Times;serif"/>
          <w:color w:val="000000"/>
          <w:sz w:val="20"/>
          <w:u w:val="single"/>
        </w:rPr>
        <w:t>Schedule B</w:t>
      </w:r>
      <w:r>
        <w:rPr>
          <w:rFonts w:ascii="Times New Roman;Times;serif" w:hAnsi="Times New Roman;Times;serif"/>
          <w:color w:val="000000"/>
          <w:sz w:val="20"/>
        </w:rPr>
        <w:t>, and electronic road shows, if any, furnished to you before first use, the Company has not prepared, used or referred to, and will not, without your prior written consent (which consent shall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 </w:t>
      </w:r>
      <w:r>
        <w:rPr>
          <w:rFonts w:ascii="Times New Roman;Times;serif" w:hAnsi="Times New Roman;Times;serif"/>
          <w:b/>
          <w:i/>
          <w:color w:val="000000"/>
          <w:sz w:val="20"/>
        </w:rPr>
        <w:t>Distribution of Offering Material by the Company</w:t>
      </w:r>
      <w:r>
        <w:rPr>
          <w:rFonts w:ascii="Times New Roman;Times;serif" w:hAnsi="Times New Roman;Times;serif"/>
          <w:b/>
          <w:color w:val="000000"/>
          <w:sz w:val="20"/>
        </w:rPr>
        <w:t>.</w:t>
      </w:r>
      <w:r>
        <w:rPr>
          <w:rFonts w:ascii="Times New Roman;Times;serif" w:hAnsi="Times New Roman;Times;serif"/>
          <w:color w:val="000000"/>
          <w:sz w:val="20"/>
        </w:rPr>
        <w:t xml:space="preserve"> Prior to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(which consent shall not be unreasonably withheld) and the free writing prospectuses, if any, identified on </w:t>
      </w:r>
      <w:r>
        <w:rPr>
          <w:rFonts w:ascii="Times New Roman;Times;serif" w:hAnsi="Times New Roman;Times;serif"/>
          <w:color w:val="000000"/>
          <w:sz w:val="20"/>
          <w:u w:val="single"/>
        </w:rPr>
        <w:t>Schedule B</w:t>
      </w:r>
      <w:r>
        <w:rPr>
          <w:rFonts w:ascii="Times New Roman;Times;serif" w:hAnsi="Times New Roman;Times;serif"/>
          <w:color w:val="000000"/>
          <w:sz w:val="20"/>
        </w:rPr>
        <w:t xml:space="preserve"> 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(e) </w:t>
      </w:r>
      <w:r>
        <w:rPr>
          <w:rFonts w:ascii="Times New Roman;Times;serif" w:hAnsi="Times New Roman;Times;serif"/>
          <w:b/>
          <w:i/>
          <w:color w:val="000000"/>
          <w:sz w:val="20"/>
        </w:rPr>
        <w:t>The Underwriting Agreement</w:t>
      </w:r>
      <w:r>
        <w:rPr>
          <w:rFonts w:ascii="Times New Roman;Times;serif" w:hAnsi="Times New Roman;Times;serif"/>
          <w:b/>
          <w:color w:val="000000"/>
          <w:sz w:val="20"/>
        </w:rPr>
        <w:t>.</w:t>
      </w:r>
      <w:r>
        <w:rPr>
          <w:rFonts w:ascii="Times New Roman;Times;serif" w:hAnsi="Times New Roman;Times;serif"/>
          <w:color w:val="000000"/>
          <w:sz w:val="20"/>
        </w:rPr>
        <w:t xml:space="preserve"> This Agreement has been duly authorized, executed and delivered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(f) </w:t>
      </w:r>
      <w:r>
        <w:rPr>
          <w:rFonts w:ascii="Times New Roman;Times;serif" w:hAnsi="Times New Roman;Times;serif"/>
          <w:b/>
          <w:i/>
          <w:color w:val="000000"/>
          <w:sz w:val="20"/>
        </w:rPr>
        <w:t>Authorization of the Offered Shares</w:t>
      </w:r>
      <w:r>
        <w:rPr>
          <w:rFonts w:ascii="Times New Roman;Times;serif" w:hAnsi="Times New Roman;Times;serif"/>
          <w:b/>
          <w:color w:val="000000"/>
          <w:sz w:val="20"/>
        </w:rPr>
        <w:t>.</w:t>
      </w:r>
      <w:r>
        <w:rPr>
          <w:rFonts w:ascii="Times New Roman;Times;serif" w:hAnsi="Times New Roman;Times;serif"/>
          <w:color w:val="000000"/>
          <w:sz w:val="20"/>
        </w:rPr>
        <w:t xml:space="preserve"> The Offered Shares have been duly authorized for issuance and sale pursuant to this Agreement and, 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(g) </w:t>
      </w:r>
      <w:r>
        <w:rPr>
          <w:rFonts w:ascii="Times New Roman;Times;serif" w:hAnsi="Times New Roman;Times;serif"/>
          <w:b/>
          <w:i/>
          <w:color w:val="000000"/>
          <w:sz w:val="20"/>
        </w:rPr>
        <w:t>No Applicable Registration or Other Similar Rights</w:t>
      </w:r>
      <w:r>
        <w:rPr>
          <w:rFonts w:ascii="Times New Roman;Times;serif" w:hAnsi="Times New Roman;Times;serif"/>
          <w:b/>
          <w:color w:val="000000"/>
          <w:sz w:val="20"/>
        </w:rPr>
        <w:t>.</w:t>
      </w:r>
      <w:r>
        <w:rPr>
          <w:rFonts w:ascii="Times New Roman;Times;serif" w:hAnsi="Times New Roman;Times;serif"/>
          <w:color w:val="000000"/>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(h) </w:t>
      </w:r>
      <w:r>
        <w:rPr>
          <w:rFonts w:ascii="Times New Roman;Times;serif" w:hAnsi="Times New Roman;Times;serif"/>
          <w:b/>
          <w:i/>
          <w:color w:val="000000"/>
          <w:sz w:val="20"/>
        </w:rPr>
        <w:t>No Material Adverse Change</w:t>
      </w:r>
      <w:r>
        <w:rPr>
          <w:rFonts w:ascii="Times New Roman;Times;serif" w:hAnsi="Times New Roman;Times;serif"/>
          <w:b/>
          <w:color w:val="000000"/>
          <w:sz w:val="20"/>
        </w:rPr>
        <w:t>.</w:t>
      </w:r>
      <w:r>
        <w:rPr>
          <w:rFonts w:ascii="Times New Roman;Times;serif" w:hAnsi="Times New Roman;Times;serif"/>
          <w:color w:val="000000"/>
          <w:sz w:val="20"/>
        </w:rPr>
        <w:t xml:space="preserve">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(A) the condition, financial or otherwise, or in the earnings, business, properties, operations, assets, liabilities or prospects, whether or not arising from transactions in the ordinary course of business, of the Company and its Subsidiary (as defined herein), considered as one entity or (B) the ability of the Company to consummate the transactions contemplated by this Agreement or perform its obligations hereunder (any such change being referred to herein as a “</w:t>
      </w:r>
      <w:r>
        <w:rPr>
          <w:rFonts w:ascii="Times New Roman;Times;serif" w:hAnsi="Times New Roman;Times;serif"/>
          <w:b/>
          <w:color w:val="000000"/>
          <w:sz w:val="20"/>
        </w:rPr>
        <w:t>Material Adverse Change</w:t>
      </w:r>
      <w:r>
        <w:rPr>
          <w:rFonts w:ascii="Times New Roman;Times;serif" w:hAnsi="Times New Roman;Times;serif"/>
          <w:color w:val="000000"/>
          <w:sz w:val="20"/>
        </w:rPr>
        <w:t>”); (ii) the Company and its Subsidiary, considered as one entity, have not incurred any material liability or obligation, indirect, direct or contingent, including without limitation any losses or interference with their respective businesses from fire, explosion, flood, earthquakes, accident or other calamity, whether or not covered by insurance, or from any strike, labor dispute or court or governmental action, order or decree, that are material, individually or in the aggregate, to the Company or its Subsidiary, or entered into any transactions not in the ordinary course of business; and (iii) there has not been any material decrease in the share capital or any material increase in any short-term or long-term indebtedness of the Company or its Subsidiary and there has been no dividend or distribution of any kind declared, paid or made by the Company or its Subsidiary or any repurchase or redemption by the Company or its Subsidiary of any class of share capital.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(i) </w:t>
      </w:r>
      <w:r>
        <w:rPr>
          <w:rFonts w:ascii="Times New Roman;Times;serif" w:hAnsi="Times New Roman;Times;serif"/>
          <w:b/>
          <w:i/>
          <w:color w:val="000000"/>
          <w:sz w:val="20"/>
        </w:rPr>
        <w:t>Independent Accountants</w:t>
      </w:r>
      <w:r>
        <w:rPr>
          <w:rFonts w:ascii="Times New Roman;Times;serif" w:hAnsi="Times New Roman;Times;serif"/>
          <w:b/>
          <w:color w:val="000000"/>
          <w:sz w:val="20"/>
        </w:rPr>
        <w:t>.</w:t>
      </w:r>
      <w:r>
        <w:rPr>
          <w:rFonts w:ascii="Times New Roman;Times;serif" w:hAnsi="Times New Roman;Times;serif"/>
          <w:color w:val="000000"/>
          <w:sz w:val="20"/>
        </w:rPr>
        <w:t xml:space="preserve"> Kesselman &amp; Kesselman, a member firm of PricewaterhouseCoopers International Limited (“</w:t>
      </w:r>
      <w:r>
        <w:rPr>
          <w:rFonts w:ascii="Times New Roman;Times;serif" w:hAnsi="Times New Roman;Times;serif"/>
          <w:b/>
          <w:color w:val="000000"/>
          <w:sz w:val="20"/>
        </w:rPr>
        <w:t>Kesselman &amp; Kesselman</w:t>
      </w:r>
      <w:r>
        <w:rPr>
          <w:rFonts w:ascii="Times New Roman;Times;serif" w:hAnsi="Times New Roman;Times;serif"/>
          <w:color w:val="000000"/>
          <w:sz w:val="20"/>
        </w:rPr>
        <w:t>”), which has expressed its opinion with respect to the financial statements (which term as used in this Agreement includes the related notes thereto) filed with the Commission as a part of the Registration Statement, the Time of Sale Prospectus and the Prospectus, is (i) an independent public or certified public accountant as required by the Securities Act and the Exchange Act, (ii) in compliance with the applicable requirements relating to the qualification of accountants under Rule 2-01 of Regulation S-X under the Securities Act and (iii) a registered public accounting firm as defined by the Public Company Accounting Oversight Board (the “</w:t>
      </w:r>
      <w:r>
        <w:rPr>
          <w:rFonts w:ascii="Times New Roman;Times;serif" w:hAnsi="Times New Roman;Times;serif"/>
          <w:b/>
          <w:color w:val="000000"/>
          <w:sz w:val="20"/>
        </w:rPr>
        <w:t>PCAOB</w:t>
      </w:r>
      <w:r>
        <w:rPr>
          <w:rFonts w:ascii="Times New Roman;Times;serif" w:hAnsi="Times New Roman;Times;serif"/>
          <w:color w:val="000000"/>
          <w:sz w:val="20"/>
        </w:rPr>
        <w:t>”) whose registration has not been suspended or revoked and who has not requested such registration to be withdrawn.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(j) </w:t>
      </w:r>
      <w:r>
        <w:rPr>
          <w:rFonts w:ascii="Times New Roman;Times;serif" w:hAnsi="Times New Roman;Times;serif"/>
          <w:b/>
          <w:i/>
          <w:color w:val="000000"/>
          <w:sz w:val="20"/>
        </w:rPr>
        <w:t>Financial Statements</w:t>
      </w:r>
      <w:r>
        <w:rPr>
          <w:rFonts w:ascii="Times New Roman;Times;serif" w:hAnsi="Times New Roman;Times;serif"/>
          <w:b/>
          <w:color w:val="000000"/>
          <w:sz w:val="20"/>
        </w:rPr>
        <w:t>.</w:t>
      </w:r>
      <w:r>
        <w:rPr>
          <w:rFonts w:ascii="Times New Roman;Times;serif" w:hAnsi="Times New Roman;Times;serif"/>
          <w:color w:val="000000"/>
          <w:sz w:val="20"/>
        </w:rPr>
        <w:t xml:space="preserve"> The financial statements filed with the Commission as a part of the Registration Statement, the Time of Sale Prospectus and the Prospectus present fairly, in all material respects, the consolidated financial position of the Company and its Subsidiary as of the dates indicated and the results of their operations, changes in shareholders’ equity and cash flows for the periods specified. Such financial statements have been prepared in conformity with generally accepted accounting principles as applied in the United States (“</w:t>
      </w:r>
      <w:r>
        <w:rPr>
          <w:rFonts w:ascii="Times New Roman;Times;serif" w:hAnsi="Times New Roman;Times;serif"/>
          <w:b/>
          <w:color w:val="000000"/>
          <w:sz w:val="20"/>
        </w:rPr>
        <w:t>GAAP</w:t>
      </w:r>
      <w:r>
        <w:rPr>
          <w:rFonts w:ascii="Times New Roman;Times;serif" w:hAnsi="Times New Roman;Times;serif"/>
          <w:color w:val="000000"/>
          <w:sz w:val="20"/>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 “Capitalization” fairly present, in all material respects, the information set forth therein on a basis consistent with that of the audited financial statements contained or incorporated by reference in the Registration Statement, the Time of Sale Prospectus and the Prospectus. All disclosures contained in the Registration Statement, any preliminary prospectus or the Prospectus and any free writing prospectus that constitute non</w:t>
        <w:noBreakHyphen/>
        <w:t>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(k) </w:t>
      </w:r>
      <w:r>
        <w:rPr>
          <w:rFonts w:ascii="Times New Roman;Times;serif" w:hAnsi="Times New Roman;Times;serif"/>
          <w:b/>
          <w:i/>
          <w:color w:val="000000"/>
          <w:sz w:val="20"/>
        </w:rPr>
        <w:t>Company’s Accounting System</w:t>
      </w:r>
      <w:r>
        <w:rPr>
          <w:rFonts w:ascii="Times New Roman;Times;serif" w:hAnsi="Times New Roman;Times;serif"/>
          <w:b/>
          <w:color w:val="000000"/>
          <w:sz w:val="20"/>
        </w:rPr>
        <w:t>.</w:t>
      </w:r>
      <w:r>
        <w:rPr>
          <w:rFonts w:ascii="Times New Roman;Times;serif" w:hAnsi="Times New Roman;Times;serif"/>
          <w:color w:val="000000"/>
          <w:sz w:val="20"/>
        </w:rPr>
        <w:t xml:space="preserve"> The Company makes and keeps accurate books and records and maintains a system of internal accounting controls designed and which the Company reasonably believes is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(l) </w:t>
      </w:r>
      <w:r>
        <w:rPr>
          <w:rFonts w:ascii="Times New Roman;Times;serif" w:hAnsi="Times New Roman;Times;serif"/>
          <w:b/>
          <w:i/>
          <w:color w:val="000000"/>
          <w:sz w:val="20"/>
        </w:rPr>
        <w:t>Disclosure Controls and Procedures; Deficiencies in or Changes to Internal Control Over Financial Reporting</w:t>
      </w:r>
      <w:r>
        <w:rPr>
          <w:rFonts w:ascii="Times New Roman;Times;serif" w:hAnsi="Times New Roman;Times;serif"/>
          <w:b/>
          <w:color w:val="000000"/>
          <w:sz w:val="20"/>
        </w:rPr>
        <w:t>.</w:t>
      </w:r>
      <w:r>
        <w:rPr>
          <w:rFonts w:ascii="Times New Roman;Times;serif" w:hAnsi="Times New Roman;Times;serif"/>
          <w:color w:val="000000"/>
          <w:sz w:val="20"/>
        </w:rPr>
        <w:t xml:space="preserve"> The Company has established and maintains disclosure controls and procedures (as defined in Exchange Act Rules 13a-15(e) and 15d-15(e)),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Based on the most recent evaluation of its disclosure controls and procedures, the Company is not aware of (A) any significant deficiencies or material weaknesses in the design or operation of internal control over financial reporting which are reasonably likely to adversely affect the Company’s ability to record, process, summarize and report financial information or (B) any fraud, whether or not material, that involves management or other employees who have a significant role in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(m) </w:t>
      </w:r>
      <w:r>
        <w:rPr>
          <w:rFonts w:ascii="Times New Roman;Times;serif" w:hAnsi="Times New Roman;Times;serif"/>
          <w:b/>
          <w:i/>
          <w:color w:val="000000"/>
          <w:sz w:val="20"/>
        </w:rPr>
        <w:t>Incorporation and Good Standing of the Company</w:t>
      </w:r>
      <w:r>
        <w:rPr>
          <w:rFonts w:ascii="Times New Roman;Times;serif" w:hAnsi="Times New Roman;Times;serif"/>
          <w:b/>
          <w:color w:val="000000"/>
          <w:sz w:val="20"/>
        </w:rPr>
        <w:t>.</w:t>
      </w:r>
      <w:r>
        <w:rPr>
          <w:rFonts w:ascii="Times New Roman;Times;serif" w:hAnsi="Times New Roman;Times;serif"/>
          <w:color w:val="000000"/>
          <w:sz w:val="20"/>
        </w:rPr>
        <w:t xml:space="preserve"> The Company has been duly organized and is validly existing as a company under the laws of the State of Israel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to transact business and is in good standing in each other jurisdiction in which such qualification is required, whether by reason of the ownership or leasing of property or the conduct of business, except for such failure to be so qualified or in good standing as could not be expected, individually or in the aggregate, to have a material adverse effect on the condition (financial or other), earnings, business, properties, operations, assets, liabilities or prospects of the Company and its Subsidiary taken as a whole (a “</w:t>
      </w:r>
      <w:r>
        <w:rPr>
          <w:rFonts w:ascii="Times New Roman;Times;serif" w:hAnsi="Times New Roman;Times;serif"/>
          <w:b/>
          <w:color w:val="000000"/>
          <w:sz w:val="20"/>
        </w:rPr>
        <w:t>Material Adverse Effect</w:t>
      </w:r>
      <w:r>
        <w:rPr>
          <w:rFonts w:ascii="Times New Roman;Times;serif" w:hAnsi="Times New Roman;Times;serif"/>
          <w:color w:val="000000"/>
          <w:sz w:val="20"/>
        </w:rPr>
        <w:t>”). The Company has not been designated as a “breaching company” (within the meaning of the Israeli Companies Law, 5759-1999) by the Registrar of Companies of the State of Israel. The certificate of incorporation, memorandum of association, articles of association and other organizational documents of the Company comply with the requirements of applicable Israeli law and are in full force and effect.</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(n) </w:t>
      </w:r>
      <w:r>
        <w:rPr>
          <w:rFonts w:ascii="Times New Roman;Times;serif" w:hAnsi="Times New Roman;Times;serif"/>
          <w:b/>
          <w:i/>
          <w:color w:val="000000"/>
          <w:sz w:val="20"/>
        </w:rPr>
        <w:t>Subsidiaries</w:t>
      </w:r>
      <w:r>
        <w:rPr>
          <w:rFonts w:ascii="Times New Roman;Times;serif" w:hAnsi="Times New Roman;Times;serif"/>
          <w:b/>
          <w:color w:val="000000"/>
          <w:sz w:val="20"/>
        </w:rPr>
        <w:t>.</w:t>
      </w:r>
      <w:r>
        <w:rPr>
          <w:rFonts w:ascii="Times New Roman;Times;serif" w:hAnsi="Times New Roman;Times;serif"/>
          <w:color w:val="000000"/>
          <w:sz w:val="20"/>
        </w:rPr>
        <w:t xml:space="preserve"> The Company does not have any significant subsidiaries (as defined in Rule 405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(o) </w:t>
      </w:r>
      <w:r>
        <w:rPr>
          <w:rFonts w:ascii="Times New Roman;Times;serif" w:hAnsi="Times New Roman;Times;serif"/>
          <w:b/>
          <w:i/>
          <w:color w:val="000000"/>
          <w:sz w:val="20"/>
        </w:rPr>
        <w:t>Capitalization and Other Share Capital Matters</w:t>
      </w:r>
      <w:r>
        <w:rPr>
          <w:rFonts w:ascii="Times New Roman;Times;serif" w:hAnsi="Times New Roman;Times;serif"/>
          <w:b/>
          <w:color w:val="000000"/>
          <w:sz w:val="20"/>
        </w:rPr>
        <w:t>.</w:t>
      </w:r>
      <w:r>
        <w:rPr>
          <w:rFonts w:ascii="Times New Roman;Times;serif" w:hAnsi="Times New Roman;Times;serif"/>
          <w:color w:val="000000"/>
          <w:sz w:val="20"/>
        </w:rPr>
        <w:t xml:space="preserve"> The authorized, issued and outstanding share capital of the Company is as set forth 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 capital of the Company, including the Ordinary Shares and the Offered Shares, conforms in all material respects to each description thereof contained in the Time of Sale Prospectus. All of the issued and outstanding Ordinary Shares have been duly authorized and validly issued, are fully paid and nonassessable and have been issued in compliance with all federal, state and local, including Israeli, securities laws. None of the outstanding Ordinary Shares was issued in violation of any preemptive rights, rights of first refusal or other similar rights to subscribe for or purchase securities of the Company. The form of certificates for the Ordinary Shares conforms to the corporate law of the jurisdiction of the Company’s organization and to any requirements of the Company’s organizational documents. There are no authorized or outstanding options, warrants, preemptive rights, rights of first refusal or other rights to purchase, or equity or debt securities convertible into or exchangeable or exercisable for, any share capital of the Company or its Subsidiary other than those described in the Registration Statement, the Time of Sale Prospectus and the Prospectus. The descriptions of the Company’s equity compensation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(p) </w:t>
      </w:r>
      <w:r>
        <w:rPr>
          <w:rFonts w:ascii="Times New Roman;Times;serif" w:hAnsi="Times New Roman;Times;serif"/>
          <w:b/>
          <w:i/>
          <w:color w:val="000000"/>
          <w:sz w:val="20"/>
        </w:rPr>
        <w:t>Stock Exchange Listing</w:t>
      </w:r>
      <w:r>
        <w:rPr>
          <w:rFonts w:ascii="Times New Roman;Times;serif" w:hAnsi="Times New Roman;Times;serif"/>
          <w:b/>
          <w:color w:val="000000"/>
          <w:sz w:val="20"/>
        </w:rPr>
        <w:t>.</w:t>
      </w:r>
      <w:r>
        <w:rPr>
          <w:rFonts w:ascii="Times New Roman;Times;serif" w:hAnsi="Times New Roman;Times;serif"/>
          <w:color w:val="000000"/>
          <w:sz w:val="20"/>
        </w:rPr>
        <w:t xml:space="preserve"> The Ordinary Shares are registered pursuant to Section 12(b) of the Exchange Act and are listed on the Nasdaq Capital Market (the “</w:t>
      </w:r>
      <w:r>
        <w:rPr>
          <w:rFonts w:ascii="Times New Roman;Times;serif" w:hAnsi="Times New Roman;Times;serif"/>
          <w:b/>
          <w:color w:val="000000"/>
          <w:sz w:val="20"/>
        </w:rPr>
        <w:t>Nasdaq</w:t>
      </w:r>
      <w:r>
        <w:rPr>
          <w:rFonts w:ascii="Times New Roman;Times;serif" w:hAnsi="Times New Roman;Times;serif"/>
          <w:color w:val="000000"/>
          <w:sz w:val="20"/>
        </w:rPr>
        <w:t>”), and the Company has taken no action designed to, or likely to have the effect of, terminating the registration of the Ordinary Shares under the Exchange Act or delisting the Ordinary Shares from the Nasdaq, nor has the Company received any notification that the Commission or the Nasdaq is contemplating terminating such registration or listing.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(q) </w:t>
      </w:r>
      <w:r>
        <w:rPr>
          <w:rFonts w:ascii="Times New Roman;Times;serif" w:hAnsi="Times New Roman;Times;serif"/>
          <w:b/>
          <w:i/>
          <w:color w:val="000000"/>
          <w:sz w:val="20"/>
        </w:rPr>
        <w:t>Non-Contravention of Existing Instruments; No Further Authorizations or Approvals Required</w:t>
      </w:r>
      <w:r>
        <w:rPr>
          <w:rFonts w:ascii="Times New Roman;Times;serif" w:hAnsi="Times New Roman;Times;serif"/>
          <w:b/>
          <w:color w:val="000000"/>
          <w:sz w:val="20"/>
        </w:rPr>
        <w:t>.</w:t>
      </w:r>
      <w:r>
        <w:rPr>
          <w:rFonts w:ascii="Times New Roman;Times;serif" w:hAnsi="Times New Roman;Times;serif"/>
          <w:color w:val="000000"/>
          <w:sz w:val="20"/>
        </w:rPr>
        <w:t xml:space="preserve"> Neither the Company nor its Subsidiary is in violation of its memorandum of association, articles of association, charter or by-laws, partnership agreement or operating agreement or similar organizational document, as applicable, or is in default (or, with the giving of notice or lapse of time, would be in default) (“</w:t>
      </w:r>
      <w:r>
        <w:rPr>
          <w:rFonts w:ascii="Times New Roman;Times;serif" w:hAnsi="Times New Roman;Times;serif"/>
          <w:b/>
          <w:color w:val="000000"/>
          <w:sz w:val="20"/>
        </w:rPr>
        <w:t>Default</w:t>
      </w:r>
      <w:r>
        <w:rPr>
          <w:rFonts w:ascii="Times New Roman;Times;serif" w:hAnsi="Times New Roman;Times;serif"/>
          <w:color w:val="000000"/>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its Subsidiary is a party or by which it may be bound, or to which any of the property or assets of the Company or its Subsidiary is subject, including any instrument of approval granted to the Company or its Subsidiary by the Israel Innovation Authority of the Israeli Ministry of Economy and Industry (the “</w:t>
      </w:r>
      <w:r>
        <w:rPr>
          <w:rFonts w:ascii="Times New Roman;Times;serif" w:hAnsi="Times New Roman;Times;serif"/>
          <w:b/>
          <w:color w:val="000000"/>
          <w:sz w:val="20"/>
        </w:rPr>
        <w:t>IIA</w:t>
      </w:r>
      <w:r>
        <w:rPr>
          <w:rFonts w:ascii="Times New Roman;Times;serif" w:hAnsi="Times New Roman;Times;serif"/>
          <w:color w:val="000000"/>
          <w:sz w:val="20"/>
        </w:rPr>
        <w:t>”) (each, an “</w:t>
      </w:r>
      <w:r>
        <w:rPr>
          <w:rFonts w:ascii="Times New Roman;Times;serif" w:hAnsi="Times New Roman;Times;serif"/>
          <w:b/>
          <w:color w:val="000000"/>
          <w:sz w:val="20"/>
        </w:rPr>
        <w:t>Existing Instrument</w:t>
      </w:r>
      <w:r>
        <w:rPr>
          <w:rFonts w:ascii="Times New Roman;Times;serif" w:hAnsi="Times New Roman;Times;serif"/>
          <w:color w:val="000000"/>
          <w:sz w:val="20"/>
        </w:rPr>
        <w:t>”), except for such Defaults as could not be expected, individually or in the aggregate, to have a Material Adverse Effect.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memorandum of association, articles of association, charter or by-laws, partnership agreement or operating agreement or similar organizational document of the Company or its Subsidiary, as applicable; (ii) will not conflict with or constitute a breach of, or Default or a Debt Repayment Triggering Event (as defined below) under, or result in the creation or imposition of any lien, charge or encumbrance upon any property or assets of the Company or its Subsidiary pursuant to, or require the consent of any other party to, any Existing Instrument, except as could not reasonably be expected to have, individually or in the aggregate, a Material Adverse Effect; and (iii) will not result in any violation of any law, administrative regulation or administrative or court decree applicable to the Company or its Subsidiary, except as could not reasonably be expected to have, individually or in the aggregate, a Material Adverse Effect. No consent, approval, authorization or other order of, or registration or filing with, any court or other governmental or regulatory authority or agency, is required for, or in connection with,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Times;serif" w:hAnsi="Times New Roman;Times;serif"/>
          <w:b/>
          <w:color w:val="000000"/>
          <w:sz w:val="20"/>
        </w:rPr>
        <w:t>FINRA</w:t>
      </w:r>
      <w:r>
        <w:rPr>
          <w:rFonts w:ascii="Times New Roman;Times;serif" w:hAnsi="Times New Roman;Times;serif"/>
          <w:color w:val="000000"/>
          <w:sz w:val="20"/>
        </w:rPr>
        <w:t>”) and (B) following the Closing Date, the obligation to file certain information with the Authority for Investment and Development of Industry and the Economy of the State of Israel (formerly known as the Investment Center) of the Israeli Ministry of Economy and Industry (the “</w:t>
      </w:r>
      <w:r>
        <w:rPr>
          <w:rFonts w:ascii="Times New Roman;Times;serif" w:hAnsi="Times New Roman;Times;serif"/>
          <w:b/>
          <w:color w:val="000000"/>
          <w:sz w:val="20"/>
        </w:rPr>
        <w:t>Investment Center</w:t>
      </w:r>
      <w:r>
        <w:rPr>
          <w:rFonts w:ascii="Times New Roman;Times;serif" w:hAnsi="Times New Roman;Times;serif"/>
          <w:color w:val="000000"/>
          <w:sz w:val="20"/>
        </w:rPr>
        <w:t>”) and the IIA. Subject to the Underwriters’ compliance with their obligations under Section 5(b) hereof, the Company is not required to publish a prospectus in the State of Israel under the laws of the State of Israel with respect to the offer or sale of the Offered Shares. As used herein, a “</w:t>
      </w:r>
      <w:r>
        <w:rPr>
          <w:rFonts w:ascii="Times New Roman;Times;serif" w:hAnsi="Times New Roman;Times;serif"/>
          <w:b/>
          <w:color w:val="000000"/>
          <w:sz w:val="20"/>
        </w:rPr>
        <w:t>Debt Repayment Triggering Event</w:t>
      </w:r>
      <w:r>
        <w:rPr>
          <w:rFonts w:ascii="Times New Roman;Times;serif" w:hAnsi="Times New Roman;Times;serif"/>
          <w:color w:val="000000"/>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its Subsidiary.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(r) </w:t>
      </w:r>
      <w:r>
        <w:rPr>
          <w:rFonts w:ascii="Times New Roman;Times;serif" w:hAnsi="Times New Roman;Times;serif"/>
          <w:b/>
          <w:i/>
          <w:color w:val="000000"/>
          <w:sz w:val="20"/>
        </w:rPr>
        <w:t>Compliance with Laws.</w:t>
      </w:r>
      <w:r>
        <w:rPr>
          <w:rFonts w:ascii="Times New Roman;Times;serif" w:hAnsi="Times New Roman;Times;serif"/>
          <w:color w:val="000000"/>
          <w:sz w:val="20"/>
        </w:rPr>
        <w:t xml:space="preserve"> The Company and its Subsidiary have been and are in compliance with all applicable laws, rules and regulations, except where failure to be so in compliance would not reasonably be expected, individually or in the aggregate,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(s) </w:t>
      </w:r>
      <w:r>
        <w:rPr>
          <w:rFonts w:ascii="Times New Roman;Times;serif" w:hAnsi="Times New Roman;Times;serif"/>
          <w:b/>
          <w:i/>
          <w:color w:val="000000"/>
          <w:sz w:val="20"/>
        </w:rPr>
        <w:t>No Material Actions or Proceedings</w:t>
      </w:r>
      <w:r>
        <w:rPr>
          <w:rFonts w:ascii="Times New Roman;Times;serif" w:hAnsi="Times New Roman;Times;serif"/>
          <w:b/>
          <w:color w:val="000000"/>
          <w:sz w:val="20"/>
        </w:rPr>
        <w:t>.</w:t>
      </w:r>
      <w:r>
        <w:rPr>
          <w:rFonts w:ascii="Times New Roman;Times;serif" w:hAnsi="Times New Roman;Times;serif"/>
          <w:color w:val="000000"/>
          <w:sz w:val="20"/>
        </w:rPr>
        <w:t xml:space="preserve"> There is no action, suit, proceeding, inquiry or investigation brought by or before any governmental entity now pending or, to the knowledge of the Company, threatened, against or affecting the Company or its Subsidiary, which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its Subsidiary is a party or of which any of their respective properties or assets is the subject, including ordinary routine litigation incidental to its business, if determined adversely to the Company or its Subsidiary, would not reasonably be expected to have a Material Adverse Effect. No material labor dispute with the employees of the Company or its Subsidiary, or with the employees of any principal supplier, manufacturer, customer or contractor of the Company, exists or, to the knowledge of the Company, is threatened or imminent.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(t) </w:t>
      </w:r>
      <w:r>
        <w:rPr>
          <w:rFonts w:ascii="Times New Roman;Times;serif" w:hAnsi="Times New Roman;Times;serif"/>
          <w:b/>
          <w:i/>
          <w:color w:val="000000"/>
          <w:sz w:val="20"/>
        </w:rPr>
        <w:t>Intellectual Property Rights</w:t>
      </w:r>
      <w:r>
        <w:rPr>
          <w:rFonts w:ascii="Times New Roman;Times;serif" w:hAnsi="Times New Roman;Times;serif"/>
          <w:b/>
          <w:color w:val="000000"/>
          <w:sz w:val="20"/>
        </w:rPr>
        <w:t>.</w:t>
      </w:r>
      <w:r>
        <w:rPr>
          <w:rFonts w:ascii="Times New Roman;Times;serif" w:hAnsi="Times New Roman;Times;serif"/>
          <w:color w:val="000000"/>
          <w:sz w:val="20"/>
        </w:rPr>
        <w:t xml:space="preserve"> The Company and its Subsidiary own or possess sufficient legal rights to all inventions, patent 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businesses as currently conducted or as currently proposed to be conducted covering or directed to the products and product candidates as disclosed in the Registration Statement, the Time of Sale Prospectus or the Prospectus (collectively, “</w:t>
      </w:r>
      <w:r>
        <w:rPr>
          <w:rFonts w:ascii="Times New Roman;Times;serif" w:hAnsi="Times New Roman;Times;serif"/>
          <w:b/>
          <w:color w:val="000000"/>
          <w:sz w:val="20"/>
        </w:rPr>
        <w:t>Intellectual Property</w:t>
      </w:r>
      <w:r>
        <w:rPr>
          <w:rFonts w:ascii="Times New Roman;Times;serif" w:hAnsi="Times New Roman;Times;serif"/>
          <w:color w:val="000000"/>
          <w:sz w:val="20"/>
        </w:rPr>
        <w:t>”). To the Company’s knowledge: (i) there are no third parties who have rights to any Intellectual Property; and (ii) there is no infringement by third parties of any granted patents of the Intellectual Property. There is no pending or, to the Company’s knowledge, threatened action, suit, proceeding or claim by others: (A) challenging the Company’s or its Subsidiary’s rights in or to any Intellectual Property, and the Company is unaware of any facts which would form a reasonable basis for any such action, suit, proceeding or claim and which would be expected to have, individually or in the aggregate, a Material Adverse Effect; (B) challenging the validity or enforceability of any Intellectual Property, and the Company is unaware of any facts which would form a reasonable basis for any such action, suit, proceeding or claim and which would be expected to have, individually or in the aggregate, a Material Adverse Effect; or (C) asserting that the Company or its Subsidiary infringes a third-party patent upon commercialization of any product or service described in the Registration Statement, the Time of Sale Prospectus or the Prospectus as under development, or violates any trademark, trade name, service name, copyright, trade secret or other proprietary rights of others, and the Company is unaware of any facts which would form a reasonable basis for any such action, suit, proceeding or claim and which would be expected to have, individually or in the aggregate, a Material Adverse Effect. The Company and its Subsidiary have complied with the terms of each agreement pursuant to which Intellectual Property has been licensed to the Company or its Subsidiary, as applicable, and all such agreements are in full force and effect, except as would not reasonably be expected to have, individually or in the aggregate, a Material Adverse Effect. The product candidates described in the Registration Statement, the Time of Sale Prospectus and the Prospectus as under development by the Company fall within the scope of the claims of one or more patents owned by, or exclusively licensed to,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(u) </w:t>
      </w:r>
      <w:r>
        <w:rPr>
          <w:rFonts w:ascii="Times New Roman;Times;serif" w:hAnsi="Times New Roman;Times;serif"/>
          <w:b/>
          <w:i/>
          <w:color w:val="000000"/>
          <w:sz w:val="20"/>
        </w:rPr>
        <w:t>All Necessary Permits, etc</w:t>
      </w:r>
      <w:r>
        <w:rPr>
          <w:rFonts w:ascii="Times New Roman;Times;serif" w:hAnsi="Times New Roman;Times;serif"/>
          <w:b/>
          <w:color w:val="000000"/>
          <w:sz w:val="20"/>
        </w:rPr>
        <w:t>.</w:t>
      </w:r>
      <w:r>
        <w:rPr>
          <w:rFonts w:ascii="Times New Roman;Times;serif" w:hAnsi="Times New Roman;Times;serif"/>
          <w:color w:val="000000"/>
          <w:sz w:val="20"/>
        </w:rPr>
        <w:t xml:space="preserve"> Each of the Company and its Subsidiary possesses such valid and current certificates, authorizations or permits required by state, federal or foreign, including Israeli, regulatory agencies or bodies to conduct their businesses as currently conducted and as described in the Registration Statement, the Time of Sale Prospectus or the Prospectus (“</w:t>
      </w:r>
      <w:r>
        <w:rPr>
          <w:rFonts w:ascii="Times New Roman;Times;serif" w:hAnsi="Times New Roman;Times;serif"/>
          <w:b/>
          <w:color w:val="000000"/>
          <w:sz w:val="20"/>
        </w:rPr>
        <w:t>Permits</w:t>
      </w:r>
      <w:r>
        <w:rPr>
          <w:rFonts w:ascii="Times New Roman;Times;serif" w:hAnsi="Times New Roman;Times;serif"/>
          <w:color w:val="000000"/>
          <w:sz w:val="20"/>
        </w:rPr>
        <w:t>”), except where failure to possess such Permits would not reasonably be expected, individually or in the aggregate, to result in a Material Adverse Effect. Neither the Company nor its Subsidiary is in violation of, or in default under, any of the Permits and has not received any notice of proceedings relating to the revocation or modification of, or non-compliance with, any Permits which, individually or in the aggregate, would reasonably be expected to result in a Material Adverse Effect. Neither the Company nor its Subsidiary has received any written notice denying, revoking or modifying any grants or benefits from the IIA or the Investment Center (including, in all such cases, notice of proceedings or investigations related thereto). All information supplied by the Company or its Subsidiary with respect to the applications or notifications relating to grants and benefits from the IIA and/or the Investment Center was true, correct and complete in all material respects when supplied to the appropriate authorities. Neither the Company nor its Subsidiary has received any written notice denying, revoking, or adversely modifying any “approved enterprise,” “benefited enterprise,” “preferred enterprise,” “special preferred enterprise,” “preferred technological enterprise,” “special preferred technological enterprise,” or “industrial company” status with respect to any of them or their facilities or operations or any tax benefits claimed or received by the Company or its Subsidiary (including, in all such cases, notice of proceedings or investigations related thereto). All information supplied by the Company or its Subsidiary with respect to the applications or notifications relating to any such status, funding, grants, benefits (including tax benefits), incentives, or subsidies was true, correct, and complete in all material respects when supplied to the appropriate authorities.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(v) </w:t>
      </w:r>
      <w:r>
        <w:rPr>
          <w:rFonts w:ascii="Times New Roman;Times;serif" w:hAnsi="Times New Roman;Times;serif"/>
          <w:b/>
          <w:i/>
          <w:color w:val="000000"/>
          <w:sz w:val="20"/>
        </w:rPr>
        <w:t>Title to Properties</w:t>
      </w:r>
      <w:r>
        <w:rPr>
          <w:rFonts w:ascii="Times New Roman;Times;serif" w:hAnsi="Times New Roman;Times;serif"/>
          <w:b/>
          <w:color w:val="000000"/>
          <w:sz w:val="20"/>
        </w:rPr>
        <w:t>.</w:t>
      </w:r>
      <w:r>
        <w:rPr>
          <w:rFonts w:ascii="Times New Roman;Times;serif" w:hAnsi="Times New Roman;Times;serif"/>
          <w:color w:val="000000"/>
          <w:sz w:val="20"/>
        </w:rPr>
        <w:t xml:space="preserve"> Each of the Company and its Subsidiary has good and marketable title to all of the real and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or its Subsidiary are held under valid and enforceable leases, with such exceptions as are not material and do not materially interfere with the use made or proposed to be made of such real property, improvements, equipment or personal property by the Company or its Subsidiary.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(w) </w:t>
      </w:r>
      <w:r>
        <w:rPr>
          <w:rFonts w:ascii="Times New Roman;Times;serif" w:hAnsi="Times New Roman;Times;serif"/>
          <w:b/>
          <w:i/>
          <w:color w:val="000000"/>
          <w:sz w:val="20"/>
        </w:rPr>
        <w:t>Tax Law Compliance</w:t>
      </w:r>
      <w:r>
        <w:rPr>
          <w:rFonts w:ascii="Times New Roman;Times;serif" w:hAnsi="Times New Roman;Times;serif"/>
          <w:b/>
          <w:color w:val="000000"/>
          <w:sz w:val="20"/>
        </w:rPr>
        <w:t>.</w:t>
      </w:r>
      <w:r>
        <w:rPr>
          <w:rFonts w:ascii="Times New Roman;Times;serif" w:hAnsi="Times New Roman;Times;serif"/>
          <w:color w:val="000000"/>
          <w:sz w:val="20"/>
        </w:rPr>
        <w:t xml:space="preserve"> The Company and its Subsidiary are not, and have not been, required to file any United States (federal, state and local) or non-Israeli income and franchise tax returns. The Company has filed all material Israeli income tax returns or has properly requested extensions thereof and has paid all taxes required to be paid by it and, if due and payable, any related or similar assessment, fine or penalty levied against it except, in each case, to the extent the requirement to file such tax returns or pay such taxes is being contested in good faith and by appropriate proceedings or the failure to do so could not be expected, individually or in the aggregate, to have a Material Adverse Effect. The Company has made adequate charges, accruals and reserves in the applicable financial statements referred to in Section 1(j) above in respect of all Israeli income taxes for all periods as to which the tax liability of the Company has not been finally determined except to the extent the failure to do so could not be expected, individually or in the aggregate, to have a Material Adverse Effect. No transaction, stamp or other issuance or transfer taxes or duties, and assuming that (A) the Underwriters are not otherwise subject to taxation in the State of Israel due to Israeli tax residence or the existence of a permanent establishment in the State of Israel  or any presence or due to any former connection between the Underwriters and Israel, and (B) the Underwriters’ services under this Agreement will be performed entirely outside of Israel, then no capital gains, income, withholding or other taxes are payable by or on behalf of the Underwriters to the State of Israel or to any political subdivision or authority thereof or therein in connection with (i) the issuance, sale and delivery of the Offered Shares by the Company; (ii) the purchase from the Company, and the initial sale and delivery by the Underwriters of the Offered Shares to purchasers thereof; (iii) the holding or transfer of the Offered Shares; or (iv) the execution and delivery of this Agreement or any other document to be furnished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(x) </w:t>
      </w:r>
      <w:r>
        <w:rPr>
          <w:rFonts w:ascii="Times New Roman;Times;serif" w:hAnsi="Times New Roman;Times;serif"/>
          <w:b/>
          <w:i/>
          <w:color w:val="000000"/>
          <w:sz w:val="20"/>
        </w:rPr>
        <w:t>Insurance</w:t>
      </w:r>
      <w:r>
        <w:rPr>
          <w:rFonts w:ascii="Times New Roman;Times;serif" w:hAnsi="Times New Roman;Times;serif"/>
          <w:b/>
          <w:color w:val="000000"/>
          <w:sz w:val="20"/>
        </w:rPr>
        <w:t>.</w:t>
      </w:r>
      <w:r>
        <w:rPr>
          <w:rFonts w:ascii="Times New Roman;Times;serif" w:hAnsi="Times New Roman;Times;serif"/>
          <w:color w:val="000000"/>
          <w:sz w:val="20"/>
        </w:rPr>
        <w:t xml:space="preserve"> Except as otherwise disclosed in the Registration Statement, the Time of Sale Prospectus and the Prospectus, the Company is insured by recognized, financially sound and reputable institutions with policies in such amounts and with such deductibles and covering such risks as are generally deemed adequate and customary for its businesses including, but not limited to, policies covering real and personal property owned or leased by the Company against theft, damage, destruction, acts of vandalism and earthquakes and policies covering the Company for product liability claims and clinical trial liability claims.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The Company has not been denied any insurance coverage which it has sought or for which it has applied.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(y) </w:t>
      </w:r>
      <w:r>
        <w:rPr>
          <w:rFonts w:ascii="Times New Roman;Times;serif" w:hAnsi="Times New Roman;Times;serif"/>
          <w:b/>
          <w:i/>
          <w:color w:val="000000"/>
          <w:sz w:val="20"/>
        </w:rPr>
        <w:t>Compliance with Environmental Laws</w:t>
      </w:r>
      <w:r>
        <w:rPr>
          <w:rFonts w:ascii="Times New Roman;Times;serif" w:hAnsi="Times New Roman;Times;serif"/>
          <w:b/>
          <w:color w:val="000000"/>
          <w:sz w:val="20"/>
        </w:rPr>
        <w:t xml:space="preserve">. </w:t>
      </w:r>
      <w:r>
        <w:rPr>
          <w:rFonts w:ascii="Times New Roman;Times;serif" w:hAnsi="Times New Roman;Times;serif"/>
          <w:color w:val="000000"/>
          <w:sz w:val="20"/>
        </w:rPr>
        <w:t>Except as would not reasonably be expected, individually or in the aggregate, to have a Material Adverse Effect: (i) neither the Company nor its Subsidiary is in violation of any applicable Israeli or United States (federal, state or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color w:val="000000"/>
          <w:sz w:val="20"/>
        </w:rPr>
        <w:t>Hazardous Materials</w:t>
      </w:r>
      <w:r>
        <w:rPr>
          <w:rFonts w:ascii="Times New Roman;Times;serif" w:hAnsi="Times New Roman;Times;serif"/>
          <w:color w:val="000000"/>
          <w:sz w:val="20"/>
        </w:rPr>
        <w:t>”) or to the manufacture, processing, distribution, use, treatment, storage, disposal, transport or handling of Hazardous Materials (collectively, “</w:t>
      </w:r>
      <w:r>
        <w:rPr>
          <w:rFonts w:ascii="Times New Roman;Times;serif" w:hAnsi="Times New Roman;Times;serif"/>
          <w:b/>
          <w:color w:val="000000"/>
          <w:sz w:val="20"/>
        </w:rPr>
        <w:t>Environmental Laws</w:t>
      </w:r>
      <w:r>
        <w:rPr>
          <w:rFonts w:ascii="Times New Roman;Times;serif" w:hAnsi="Times New Roman;Times;serif"/>
          <w:color w:val="000000"/>
          <w:sz w:val="20"/>
        </w:rPr>
        <w:t>”); (ii) the Company and its Subsidiary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violations, investigations or proceedings relating to any Environmental Law against the Company or its Subsidiary; and (iv) there are no events or circumstances that might reasonably be expected to form the basis of an order for clean-up or remediation, or an action, suit or proceeding by any private party or governmental body or agency, against or affecting the Company or its Subsidiary relating to Hazardous Materials or any Environmental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(z) </w:t>
      </w:r>
      <w:r>
        <w:rPr>
          <w:rFonts w:ascii="Times New Roman;Times;serif" w:hAnsi="Times New Roman;Times;serif"/>
          <w:b/>
          <w:i/>
          <w:color w:val="000000"/>
          <w:sz w:val="20"/>
        </w:rPr>
        <w:t>Periodic Review of Costs of Environmental Compliance</w:t>
      </w:r>
      <w:r>
        <w:rPr>
          <w:rFonts w:ascii="Times New Roman;Times;serif" w:hAnsi="Times New Roman;Times;serif"/>
          <w:b/>
          <w:color w:val="000000"/>
          <w:sz w:val="20"/>
        </w:rPr>
        <w:t>.</w:t>
      </w:r>
      <w:r>
        <w:rPr>
          <w:rFonts w:ascii="Times New Roman;Times;serif" w:hAnsi="Times New Roman;Times;serif"/>
          <w:color w:val="000000"/>
          <w:sz w:val="20"/>
        </w:rPr>
        <w:t xml:space="preserve"> In the ordinary course of its business, the Company conducts a periodic review of the effect of Environmental Laws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(aa) </w:t>
      </w:r>
      <w:r>
        <w:rPr>
          <w:rFonts w:ascii="Times New Roman;Times;serif" w:hAnsi="Times New Roman;Times;serif"/>
          <w:b/>
          <w:i/>
          <w:color w:val="000000"/>
          <w:sz w:val="20"/>
        </w:rPr>
        <w:t xml:space="preserve">Benefit Plan Compliance. </w:t>
      </w:r>
      <w:r>
        <w:rPr>
          <w:rFonts w:ascii="Times New Roman;Times;serif" w:hAnsi="Times New Roman;Times;serif"/>
          <w:color w:val="000000"/>
          <w:sz w:val="20"/>
        </w:rPr>
        <w:t>Each benefit, pension and compensation plan, agreement policy and arrangement that is maintained, administered or contributed to by the Company or its Subsidiary for current or former employees or directors of the Company or its Subsidiary, or with respect to which any of such entities could reasonably be expected to have any current, future or contingent liability or responsibility, has been maintained in compliance with its terms and the requirements of any applicable statutes, orders, rules and regulations, except as would not individually or in the aggregate be expected to have a Material Adverse Effect and except with respect to matters over which neither the Company nor its Subsidiary has control; the Company and its Subsidiary have complied with all applicable statutes, orders, rules and regulations in regard to such plans, agreements, policies and arrangements, except as would not individually or in the aggregate be expected to have a Material Adverse Effect; and the fair market value of the assets of each such plan, agreement, policy and arrangement which is required or intended to be funded (excluding for these purposes accrued but unpaid contributions) exceeds the present value of all benefits accrued or earned or payments due under such plan, agreement, policy or arrangement determined using reasonable actuarial assumptions, except as would not be expected to have, individually or in the aggregate, a Material Adverse Effect. The liabilities reflected on the relevant entity’s financial statements with respect to each such plan, agreement, policy and arrangement which is not required or intended to be funded accurately reflects the present value of all benefits earned or accrued or payments due under such plan, agreement, policy or arrangement determined using reasonable actuarial assumptions.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(bb) </w:t>
      </w:r>
      <w:r>
        <w:rPr>
          <w:rFonts w:ascii="Times New Roman;Times;serif" w:hAnsi="Times New Roman;Times;serif"/>
          <w:b/>
          <w:i/>
          <w:color w:val="000000"/>
          <w:sz w:val="20"/>
        </w:rPr>
        <w:t>Compliance with the Sarbanes-Oxley Act.</w:t>
      </w:r>
      <w:r>
        <w:rPr>
          <w:rFonts w:ascii="Times New Roman;Times;serif" w:hAnsi="Times New Roman;Times;serif"/>
          <w:color w:val="000000"/>
          <w:sz w:val="20"/>
        </w:rPr>
        <w:t xml:space="preserve"> The Company is in compliance in all material respects with all provisions of the Sarbanes-Oxley Act of 2002 and all rules and regulations promulgated thereunder or implementing the provisions thereof (collectively, the “</w:t>
      </w:r>
      <w:r>
        <w:rPr>
          <w:rFonts w:ascii="Times New Roman;Times;serif" w:hAnsi="Times New Roman;Times;serif"/>
          <w:b/>
          <w:color w:val="000000"/>
          <w:sz w:val="20"/>
        </w:rPr>
        <w:t>Sarbanes-Oxley Act</w:t>
      </w:r>
      <w:r>
        <w:rPr>
          <w:rFonts w:ascii="Times New Roman;Times;serif" w:hAnsi="Times New Roman;Times;serif"/>
          <w:color w:val="000000"/>
          <w:sz w:val="20"/>
        </w:rPr>
        <w:t>”) that are in effect and with which the Company is required to comply.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(cc) </w:t>
      </w:r>
      <w:r>
        <w:rPr>
          <w:rFonts w:ascii="Times New Roman;Times;serif" w:hAnsi="Times New Roman;Times;serif"/>
          <w:b/>
          <w:i/>
          <w:color w:val="000000"/>
          <w:sz w:val="20"/>
        </w:rPr>
        <w:t>Company Not an “Investment Company.”</w:t>
      </w:r>
      <w:r>
        <w:rPr>
          <w:rFonts w:ascii="Times New Roman;Times;serif" w:hAnsi="Times New Roman;Times;serif"/>
          <w:color w:val="000000"/>
          <w:sz w:val="20"/>
        </w:rPr>
        <w:t xml:space="preserve"> The Company is not, and will not be, either after receipt of payment for the Offered 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Times;serif" w:hAnsi="Times New Roman;Times;serif"/>
          <w:b/>
          <w:color w:val="000000"/>
          <w:sz w:val="20"/>
        </w:rPr>
        <w:t>Investment Company Act”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(dd) </w:t>
      </w:r>
      <w:r>
        <w:rPr>
          <w:rFonts w:ascii="Times New Roman;Times;serif" w:hAnsi="Times New Roman;Times;serif"/>
          <w:b/>
          <w:i/>
          <w:color w:val="000000"/>
          <w:sz w:val="20"/>
        </w:rPr>
        <w:t>No Price Stabilization or Manipulation; Compliance with Regulation M</w:t>
      </w:r>
      <w:r>
        <w:rPr>
          <w:rFonts w:ascii="Times New Roman;Times;serif" w:hAnsi="Times New Roman;Times;serif"/>
          <w:b/>
          <w:color w:val="000000"/>
          <w:sz w:val="20"/>
        </w:rPr>
        <w:t>.</w:t>
      </w:r>
      <w:r>
        <w:rPr>
          <w:rFonts w:ascii="Times New Roman;Times;serif" w:hAnsi="Times New Roman;Times;serif"/>
          <w:color w:val="000000"/>
          <w:sz w:val="20"/>
        </w:rPr>
        <w:t xml:space="preserve"> The Company has not taken, directly or indirectly, any action designed to or that would reasonably be expected to cause or result in stabilization or manipulation of the price of the Offered Shares or any other “reference security” (as defined in Rule 100 of Regulation M under the Exchange Act (“</w:t>
      </w:r>
      <w:r>
        <w:rPr>
          <w:rFonts w:ascii="Times New Roman;Times;serif" w:hAnsi="Times New Roman;Times;serif"/>
          <w:b/>
          <w:color w:val="000000"/>
          <w:sz w:val="20"/>
        </w:rPr>
        <w:t>Regulation M”</w:t>
      </w:r>
      <w:r>
        <w:rPr>
          <w:rFonts w:ascii="Times New Roman;Times;serif" w:hAnsi="Times New Roman;Times;serif"/>
          <w:color w:val="000000"/>
          <w:sz w:val="20"/>
        </w:rPr>
        <w:t>)) with respect to the Offered Shares, whether to facilitate the sale or resale of the Offered Shares or otherwise, and has taken no action which would directly or indirectly violate Regulation M. In addition, the Company has not engaged in any form of solicitation, advertising or other action constituting an offer or a sale under the Israeli Securities Law, 5728-1968, as amended (the “</w:t>
      </w:r>
      <w:r>
        <w:rPr>
          <w:rFonts w:ascii="Times New Roman;Times;serif" w:hAnsi="Times New Roman;Times;serif"/>
          <w:b/>
          <w:color w:val="000000"/>
          <w:sz w:val="20"/>
        </w:rPr>
        <w:t>Israeli Securities Law</w:t>
      </w:r>
      <w:r>
        <w:rPr>
          <w:rFonts w:ascii="Times New Roman;Times;serif" w:hAnsi="Times New Roman;Times;serif"/>
          <w:color w:val="000000"/>
          <w:sz w:val="20"/>
        </w:rPr>
        <w:t>”) and the regulations promulgated thereunder in connection with the transactions contemplated hereby which would require the Company to publish a prospectus in the State of Israel under the laws of the State of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(ee) </w:t>
      </w:r>
      <w:r>
        <w:rPr>
          <w:rFonts w:ascii="Times New Roman;Times;serif" w:hAnsi="Times New Roman;Times;serif"/>
          <w:b/>
          <w:i/>
          <w:color w:val="000000"/>
          <w:sz w:val="20"/>
        </w:rPr>
        <w:t>Related-Party Transactions</w:t>
      </w:r>
      <w:r>
        <w:rPr>
          <w:rFonts w:ascii="Times New Roman;Times;serif" w:hAnsi="Times New Roman;Times;serif"/>
          <w:b/>
          <w:color w:val="000000"/>
          <w:sz w:val="20"/>
        </w:rPr>
        <w:t>.</w:t>
      </w:r>
      <w:r>
        <w:rPr>
          <w:rFonts w:ascii="Times New Roman;Times;serif" w:hAnsi="Times New Roman;Times;serif"/>
          <w:color w:val="000000"/>
          <w:sz w:val="20"/>
        </w:rPr>
        <w:t xml:space="preserve"> There are no business relationships or related-party transactions involving the Company or its Subsidiary or any other person required to be described in the Registration Statement, the Time of Sale Prospectus or the Prospectus that have not been described as required.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(ff) </w:t>
      </w:r>
      <w:r>
        <w:rPr>
          <w:rFonts w:ascii="Times New Roman;Times;serif" w:hAnsi="Times New Roman;Times;serif"/>
          <w:b/>
          <w:i/>
          <w:color w:val="000000"/>
          <w:sz w:val="20"/>
        </w:rPr>
        <w:t>FINRA Matters</w:t>
      </w:r>
      <w:r>
        <w:rPr>
          <w:rFonts w:ascii="Times New Roman;Times;serif" w:hAnsi="Times New Roman;Times;serif"/>
          <w:b/>
          <w:color w:val="000000"/>
          <w:sz w:val="20"/>
        </w:rPr>
        <w:t>.</w:t>
      </w:r>
      <w:r>
        <w:rPr>
          <w:rFonts w:ascii="Times New Roman;Times;serif" w:hAnsi="Times New Roman;Times;serif"/>
          <w:color w:val="000000"/>
          <w:sz w:val="20"/>
        </w:rPr>
        <w:t xml:space="preserve"> All of the information provided to the Underwriters or to counsel for the Underwriters by the Company and its officers and directors and, to the Company’s knowledge, its counsel and the holders of any securities (debt or equity) or options to acquire any securities of the Company in connection with the offering of the Offered Shares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(gg) </w:t>
      </w:r>
      <w:r>
        <w:rPr>
          <w:rFonts w:ascii="Times New Roman;Times;serif" w:hAnsi="Times New Roman;Times;serif"/>
          <w:b/>
          <w:i/>
          <w:color w:val="000000"/>
          <w:sz w:val="20"/>
        </w:rPr>
        <w:t>Parties to Lock-Up Agreements</w:t>
      </w:r>
      <w:r>
        <w:rPr>
          <w:rFonts w:ascii="Times New Roman;Times;serif" w:hAnsi="Times New Roman;Times;serif"/>
          <w:b/>
          <w:color w:val="000000"/>
          <w:sz w:val="20"/>
        </w:rPr>
        <w:t>.</w:t>
      </w:r>
      <w:r>
        <w:rPr>
          <w:rFonts w:ascii="Times New Roman;Times;serif" w:hAnsi="Times New Roman;Times;serif"/>
          <w:color w:val="000000"/>
          <w:sz w:val="20"/>
        </w:rPr>
        <w:t xml:space="preserve"> The Company has furnished to the Underwriters a letter agreement in the form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b/>
          <w:color w:val="000000"/>
          <w:sz w:val="20"/>
        </w:rPr>
        <w:t>Lock-up Agreement</w:t>
      </w:r>
      <w:r>
        <w:rPr>
          <w:rFonts w:ascii="Times New Roman;Times;serif" w:hAnsi="Times New Roman;Times;serif"/>
          <w:color w:val="000000"/>
          <w:sz w:val="20"/>
        </w:rPr>
        <w:t xml:space="preserve">”) from each of the persons listed on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Such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lists under an appropriate caption the directors, executive officers and certain shareholders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(hh) </w:t>
      </w:r>
      <w:r>
        <w:rPr>
          <w:rFonts w:ascii="Times New Roman;Times;serif" w:hAnsi="Times New Roman;Times;serif"/>
          <w:b/>
          <w:i/>
          <w:color w:val="000000"/>
          <w:sz w:val="20"/>
        </w:rPr>
        <w:t>Statistical and Market-Related Data</w:t>
      </w:r>
      <w:r>
        <w:rPr>
          <w:rFonts w:ascii="Times New Roman;Times;serif" w:hAnsi="Times New Roman;Times;serif"/>
          <w:b/>
          <w:color w:val="000000"/>
          <w:sz w:val="20"/>
        </w:rPr>
        <w:t>.</w:t>
      </w:r>
      <w:r>
        <w:rPr>
          <w:rFonts w:ascii="Times New Roman;Times;serif" w:hAnsi="Times New Roman;Times;serif"/>
          <w:color w:val="000000"/>
          <w:sz w:val="20"/>
        </w:rPr>
        <w:t xml:space="preserve"> All statistical, demographic and market</w:t>
        <w:noBreakHyphen/>
        <w:t>related data included in the Registration Statement, the Time 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(ii) </w:t>
      </w:r>
      <w:r>
        <w:rPr>
          <w:rFonts w:ascii="Times New Roman;Times;serif" w:hAnsi="Times New Roman;Times;serif"/>
          <w:b/>
          <w:i/>
          <w:color w:val="000000"/>
          <w:sz w:val="20"/>
        </w:rPr>
        <w:t>No Unlawful Contributions or Other Payments</w:t>
      </w:r>
      <w:r>
        <w:rPr>
          <w:rFonts w:ascii="Times New Roman;Times;serif" w:hAnsi="Times New Roman;Times;serif"/>
          <w:b/>
          <w:color w:val="000000"/>
          <w:sz w:val="20"/>
        </w:rPr>
        <w:t>.</w:t>
      </w:r>
      <w:r>
        <w:rPr>
          <w:rFonts w:ascii="Times New Roman;Times;serif" w:hAnsi="Times New Roman;Times;serif"/>
          <w:color w:val="000000"/>
          <w:sz w:val="20"/>
        </w:rPr>
        <w:t xml:space="preserve"> Neither the Company nor its Subsidiary nor, to the Company’s knowledge, any employee or agent of the Company or its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(jj) </w:t>
      </w:r>
      <w:r>
        <w:rPr>
          <w:rFonts w:ascii="Times New Roman;Times;serif" w:hAnsi="Times New Roman;Times;serif"/>
          <w:b/>
          <w:i/>
          <w:color w:val="000000"/>
          <w:sz w:val="20"/>
        </w:rPr>
        <w:t>Anti-Corruption and Anti-Bribery Laws</w:t>
      </w:r>
      <w:r>
        <w:rPr>
          <w:rFonts w:ascii="Times New Roman;Times;serif" w:hAnsi="Times New Roman;Times;serif"/>
          <w:b/>
          <w:color w:val="000000"/>
          <w:sz w:val="20"/>
        </w:rPr>
        <w:t>.</w:t>
      </w:r>
      <w:r>
        <w:rPr>
          <w:rFonts w:ascii="Times New Roman;Times;serif" w:hAnsi="Times New Roman;Times;serif"/>
          <w:color w:val="000000"/>
          <w:sz w:val="20"/>
        </w:rPr>
        <w:t xml:space="preserve"> Neither the Company nor its Subsidiary nor any director or officer of the Company or its Subsidiary, nor to the knowledge of the Company, any agent, employee, affiliate or other person acting on behalf of the Company or its Subsidiary has, in the course of its actions for, or on behalf of, the Company or its Subsidiary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color w:val="000000"/>
          <w:sz w:val="20"/>
        </w:rPr>
        <w:t>FCPA</w:t>
      </w:r>
      <w:r>
        <w:rPr>
          <w:rFonts w:ascii="Times New Roman;Times;serif" w:hAnsi="Times New Roman;Times;serif"/>
          <w:color w:val="000000"/>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 including, without limitation, Sections 291 and 291A of the Israel Penal Law, 5737-1977 and the rules and regulations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(kk) </w:t>
      </w:r>
      <w:r>
        <w:rPr>
          <w:rFonts w:ascii="Times New Roman;Times;serif" w:hAnsi="Times New Roman;Times;serif"/>
          <w:b/>
          <w:i/>
          <w:color w:val="000000"/>
          <w:sz w:val="20"/>
        </w:rPr>
        <w:t>Money Laundering Laws</w:t>
      </w:r>
      <w:r>
        <w:rPr>
          <w:rFonts w:ascii="Times New Roman;Times;serif" w:hAnsi="Times New Roman;Times;serif"/>
          <w:b/>
          <w:color w:val="000000"/>
          <w:sz w:val="20"/>
        </w:rPr>
        <w:t>.</w:t>
      </w:r>
      <w:r>
        <w:rPr>
          <w:rFonts w:ascii="Times New Roman;Times;serif" w:hAnsi="Times New Roman;Times;serif"/>
          <w:color w:val="000000"/>
          <w:sz w:val="20"/>
        </w:rPr>
        <w:t xml:space="preserve"> The operations of the Company and its Subsidiary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orders or guidelines, issued, administered or enforced by any governmental agency, including the Israeli Prohibition on Money Laundering Law, 5760-2000, the Israeli Prohibition on Money Laundering Order, 5761-2001 and the Israeli Counter-Terrorism Law, 5776-2016 (collectively, the “</w:t>
      </w:r>
      <w:r>
        <w:rPr>
          <w:rFonts w:ascii="Times New Roman;Times;serif" w:hAnsi="Times New Roman;Times;serif"/>
          <w:b/>
          <w:color w:val="000000"/>
          <w:sz w:val="20"/>
        </w:rPr>
        <w:t>Money Laundering Laws</w:t>
      </w:r>
      <w:r>
        <w:rPr>
          <w:rFonts w:ascii="Times New Roman;Times;serif" w:hAnsi="Times New Roman;Times;serif"/>
          <w:color w:val="000000"/>
          <w:sz w:val="20"/>
        </w:rPr>
        <w:t>”) and no action, suit or proceeding by or before any court or governmental agency, authority or body or any arbitrator involving the Company or its Subsidiary with respect to the Money Laundering Laws is pending or, to the best knowledge of the Company, threatened.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(ll) </w:t>
      </w:r>
      <w:r>
        <w:rPr>
          <w:rFonts w:ascii="Times New Roman;Times;serif" w:hAnsi="Times New Roman;Times;serif"/>
          <w:b/>
          <w:i/>
          <w:color w:val="000000"/>
          <w:sz w:val="20"/>
        </w:rPr>
        <w:t>Sanctions</w:t>
      </w:r>
      <w:r>
        <w:rPr>
          <w:rFonts w:ascii="Times New Roman;Times;serif" w:hAnsi="Times New Roman;Times;serif"/>
          <w:b/>
          <w:color w:val="000000"/>
          <w:sz w:val="20"/>
        </w:rPr>
        <w:t>.</w:t>
      </w:r>
      <w:r>
        <w:rPr>
          <w:rFonts w:ascii="Times New Roman;Times;serif" w:hAnsi="Times New Roman;Times;serif"/>
          <w:color w:val="000000"/>
          <w:sz w:val="20"/>
        </w:rPr>
        <w:t xml:space="preserve"> Neither the Company nor its Subsidiary, nor any of its directors or officers, nor, to the knowledge of the Company, after due inquiry, any agent, employee, affiliate or other person acting on behalf of the Company or its Subsidiary is currently the subject or the target of any sanctions administered by the Office of Foreign Assets Control of the U.S. Department of the Treasury (“</w:t>
      </w:r>
      <w:r>
        <w:rPr>
          <w:rFonts w:ascii="Times New Roman;Times;serif" w:hAnsi="Times New Roman;Times;serif"/>
          <w:b/>
          <w:color w:val="000000"/>
          <w:sz w:val="20"/>
        </w:rPr>
        <w:t>OFAC</w:t>
      </w:r>
      <w:r>
        <w:rPr>
          <w:rFonts w:ascii="Times New Roman;Times;serif" w:hAnsi="Times New Roman;Times;serif"/>
          <w:color w:val="000000"/>
          <w:sz w:val="20"/>
        </w:rPr>
        <w:t>”) or the U.S. Department of State, the United Nations Security Council, the European Union, His Majesty’s Treasury of the United Kingdom, the Government of Israel or any subdivision or authority thereof, or other relevant sanctions authority (collectively, “</w:t>
      </w:r>
      <w:r>
        <w:rPr>
          <w:rFonts w:ascii="Times New Roman;Times;serif" w:hAnsi="Times New Roman;Times;serif"/>
          <w:b/>
          <w:color w:val="000000"/>
          <w:sz w:val="20"/>
        </w:rPr>
        <w:t>Sanctions</w:t>
      </w:r>
      <w:r>
        <w:rPr>
          <w:rFonts w:ascii="Times New Roman;Times;serif" w:hAnsi="Times New Roman;Times;serif"/>
          <w:color w:val="000000"/>
          <w:sz w:val="20"/>
        </w:rPr>
        <w:t>”); nor is the Company or its Subsidiary located, organized or resident in a country or territory that is the subject or the target of Sanctions, including, without limitation, Cuba, Iran, North Korea, Syria, the Crimea region and the so-called Donetsk People’s Republic, or so-called Luhansk People’s Republic or any other Covered Region of Ukraine identified pursuant to Executive Order 14065 or an “Enemy State” pursuant to the Israeli Trade with the Enemy Ordinance, 1939;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an “Enemy State” pursuant to the Israeli Trade with the Enemy Ordinance, 1939 or in any other manner that will result in a violation by any person (including any person participating in the transaction whether as underwriter, advisor, investor or otherwise) of applicable Sanctions. For the past five years, the Company and its Subsidiary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(mm) </w:t>
      </w:r>
      <w:r>
        <w:rPr>
          <w:rFonts w:ascii="Times New Roman;Times;serif" w:hAnsi="Times New Roman;Times;serif"/>
          <w:b/>
          <w:i/>
          <w:color w:val="000000"/>
          <w:sz w:val="20"/>
        </w:rPr>
        <w:t>Brokers</w:t>
      </w:r>
      <w:r>
        <w:rPr>
          <w:rFonts w:ascii="Times New Roman;Times;serif" w:hAnsi="Times New Roman;Times;serif"/>
          <w:b/>
          <w:color w:val="000000"/>
          <w:sz w:val="20"/>
        </w:rPr>
        <w:t xml:space="preserve">. </w:t>
      </w:r>
      <w:r>
        <w:rPr>
          <w:rFonts w:ascii="Times New Roman;Times;serif" w:hAnsi="Times New Roman;Times;serif"/>
          <w:color w:val="000000"/>
          <w:sz w:val="20"/>
        </w:rPr>
        <w:t>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(nn) </w:t>
      </w:r>
      <w:r>
        <w:rPr>
          <w:rFonts w:ascii="Times New Roman;Times;serif" w:hAnsi="Times New Roman;Times;serif"/>
          <w:b/>
          <w:i/>
          <w:color w:val="000000"/>
          <w:sz w:val="20"/>
        </w:rPr>
        <w:t>Submission to Jurisdiction</w:t>
      </w:r>
      <w:r>
        <w:rPr>
          <w:rFonts w:ascii="Times New Roman;Times;serif" w:hAnsi="Times New Roman;Times;serif"/>
          <w:color w:val="000000"/>
          <w:sz w:val="20"/>
        </w:rPr>
        <w:t>. The Company has the power to submit, and pursuant to Section 19 of this Agreement, has legally, validly, effectively and irrevocably submitted, to the personal jurisdiction of each United States federal court and New York state court located in the Borough of Manhattan, in the City of New York, New York, U.S.A. (each, a “</w:t>
      </w:r>
      <w:r>
        <w:rPr>
          <w:rFonts w:ascii="Times New Roman;Times;serif" w:hAnsi="Times New Roman;Times;serif"/>
          <w:b/>
          <w:color w:val="000000"/>
          <w:sz w:val="20"/>
        </w:rPr>
        <w:t>New York Court</w:t>
      </w:r>
      <w:r>
        <w:rPr>
          <w:rFonts w:ascii="Times New Roman;Times;serif" w:hAnsi="Times New Roman;Times;serif"/>
          <w:color w:val="000000"/>
          <w:sz w:val="20"/>
        </w:rPr>
        <w:t>”), and the Company has the power to designate, appoint and authorize, and pursuant to Section 19 of this Agreement, has legally, validly, effectively and irrevocably designated, appointed and authorized an agent for service of process in any action arising out of or relating to this Agreement or the Offered Shares in any New York Court, and service of process effected on such authorized agent will be effective to confer valid personal jurisdiction over the Company as provided in Section 19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(oo) </w:t>
      </w:r>
      <w:r>
        <w:rPr>
          <w:rFonts w:ascii="Times New Roman;Times;serif" w:hAnsi="Times New Roman;Times;serif"/>
          <w:b/>
          <w:i/>
          <w:color w:val="000000"/>
          <w:sz w:val="20"/>
        </w:rPr>
        <w:t>No Rights of Immunity</w:t>
      </w:r>
      <w:r>
        <w:rPr>
          <w:rFonts w:ascii="Times New Roman;Times;serif" w:hAnsi="Times New Roman;Times;serif"/>
          <w:color w:val="000000"/>
          <w:sz w:val="20"/>
        </w:rPr>
        <w:t>. Except as provided by laws or statutes generally applicable to transactions of the type described in this Agreement, neither the Company nor any of its respective properties, assets or revenues has any right of immunity under the laws of the State of Israel, New York or United States law, from any legal action, suit or proceeding, from the giving of any relief in any such legal action, suit or proceeding, from set-off or counterclaim, from the jurisdiction of any Israeli,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19 of this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(pp) </w:t>
      </w:r>
      <w:r>
        <w:rPr>
          <w:rFonts w:ascii="Times New Roman;Times;serif" w:hAnsi="Times New Roman;Times;serif"/>
          <w:b/>
          <w:i/>
          <w:color w:val="000000"/>
          <w:sz w:val="20"/>
        </w:rPr>
        <w:t>Forward-Looking Statements.</w:t>
      </w:r>
      <w:r>
        <w:rPr>
          <w:rFonts w:ascii="Times New Roman;Times;serif" w:hAnsi="Times New Roman;Times;serif"/>
          <w:color w:val="000000"/>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w:t>
        <w:noBreakHyphen/>
        <w:t>looking statement. No such statement was made with the knowledge of an executive officer or director of the Company that it was false or misleading.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(qq) </w:t>
      </w:r>
      <w:r>
        <w:rPr>
          <w:rFonts w:ascii="Times New Roman;Times;serif" w:hAnsi="Times New Roman;Times;serif"/>
          <w:b/>
          <w:i/>
          <w:color w:val="000000"/>
          <w:sz w:val="20"/>
        </w:rPr>
        <w:t xml:space="preserve">Outbound Investment Security Program. </w:t>
      </w:r>
      <w:r>
        <w:rPr>
          <w:rFonts w:ascii="Times New Roman;Times;serif" w:hAnsi="Times New Roman;Times;serif"/>
          <w:color w:val="000000"/>
          <w:sz w:val="20"/>
        </w:rPr>
        <w:t>Neither the Company nor its Subsidiary is a “covered foreign person”, as that term is defined in 31 C.F.R. § 850.209. Neither the Company nor its Subsidiary currently engages, or has plans to engage, directly or indirectly, in a “covered activity”, as that term is defined in in 31 C.F.R. § 850.208 (“</w:t>
      </w:r>
      <w:r>
        <w:rPr>
          <w:rFonts w:ascii="Times New Roman;Times;serif" w:hAnsi="Times New Roman;Times;serif"/>
          <w:b/>
          <w:color w:val="000000"/>
          <w:sz w:val="20"/>
        </w:rPr>
        <w:t>Covered Activity</w:t>
      </w:r>
      <w:r>
        <w:rPr>
          <w:rFonts w:ascii="Times New Roman;Times;serif" w:hAnsi="Times New Roman;Times;serif"/>
          <w:color w:val="000000"/>
          <w:sz w:val="20"/>
        </w:rPr>
        <w:t>”). The Company does not have any joint venture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(rr) </w:t>
      </w:r>
      <w:r>
        <w:rPr>
          <w:rFonts w:ascii="Times New Roman;Times;serif" w:hAnsi="Times New Roman;Times;serif"/>
          <w:b/>
          <w:i/>
          <w:color w:val="000000"/>
          <w:sz w:val="20"/>
        </w:rPr>
        <w:t>Testing the Waters Communications.</w:t>
      </w:r>
      <w:r>
        <w:rPr>
          <w:rFonts w:ascii="Times New Roman;Times;serif" w:hAnsi="Times New Roman;Times;serif"/>
          <w:color w:val="000000"/>
          <w:sz w:val="20"/>
        </w:rPr>
        <w:t xml:space="preserve"> The Company has not engaged in communications with potential investors in reliance on Section 5(d) or Rule 163B of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(ss) </w:t>
      </w:r>
      <w:r>
        <w:rPr>
          <w:rFonts w:ascii="Times New Roman;Times;serif" w:hAnsi="Times New Roman;Times;serif"/>
          <w:b/>
          <w:i/>
          <w:color w:val="000000"/>
          <w:sz w:val="20"/>
        </w:rPr>
        <w:t>Clinical Data and Regulatory Compliance.</w:t>
      </w:r>
      <w:r>
        <w:rPr>
          <w:rFonts w:ascii="Times New Roman;Times;serif" w:hAnsi="Times New Roman;Times;serif"/>
          <w:color w:val="000000"/>
          <w:sz w:val="20"/>
        </w:rPr>
        <w:t xml:space="preserve"> The preclinical tests and clinical trials, and other studies (collectively, “</w:t>
      </w:r>
      <w:r>
        <w:rPr>
          <w:rFonts w:ascii="Times New Roman;Times;serif" w:hAnsi="Times New Roman;Times;serif"/>
          <w:b/>
          <w:color w:val="000000"/>
          <w:sz w:val="20"/>
        </w:rPr>
        <w:t>studies</w:t>
      </w:r>
      <w:r>
        <w:rPr>
          <w:rFonts w:ascii="Times New Roman;Times;serif" w:hAnsi="Times New Roman;Times;serif"/>
          <w:color w:val="000000"/>
          <w:sz w:val="20"/>
        </w:rPr>
        <w:t>”) being conducted by or on behalf of the Company that are described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and the applicable laws, rules and regulations of the Food and Drug Administration of the U.S. Department of Health and Human Services (“</w:t>
      </w:r>
      <w:r>
        <w:rPr>
          <w:rFonts w:ascii="Times New Roman;Times;serif" w:hAnsi="Times New Roman;Times;serif"/>
          <w:b/>
          <w:color w:val="000000"/>
          <w:sz w:val="20"/>
        </w:rPr>
        <w:t>FDA</w:t>
      </w:r>
      <w:r>
        <w:rPr>
          <w:rFonts w:ascii="Times New Roman;Times;serif" w:hAnsi="Times New Roman;Times;serif"/>
          <w:color w:val="000000"/>
          <w:sz w:val="20"/>
        </w:rPr>
        <w:t>”);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Registration Statement, the Time of Sale Prospectus or the Prospectus; the Company and its Subsidiary have made all such filings and obtained all such approvals as may be required by the Israeli Ministry of Health, the FDA or any committee thereof or from any other U.S., Israeli or foreign government or drug or medical device regulatory agency, or health care facility Institutional Review Board (collectively, the “</w:t>
      </w:r>
      <w:r>
        <w:rPr>
          <w:rFonts w:ascii="Times New Roman;Times;serif" w:hAnsi="Times New Roman;Times;serif"/>
          <w:b/>
          <w:color w:val="000000"/>
          <w:sz w:val="20"/>
        </w:rPr>
        <w:t>Regulatory Agencies</w:t>
      </w:r>
      <w:r>
        <w:rPr>
          <w:rFonts w:ascii="Times New Roman;Times;serif" w:hAnsi="Times New Roman;Times;serif"/>
          <w:color w:val="000000"/>
          <w:sz w:val="20"/>
        </w:rPr>
        <w:t>”); neither the Company nor its Subsidiary has received any notice of, or correspondence from, any Regulatory Agency requiring the termination, suspension or modification of any clinical trials that are described or referred to in the Registration Statement, the Time of Sale Prospectus or the Prospectus; and the Company and its Subsidiary have operated and currently are in compliance in all material respects with all applicable rules, regulations and policies of the Regulatory Agencies.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(tt) </w:t>
      </w:r>
      <w:r>
        <w:rPr>
          <w:rFonts w:ascii="Times New Roman;Times;serif" w:hAnsi="Times New Roman;Times;serif"/>
          <w:b/>
          <w:i/>
          <w:color w:val="000000"/>
          <w:sz w:val="20"/>
        </w:rPr>
        <w:t>Compliance with Health Care Laws</w:t>
      </w:r>
      <w:r>
        <w:rPr>
          <w:rFonts w:ascii="Times New Roman;Times;serif" w:hAnsi="Times New Roman;Times;serif"/>
          <w:color w:val="000000"/>
          <w:sz w:val="20"/>
        </w:rPr>
        <w:t>. The Company has not received any unresolved FDA Form 483, notice of adverse filing, warning letter, untitled letter or other correspondence or notice from any Regulatory Agency or any court or arbitrator alleging or asserting noncompliance with the Federal Food, Drug and Cosmetic Act (21 U.S.C. § 301 et seq.) (the “</w:t>
      </w:r>
      <w:r>
        <w:rPr>
          <w:rFonts w:ascii="Times New Roman;Times;serif" w:hAnsi="Times New Roman;Times;serif"/>
          <w:b/>
          <w:color w:val="000000"/>
          <w:sz w:val="20"/>
        </w:rPr>
        <w:t>FDCA</w:t>
      </w:r>
      <w:r>
        <w:rPr>
          <w:rFonts w:ascii="Times New Roman;Times;serif" w:hAnsi="Times New Roman;Times;serif"/>
          <w:color w:val="000000"/>
          <w:sz w:val="20"/>
        </w:rPr>
        <w:t>”). The Company and its directors, officers, employees and agents are and have been in compliance with applicable health care laws, including without limitation, the FDCA, the federal Anti-Kickback Statute (42 U.S.C. § 1320a-7b(b)), the civil False Claims Act (31 U.S.C. § 3729 et seq.), the criminal False Claims Law (42 U.S.C. § 1320a-7b(a)), the Civil Monetary Penalties Law (42 U.S.C. § 1320a-7a), U.S. Health Insurance Portability and Accountability Act of 1996 (“</w:t>
      </w:r>
      <w:r>
        <w:rPr>
          <w:rFonts w:ascii="Times New Roman;Times;serif" w:hAnsi="Times New Roman;Times;serif"/>
          <w:b/>
          <w:color w:val="000000"/>
          <w:sz w:val="20"/>
        </w:rPr>
        <w:t>HIPAA</w:t>
      </w:r>
      <w:r>
        <w:rPr>
          <w:rFonts w:ascii="Times New Roman;Times;serif" w:hAnsi="Times New Roman;Times;serif"/>
          <w:color w:val="000000"/>
          <w:sz w:val="20"/>
        </w:rPr>
        <w:t>”) (42 U.S.C. Section 1320d et seq.), as amended by the Health Information Technology for Economic and Clinical Health Act of 2009 (42 U.S.C. § 17921 et seq.), the exclusion laws (42 U.S.C. § 1320a-7), Medicare (Title XVIII of the Social Security Act), Medicaid (Title XIX of the Social Security Act), and the Patient Protection and Affordable Care Act of 2010, as amended by the Health Care and Education Affordability Reconciliation Act of 2010, including, without limitation, the Physician Payments Sunshine Act (42 U.S.C. § 1320a-7h), and the regulation promulgated pursuant to such laws, and comparable state laws, and all other local, state, federal, national, supranational, and foreign (including Israeli) laws, manual provisions, policies and administrative guidance relating to the regulation of the Company (collectively, “</w:t>
      </w:r>
      <w:r>
        <w:rPr>
          <w:rFonts w:ascii="Times New Roman;Times;serif" w:hAnsi="Times New Roman;Times;serif"/>
          <w:b/>
          <w:color w:val="000000"/>
          <w:sz w:val="20"/>
        </w:rPr>
        <w:t>Health Care Laws</w:t>
      </w:r>
      <w:r>
        <w:rPr>
          <w:rFonts w:ascii="Times New Roman;Times;serif" w:hAnsi="Times New Roman;Times;serif"/>
          <w:color w:val="000000"/>
          <w:sz w:val="20"/>
        </w:rPr>
        <w:t>”). The Company has not,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third-party has initiated or conducted any such notice or action. Neither the Company nor any of its officers, directors, nor to the Company's knowledge, any of its employees or agents has been or is currently excluded from participation in the Medicare and Medicaid programs or any other state or federal health care program.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(uu) </w:t>
      </w:r>
      <w:r>
        <w:rPr>
          <w:rFonts w:ascii="Times New Roman;Times;serif" w:hAnsi="Times New Roman;Times;serif"/>
          <w:b/>
          <w:i/>
          <w:color w:val="000000"/>
          <w:sz w:val="20"/>
        </w:rPr>
        <w:t>Health Care Product Manufacturing.</w:t>
      </w:r>
      <w:r>
        <w:rPr>
          <w:rFonts w:ascii="Times New Roman;Times;serif" w:hAnsi="Times New Roman;Times;serif"/>
          <w:color w:val="000000"/>
          <w:sz w:val="20"/>
        </w:rPr>
        <w:t xml:space="preserve"> The manufacture of the Company’s and its Subsidiary’s products and product candidates by or on behalf of the Company and its Subsidiary is being conducted in compliance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(including Israel). Neither the Company nor its Subsidiary has had any manufacturing site (whether Company-owned, subsidiary-owned or that of a third party manufacturer for the Company’s or its Subsidiary’s product candidates) subject to a governmental authority (including FDA, Israeli Ministry of Health or European Medicines Agency (the “</w:t>
      </w:r>
      <w:r>
        <w:rPr>
          <w:rFonts w:ascii="Times New Roman;Times;serif" w:hAnsi="Times New Roman;Times;serif"/>
          <w:b/>
          <w:color w:val="000000"/>
          <w:sz w:val="20"/>
        </w:rPr>
        <w:t>EMA</w:t>
      </w:r>
      <w:r>
        <w:rPr>
          <w:rFonts w:ascii="Times New Roman;Times;serif" w:hAnsi="Times New Roman;Times;serif"/>
          <w:color w:val="000000"/>
          <w:sz w:val="20"/>
        </w:rPr>
        <w:t>”)) shutdown or import or export prohibition, nor received any FDA, Israeli Ministry of Health, EMA or other governmental authority “warning letters,” or “untitled letters” alleging or asserting material noncompliance with any applicable Health Care Laws, requests to make material changes to the Company’s or its Subsidiary’s product candidates, processes or operations, or similar correspondence or notice from the FDA, Israeli Ministry of Health, EMA or other governmental authority alleging or asserting material noncompliance with any applicable Health Care Laws, other than those that have been satisfactorily addressed and/or closed with the FDA, Israeli Ministry of Health, EMA or other governmental authority. To the knowledge of the Company, none of the FDA, Israeli Ministry of Health, EMA or any other governmental authority is considering such 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(vv) </w:t>
      </w:r>
      <w:r>
        <w:rPr>
          <w:rFonts w:ascii="Times New Roman;Times;serif" w:hAnsi="Times New Roman;Times;serif"/>
          <w:b/>
          <w:i/>
          <w:color w:val="000000"/>
          <w:sz w:val="20"/>
        </w:rPr>
        <w:t>Cybersecurity</w:t>
      </w:r>
      <w:r>
        <w:rPr>
          <w:rFonts w:ascii="Times New Roman;Times;serif" w:hAnsi="Times New Roman;Times;serif"/>
          <w:color w:val="000000"/>
          <w:sz w:val="20"/>
        </w:rPr>
        <w:t>. Except as would not reasonably be expected, individually or in the aggregate, to have a Material Adverse Effect, the Company’s and its Subsidiary’s information technology assets and equipment, computers, systems, networks, hardware, software, websites, applications, and databases (collectively, “</w:t>
      </w:r>
      <w:r>
        <w:rPr>
          <w:rFonts w:ascii="Times New Roman;Times;serif" w:hAnsi="Times New Roman;Times;serif"/>
          <w:b/>
          <w:color w:val="000000"/>
          <w:sz w:val="20"/>
        </w:rPr>
        <w:t>IT Systems</w:t>
      </w:r>
      <w:r>
        <w:rPr>
          <w:rFonts w:ascii="Times New Roman;Times;serif" w:hAnsi="Times New Roman;Times;serif"/>
          <w:color w:val="000000"/>
          <w:sz w:val="20"/>
        </w:rPr>
        <w:t>”) are adequate for, and operate and perform in all material respects as required in connection with the operation of the business of the Company and its Subsidiary as currently conducted, and are, to the Company’s knowledge free and clear of all material bugs, errors, defects, Trojan horses, time bombs, malware and other corruptants. The Company and its Subsidiary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color w:val="000000"/>
          <w:sz w:val="20"/>
        </w:rPr>
        <w:t>Personal Data</w:t>
      </w:r>
      <w:r>
        <w:rPr>
          <w:rFonts w:ascii="Times New Roman;Times;serif" w:hAnsi="Times New Roman;Times;serif"/>
          <w:color w:val="000000"/>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European Union General Data Protection Regulation (“</w:t>
      </w:r>
      <w:r>
        <w:rPr>
          <w:rFonts w:ascii="Times New Roman;Times;serif" w:hAnsi="Times New Roman;Times;serif"/>
          <w:b/>
          <w:color w:val="000000"/>
          <w:sz w:val="20"/>
        </w:rPr>
        <w:t>GDPR</w:t>
      </w:r>
      <w:r>
        <w:rPr>
          <w:rFonts w:ascii="Times New Roman;Times;serif" w:hAnsi="Times New Roman;Times;serif"/>
          <w:color w:val="000000"/>
          <w:sz w:val="20"/>
        </w:rPr>
        <w:t>”)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or which would otherwise not reasonably be expected to have individually or in the aggregate a Material Adverse Effect. The Company and its Subsidiary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to have individually or in the aggregate a Material Adverse Effect.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(ww) </w:t>
      </w:r>
      <w:r>
        <w:rPr>
          <w:rFonts w:ascii="Times New Roman;Times;serif" w:hAnsi="Times New Roman;Times;serif"/>
          <w:b/>
          <w:i/>
          <w:color w:val="000000"/>
          <w:sz w:val="20"/>
        </w:rPr>
        <w:t>Compliance with Data Privacy Laws</w:t>
      </w:r>
      <w:r>
        <w:rPr>
          <w:rFonts w:ascii="Times New Roman;Times;serif" w:hAnsi="Times New Roman;Times;serif"/>
          <w:color w:val="000000"/>
          <w:sz w:val="20"/>
        </w:rPr>
        <w:t>. The Company and its Subsidiary are, and at all prior times were, in material compliance with all applicable Israeli, state and federal data privacy and security laws and regulations, including without limitation HIPAA. To the knowledge of the Company, since May 25, 2018, the Company and its Subsidiary have been and currently are in compliance with, the GDPR (collectively, the “</w:t>
      </w:r>
      <w:r>
        <w:rPr>
          <w:rFonts w:ascii="Times New Roman;Times;serif" w:hAnsi="Times New Roman;Times;serif"/>
          <w:b/>
          <w:color w:val="000000"/>
          <w:sz w:val="20"/>
        </w:rPr>
        <w:t>Privacy Laws</w:t>
      </w:r>
      <w:r>
        <w:rPr>
          <w:rFonts w:ascii="Times New Roman;Times;serif" w:hAnsi="Times New Roman;Times;serif"/>
          <w:color w:val="000000"/>
          <w:sz w:val="20"/>
        </w:rPr>
        <w:t>”). To ensure compliance with the Privacy Laws, the Company and its Subsidiary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color w:val="000000"/>
          <w:sz w:val="20"/>
        </w:rPr>
        <w:t>Policies</w:t>
      </w:r>
      <w:r>
        <w:rPr>
          <w:rFonts w:ascii="Times New Roman;Times;serif" w:hAnsi="Times New Roman;Times;serif"/>
          <w:color w:val="000000"/>
          <w:sz w:val="20"/>
        </w:rPr>
        <w:t>”). The Company and its Subsidiary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its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except in the case of clause (i), where such violation would not, individually or in the aggregate,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(xx) </w:t>
      </w:r>
      <w:r>
        <w:rPr>
          <w:rFonts w:ascii="Times New Roman;Times;serif" w:hAnsi="Times New Roman;Times;serif"/>
          <w:b/>
          <w:i/>
          <w:color w:val="000000"/>
          <w:sz w:val="20"/>
        </w:rPr>
        <w:t>No Rights to Purchase Preferred Shares</w:t>
      </w:r>
      <w:r>
        <w:rPr>
          <w:rFonts w:ascii="Times New Roman;Times;serif" w:hAnsi="Times New Roman;Times;serif"/>
          <w:b/>
          <w:color w:val="000000"/>
          <w:sz w:val="20"/>
        </w:rPr>
        <w:t>.</w:t>
      </w:r>
      <w:r>
        <w:rPr>
          <w:rFonts w:ascii="Times New Roman;Times;serif" w:hAnsi="Times New Roman;Times;serif"/>
          <w:color w:val="000000"/>
          <w:sz w:val="20"/>
        </w:rPr>
        <w:t xml:space="preserve"> The issuance and sale of the Offered Shares as contemplated hereby will not cause any holder of any share capital, securities convertible into or exchangeable or exercisable for share capital or options, warrants or other rights to purchase share capital or any other securities of the Company or its Subsidiary to have any right to acquire any preferred shares of the Company or its Subsidiary.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(yy) </w:t>
      </w:r>
      <w:r>
        <w:rPr>
          <w:rFonts w:ascii="Times New Roman;Times;serif" w:hAnsi="Times New Roman;Times;serif"/>
          <w:b/>
          <w:i/>
          <w:color w:val="000000"/>
          <w:sz w:val="20"/>
        </w:rPr>
        <w:t xml:space="preserve">No Contract Terminations. </w:t>
      </w:r>
      <w:r>
        <w:rPr>
          <w:rFonts w:ascii="Times New Roman;Times;serif" w:hAnsi="Times New Roman;Times;serif"/>
          <w:color w:val="000000"/>
          <w:sz w:val="20"/>
        </w:rPr>
        <w:t>Neither the Company nor its Subsidiary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its Subsidiary or, to the Company’s knowledge, any other party to any such contract or agreement, which threat of termination or non-renewal has not been rescinded as of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(zz) </w:t>
      </w:r>
      <w:r>
        <w:rPr>
          <w:rFonts w:ascii="Times New Roman;Times;serif" w:hAnsi="Times New Roman;Times;serif"/>
          <w:b/>
          <w:i/>
          <w:color w:val="000000"/>
          <w:sz w:val="20"/>
        </w:rPr>
        <w:t>Compliance with Israeli Law.</w:t>
      </w:r>
      <w:r>
        <w:rPr>
          <w:rFonts w:ascii="Times New Roman;Times;serif" w:hAnsi="Times New Roman;Times;serif"/>
          <w:color w:val="000000"/>
          <w:sz w:val="20"/>
        </w:rPr>
        <w:t xml:space="preserve"> All corporate approvals on the part of the Company, including under Chapter 5 of Part VI of the Israeli Companies Law, 5759-1999, for the offer or sale of the Offered Shares and the transactions contemplated hereby have been obtained.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(aaa) </w:t>
      </w:r>
      <w:r>
        <w:rPr>
          <w:rFonts w:ascii="Times New Roman;Times;serif" w:hAnsi="Times New Roman;Times;serif"/>
          <w:b/>
          <w:i/>
          <w:color w:val="000000"/>
          <w:sz w:val="20"/>
        </w:rPr>
        <w:t>Company Stock Plans.</w:t>
      </w:r>
      <w:r>
        <w:rPr>
          <w:rFonts w:ascii="Times New Roman;Times;serif" w:hAnsi="Times New Roman;Times;serif"/>
          <w:color w:val="000000"/>
          <w:sz w:val="20"/>
        </w:rPr>
        <w:t xml:space="preserve"> With respect to the stock options (the “</w:t>
      </w:r>
      <w:r>
        <w:rPr>
          <w:rFonts w:ascii="Times New Roman;Times;serif" w:hAnsi="Times New Roman;Times;serif"/>
          <w:b/>
          <w:color w:val="000000"/>
          <w:sz w:val="20"/>
        </w:rPr>
        <w:t>Stock Options</w:t>
      </w:r>
      <w:r>
        <w:rPr>
          <w:rFonts w:ascii="Times New Roman;Times;serif" w:hAnsi="Times New Roman;Times;serif"/>
          <w:color w:val="000000"/>
          <w:sz w:val="20"/>
        </w:rPr>
        <w:t>”) granted pursuant to the stock-based compensation plans of the Company (the “</w:t>
      </w:r>
      <w:r>
        <w:rPr>
          <w:rFonts w:ascii="Times New Roman;Times;serif" w:hAnsi="Times New Roman;Times;serif"/>
          <w:b/>
          <w:color w:val="000000"/>
          <w:sz w:val="20"/>
        </w:rPr>
        <w:t>Company Stock Plans</w:t>
      </w:r>
      <w:r>
        <w:rPr>
          <w:rFonts w:ascii="Times New Roman;Times;serif" w:hAnsi="Times New Roman;Times;serif"/>
          <w:color w:val="000000"/>
          <w:sz w:val="20"/>
        </w:rPr>
        <w:t>”), (i) each grant intended to qualify for the “capital gains track” of Section 102 of the Israel Income Tax Ordinance (New Version), 5721-1961 so qualifies; (ii) each grant of a Stock Option has been duly authorized, approved or ratified by all necessary corporate action, including, as applicable, approval or ratification by the compensation committee of the Company, the board of directors of the Company and any required shareholder approval, and the award agreement governing such grant (if any) was duly executed and delivered by each party thereto; (iii) each such grant was made in accordance with the terms of the Company Stock Plans and all other applicable laws and regulatory rules or requirements; and (iv) each such grant was properly accounted for in accordance with GAAP in the financial statements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certificate signed by any officer of the Company or its Subsidiary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Section 2. </w:t>
      </w:r>
      <w:r>
        <w:rPr>
          <w:rFonts w:ascii="Times New Roman;Times;serif" w:hAnsi="Times New Roman;Times;serif"/>
          <w:color w:val="000000"/>
          <w:sz w:val="20"/>
        </w:rPr>
        <w:t>Purchase, Sale and Delivery of the Offered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b/>
          <w:i/>
          <w:color w:val="000000"/>
          <w:sz w:val="20"/>
        </w:rPr>
        <w:t>The Offered Shares</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Upon the terms herein set forth, the Company agrees to issue and sell to the several Underwriters an aggregate of 459,112 Offered Shares. On the basis of the representations, warranties and agreements herein contained, and upon the terms but subject to the conditions herein set forth, the Underwriters agree, severally and not jointly, to purchase from the Company on the Closing Date the respective number of Offered Shares set forth opposite their names on </w:t>
      </w:r>
      <w:r>
        <w:rPr>
          <w:rFonts w:ascii="Times New Roman;Times;serif" w:hAnsi="Times New Roman;Times;serif"/>
          <w:color w:val="000000"/>
          <w:sz w:val="20"/>
          <w:u w:val="single"/>
        </w:rPr>
        <w:t>Schedule A</w:t>
      </w:r>
      <w:r>
        <w:rPr>
          <w:rFonts w:ascii="Times New Roman;Times;serif" w:hAnsi="Times New Roman;Times;serif"/>
          <w:color w:val="000000"/>
          <w:sz w:val="20"/>
        </w:rPr>
        <w:t>. The purchase price per Offered Share to be paid by the several Underwriters to the Company shall be $67.68 per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b/>
          <w:i/>
          <w:color w:val="000000"/>
          <w:sz w:val="20"/>
        </w:rPr>
        <w:t>The Closing Date</w:t>
      </w:r>
      <w:r>
        <w:rPr>
          <w:rFonts w:ascii="Times New Roman;Times;serif" w:hAnsi="Times New Roman;Times;serif"/>
          <w:b/>
          <w:color w:val="000000"/>
          <w:sz w:val="20"/>
        </w:rPr>
        <w:t xml:space="preserve">. </w:t>
      </w:r>
      <w:r>
        <w:rPr>
          <w:rFonts w:ascii="Times New Roman;Times;serif" w:hAnsi="Times New Roman;Times;serif"/>
          <w:color w:val="000000"/>
          <w:sz w:val="20"/>
        </w:rPr>
        <w:t>Delivery of certificates, if any, for the Offered Shares to be purchased by the Underwriters and payment therefor shall be made at the offices of Paul Hastings LLP (or such other place as may be agreed to by the Company and the Representatives) at 9:00 a.m. New York City time, on March 25, 2026, or such other time and date as the Representatives shall designate by notice to the Company (the time and date of such closing are called the “</w:t>
      </w:r>
      <w:r>
        <w:rPr>
          <w:rFonts w:ascii="Times New Roman;Times;serif" w:hAnsi="Times New Roman;Times;serif"/>
          <w:b/>
          <w:color w:val="000000"/>
          <w:sz w:val="20"/>
        </w:rPr>
        <w:t>Closing Date</w:t>
      </w:r>
      <w:r>
        <w:rPr>
          <w:rFonts w:ascii="Times New Roman;Times;serif" w:hAnsi="Times New Roman;Times;serif"/>
          <w:color w:val="000000"/>
          <w:sz w:val="20"/>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 </w:t>
      </w:r>
      <w:r>
        <w:rPr>
          <w:rFonts w:ascii="Times New Roman;Times;serif" w:hAnsi="Times New Roman;Times;serif"/>
          <w:b/>
          <w:i/>
          <w:color w:val="000000"/>
          <w:sz w:val="20"/>
        </w:rPr>
        <w:t>Public Offering of the Offered Shares</w:t>
      </w:r>
      <w:r>
        <w:rPr>
          <w:rFonts w:ascii="Times New Roman;Times;serif" w:hAnsi="Times New Roman;Times;serif"/>
          <w:b/>
          <w:color w:val="000000"/>
          <w:sz w:val="20"/>
        </w:rPr>
        <w:t>.</w:t>
      </w:r>
      <w:r>
        <w:rPr>
          <w:rFonts w:ascii="Times New Roman;Times;serif" w:hAnsi="Times New Roman;Times;serif"/>
          <w:color w:val="000000"/>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 </w:t>
      </w:r>
      <w:r>
        <w:rPr>
          <w:rFonts w:ascii="Times New Roman;Times;serif" w:hAnsi="Times New Roman;Times;serif"/>
          <w:b/>
          <w:i/>
          <w:color w:val="000000"/>
          <w:sz w:val="20"/>
        </w:rPr>
        <w:t>Payment for the Offered Shares</w:t>
      </w:r>
      <w:r>
        <w:rPr>
          <w:rFonts w:ascii="Times New Roman;Times;serif" w:hAnsi="Times New Roman;Times;serif"/>
          <w:b/>
          <w:color w:val="000000"/>
          <w:sz w:val="20"/>
        </w:rPr>
        <w:t xml:space="preserve">. </w:t>
      </w:r>
      <w:r>
        <w:rPr>
          <w:rFonts w:ascii="Times New Roman;Times;serif" w:hAnsi="Times New Roman;Times;serif"/>
          <w:color w:val="000000"/>
          <w:sz w:val="20"/>
        </w:rPr>
        <w:t>i) Payment for the Offered Shares shall be made at the Closing Date by wire transfer of immediately available funds to the order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(ii) It is understood that the Representatives have been authorized, for their own accounts and the accounts of the several Underwriters, to accept delivery of and receipt for, and make payment of the purchase price for, the Offered Shares. Each of TD Cowen and LifeSci Capital, individually and not as a Representative of the Underwriters, may (but shall not be obligated to) make payment for any Offered Shares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(e) </w:t>
      </w:r>
      <w:r>
        <w:rPr>
          <w:rFonts w:ascii="Times New Roman;Times;serif" w:hAnsi="Times New Roman;Times;serif"/>
          <w:b/>
          <w:i/>
          <w:color w:val="000000"/>
          <w:sz w:val="20"/>
        </w:rPr>
        <w:t>Delivery of the Offered Shares</w:t>
      </w:r>
      <w:r>
        <w:rPr>
          <w:rFonts w:ascii="Times New Roman;Times;serif" w:hAnsi="Times New Roman;Times;serif"/>
          <w:b/>
          <w:color w:val="000000"/>
          <w:sz w:val="20"/>
        </w:rPr>
        <w:t>.</w:t>
      </w:r>
      <w:r>
        <w:rPr>
          <w:rFonts w:ascii="Times New Roman;Times;serif" w:hAnsi="Times New Roman;Times;serif"/>
          <w:color w:val="000000"/>
          <w:sz w:val="20"/>
        </w:rPr>
        <w:t xml:space="preserve"> The Company shall deliver, or cause to be delivered, through the facilities of The Depository Trust Company (“</w:t>
      </w:r>
      <w:r>
        <w:rPr>
          <w:rFonts w:ascii="Times New Roman;Times;serif" w:hAnsi="Times New Roman;Times;serif"/>
          <w:b/>
          <w:color w:val="000000"/>
          <w:sz w:val="20"/>
        </w:rPr>
        <w:t>DTC</w:t>
      </w:r>
      <w:r>
        <w:rPr>
          <w:rFonts w:ascii="Times New Roman;Times;serif" w:hAnsi="Times New Roman;Times;serif"/>
          <w:color w:val="000000"/>
          <w:sz w:val="20"/>
        </w:rPr>
        <w:t>”) unless the Representatives shall otherwise instruct, to the Representatives for the accounts of the several Underwriters the Offered Shares to be sold by them at the Closing Date, against release of a wire transfer of immediately available funds for the amount of the purchase price therefor. The Offered Shares shall be registered in such names and denominations as the Representatives shall have requested at least one full business day prior to the Closing Date and shall be made available for inspection on the business day preceding the Closing Date at a location in New York City as the Representatives may designate. Time shall be of the essence, and delivery at the time and place specified in this Agreement is a further condition to the obligations of the Underwriters.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Section 3. </w:t>
      </w:r>
      <w:r>
        <w:rPr>
          <w:rFonts w:ascii="Times New Roman;Times;serif" w:hAnsi="Times New Roman;Times;serif"/>
          <w:color w:val="000000"/>
          <w:sz w:val="20"/>
        </w:rPr>
        <w:t>Additional Covenants of the Company. The Company further covenants and agrees with each Underwriter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b/>
          <w:i/>
          <w:color w:val="000000"/>
          <w:sz w:val="20"/>
        </w:rPr>
        <w:t>Delivery of Registration Statement, Time of Sale Prospectus and Prospectus.</w:t>
      </w:r>
      <w:r>
        <w:rPr>
          <w:rFonts w:ascii="Times New Roman;Times;serif" w:hAnsi="Times New Roman;Times;serif"/>
          <w:color w:val="000000"/>
          <w:sz w:val="20"/>
        </w:rPr>
        <w:t> The Company shall furnish to you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0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b/>
          <w:i/>
          <w:color w:val="000000"/>
          <w:sz w:val="20"/>
        </w:rPr>
        <w:t>Representatives’ Review of Proposed Amendments and Supplements.</w:t>
      </w:r>
      <w:r>
        <w:rPr>
          <w:rFonts w:ascii="Times New Roman;Times;serif" w:hAnsi="Times New Roman;Times;serif"/>
          <w:color w:val="000000"/>
          <w:sz w:val="20"/>
        </w:rPr>
        <w:t xml:space="preserve">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subject to the applicable securities laws, will not amend or supplement the Registration Statement (including, in each case, any amendment or supplement through incorporation of any report filed under the Exchange Act) without the Representatives’ prior written consent, which shall not be unreasonably withheld, conditioned or delayed. Prior to amending or supplementing any preliminary prospectus, the Time of Sale Prospectus or the Prospectus (including, in each case,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conditioned or delayed;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the Company may amend or supplement the Registration Statement or Prospectus without the Representatives’ prior consent (but with prompt notice to the Representatives) to the extent required by applicable law, regulation, or Commission comment, or to correct a misstatement of material fact or omission of a material fact necessary to make the statements therein not misleading. The Company shall file with the Commission within the applicable period specified in Rule 424(b) under the Securities Act any prospectus required to be filed pursuant to such Rule.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30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 </w:t>
      </w:r>
      <w:r>
        <w:rPr>
          <w:rFonts w:ascii="Times New Roman;Times;serif" w:hAnsi="Times New Roman;Times;serif"/>
          <w:b/>
          <w:i/>
          <w:color w:val="000000"/>
          <w:sz w:val="20"/>
        </w:rPr>
        <w:t>Free Writing Prospectuses.</w:t>
      </w:r>
      <w:r>
        <w:rPr>
          <w:rFonts w:ascii="Times New Roman;Times;serif" w:hAnsi="Times New Roman;Times;serif"/>
          <w:color w:val="000000"/>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be unreasonably withheld, conditioned or delayed;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the Company may file, use, or refer to a free writing prospectus without the Representatives’ prior consent (but with prompt notice to the Representatives) to the extent required to correct a material misstatement or omission in a previously filed free writing prospectus or to comply with applicable law or Commission rules.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 </w:t>
      </w:r>
      <w:r>
        <w:rPr>
          <w:rFonts w:ascii="Times New Roman;Times;serif" w:hAnsi="Times New Roman;Times;serif"/>
          <w:b/>
          <w:i/>
          <w:color w:val="000000"/>
          <w:sz w:val="20"/>
        </w:rPr>
        <w:t>Filing of Underwriter Free Writing Prospectuses.</w:t>
      </w:r>
      <w:r>
        <w:rPr>
          <w:rFonts w:ascii="Times New Roman;Times;serif" w:hAnsi="Times New Roman;Times;serif"/>
          <w:color w:val="000000"/>
          <w:sz w:val="20"/>
        </w:rPr>
        <w:t>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(e) </w:t>
      </w:r>
      <w:r>
        <w:rPr>
          <w:rFonts w:ascii="Times New Roman;Times;serif" w:hAnsi="Times New Roman;Times;serif"/>
          <w:b/>
          <w:i/>
          <w:color w:val="000000"/>
          <w:sz w:val="20"/>
        </w:rPr>
        <w:t>Amendments and Supplements to Time of Sale Prospectus.</w:t>
      </w:r>
      <w:r>
        <w:rPr>
          <w:rFonts w:ascii="Times New Roman;Times;serif" w:hAnsi="Times New Roman;Times;serif"/>
          <w:color w:val="000000"/>
          <w:sz w:val="20"/>
        </w:rPr>
        <w:t>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(f) </w:t>
      </w:r>
      <w:r>
        <w:rPr>
          <w:rFonts w:ascii="Times New Roman;Times;serif" w:hAnsi="Times New Roman;Times;serif"/>
          <w:b/>
          <w:i/>
          <w:color w:val="000000"/>
          <w:sz w:val="20"/>
        </w:rPr>
        <w:t>Certain Notifications and Required Actions</w:t>
      </w:r>
      <w:r>
        <w:rPr>
          <w:rFonts w:ascii="Times New Roman;Times;serif" w:hAnsi="Times New Roman;Times;serif"/>
          <w:b/>
          <w:color w:val="000000"/>
          <w:sz w:val="20"/>
        </w:rPr>
        <w:t>.</w:t>
      </w:r>
      <w:r>
        <w:rPr>
          <w:rFonts w:ascii="Times New Roman;Times;serif" w:hAnsi="Times New Roman;Times;serif"/>
          <w:color w:val="000000"/>
          <w:sz w:val="20"/>
        </w:rPr>
        <w:t xml:space="preserve"> 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possible.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(g) </w:t>
      </w:r>
      <w:r>
        <w:rPr>
          <w:rFonts w:ascii="Times New Roman;Times;serif" w:hAnsi="Times New Roman;Times;serif"/>
          <w:b/>
          <w:i/>
          <w:color w:val="000000"/>
          <w:sz w:val="20"/>
        </w:rPr>
        <w:t>Amendments and Supplements to the Prospectus and Other Securities Act Matters.</w:t>
      </w:r>
      <w:r>
        <w:rPr>
          <w:rFonts w:ascii="Times New Roman;Times;serif" w:hAnsi="Times New Roman;Times;serif"/>
          <w:color w:val="000000"/>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(h) </w:t>
      </w:r>
      <w:r>
        <w:rPr>
          <w:rFonts w:ascii="Times New Roman;Times;serif" w:hAnsi="Times New Roman;Times;serif"/>
          <w:b/>
          <w:i/>
          <w:color w:val="000000"/>
          <w:sz w:val="20"/>
        </w:rPr>
        <w:t>Blue Sky Compliance</w:t>
      </w:r>
      <w:r>
        <w:rPr>
          <w:rFonts w:ascii="Times New Roman;Times;serif" w:hAnsi="Times New Roman;Times;serif"/>
          <w:b/>
          <w:color w:val="000000"/>
          <w:sz w:val="20"/>
        </w:rPr>
        <w:t>.</w:t>
      </w:r>
      <w:r>
        <w:rPr>
          <w:rFonts w:ascii="Times New Roman;Times;serif" w:hAnsi="Times New Roman;Times;serif"/>
          <w:color w:val="000000"/>
          <w:sz w:val="20"/>
        </w:rPr>
        <w:t xml:space="preserve"> 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(i) </w:t>
      </w:r>
      <w:r>
        <w:rPr>
          <w:rFonts w:ascii="Times New Roman;Times;serif" w:hAnsi="Times New Roman;Times;serif"/>
          <w:b/>
          <w:i/>
          <w:color w:val="000000"/>
          <w:sz w:val="20"/>
        </w:rPr>
        <w:t>Use of Proceeds</w:t>
      </w:r>
      <w:r>
        <w:rPr>
          <w:rFonts w:ascii="Times New Roman;Times;serif" w:hAnsi="Times New Roman;Times;serif"/>
          <w:b/>
          <w:color w:val="000000"/>
          <w:sz w:val="20"/>
        </w:rPr>
        <w:t>.</w:t>
      </w:r>
      <w:r>
        <w:rPr>
          <w:rFonts w:ascii="Times New Roman;Times;serif" w:hAnsi="Times New Roman;Times;serif"/>
          <w:color w:val="000000"/>
          <w:sz w:val="20"/>
        </w:rPr>
        <w:t xml:space="preserve"> The Company shall apply the net proceeds from the sale of the Offered Shares sold by it in the manner described under the caption “Use of Proceeds” in the Registration Statement, the Time of Sale Prospectus and the Prospectus.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(j) </w:t>
      </w:r>
      <w:r>
        <w:rPr>
          <w:rFonts w:ascii="Times New Roman;Times;serif" w:hAnsi="Times New Roman;Times;serif"/>
          <w:b/>
          <w:i/>
          <w:color w:val="000000"/>
          <w:sz w:val="20"/>
        </w:rPr>
        <w:t>Earnings Statement</w:t>
      </w:r>
      <w:r>
        <w:rPr>
          <w:rFonts w:ascii="Times New Roman;Times;serif" w:hAnsi="Times New Roman;Times;serif"/>
          <w:b/>
          <w:color w:val="000000"/>
          <w:sz w:val="20"/>
        </w:rPr>
        <w:t>.</w:t>
      </w:r>
      <w:r>
        <w:rPr>
          <w:rFonts w:ascii="Times New Roman;Times;serif" w:hAnsi="Times New Roman;Times;serif"/>
          <w:color w:val="000000"/>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(k) </w:t>
      </w:r>
      <w:r>
        <w:rPr>
          <w:rFonts w:ascii="Times New Roman;Times;serif" w:hAnsi="Times New Roman;Times;serif"/>
          <w:b/>
          <w:i/>
          <w:color w:val="000000"/>
          <w:sz w:val="20"/>
        </w:rPr>
        <w:t>Continued Compliance with Securities Laws</w:t>
      </w:r>
      <w:r>
        <w:rPr>
          <w:rFonts w:ascii="Times New Roman;Times;serif" w:hAnsi="Times New Roman;Times;serif"/>
          <w:b/>
          <w:color w:val="000000"/>
          <w:sz w:val="20"/>
        </w:rPr>
        <w:t>.</w:t>
      </w:r>
      <w:r>
        <w:rPr>
          <w:rFonts w:ascii="Times New Roman;Times;serif" w:hAnsi="Times New Roman;Times;serif"/>
          <w:color w:val="000000"/>
          <w:sz w:val="20"/>
        </w:rPr>
        <w:t xml:space="preserve"> The Company will comply with the Securities Act and the Exchange Act so as to permit the completion of the distribution of the Offered Shares as contemplated by this Agreement</w:t>
      </w:r>
      <w:r>
        <w:rPr>
          <w:rFonts w:ascii="Times New Roman;Times;serif" w:hAnsi="Times New Roman;Times;serif"/>
          <w:b/>
          <w:color w:val="000000"/>
          <w:sz w:val="20"/>
        </w:rPr>
        <w:t xml:space="preserve">, </w:t>
      </w:r>
      <w:r>
        <w:rPr>
          <w:rFonts w:ascii="Times New Roman;Times;serif" w:hAnsi="Times New Roman;Times;serif"/>
          <w:color w:val="000000"/>
          <w:sz w:val="20"/>
        </w:rPr>
        <w:t>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(l) </w:t>
      </w:r>
      <w:r>
        <w:rPr>
          <w:rFonts w:ascii="Times New Roman;Times;serif" w:hAnsi="Times New Roman;Times;serif"/>
          <w:b/>
          <w:i/>
          <w:color w:val="000000"/>
          <w:sz w:val="20"/>
        </w:rPr>
        <w:t>Compliance with Israeli Securities Laws.</w:t>
      </w:r>
      <w:r>
        <w:rPr>
          <w:rFonts w:ascii="Times New Roman;Times;serif" w:hAnsi="Times New Roman;Times;serif"/>
          <w:color w:val="000000"/>
          <w:sz w:val="20"/>
        </w:rPr>
        <w:t xml:space="preserve"> The Company acknowledges, understands and agrees that the Offered Shares may be offered and sold in Israel only by the Underwriters and only to such Israeli investors listed in the First Addendum to the Israeli Securities Law (the “</w:t>
      </w:r>
      <w:r>
        <w:rPr>
          <w:rFonts w:ascii="Times New Roman;Times;serif" w:hAnsi="Times New Roman;Times;serif"/>
          <w:b/>
          <w:color w:val="000000"/>
          <w:sz w:val="20"/>
        </w:rPr>
        <w:t>Addendum</w:t>
      </w:r>
      <w:r>
        <w:rPr>
          <w:rFonts w:ascii="Times New Roman;Times;serif" w:hAnsi="Times New Roman;Times;serif"/>
          <w:color w:val="000000"/>
          <w:sz w:val="20"/>
        </w:rPr>
        <w:t>”) who submit written confirmation to the Underwriters and the Company that such investor (A) falls within the scope of the Addendum, is aware of the meaning of same and agrees to it and (B) is acquiring the Offered Shares for investment for its own account or, if applicable, for investment for clients who are investors under Section 15A(b) of the Israeli Securities Law and in any event not as a nominee, market maker or agent and not with a view to, or for the resale in connection with, any distribution thereof (“</w:t>
      </w:r>
      <w:r>
        <w:rPr>
          <w:rFonts w:ascii="Times New Roman;Times;serif" w:hAnsi="Times New Roman;Times;serif"/>
          <w:b/>
          <w:color w:val="000000"/>
          <w:sz w:val="20"/>
        </w:rPr>
        <w:t>Israeli Accredited Investors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(m) </w:t>
      </w:r>
      <w:r>
        <w:rPr>
          <w:rFonts w:ascii="Times New Roman;Times;serif" w:hAnsi="Times New Roman;Times;serif"/>
          <w:b/>
          <w:i/>
          <w:color w:val="000000"/>
          <w:sz w:val="20"/>
        </w:rPr>
        <w:t>Listing</w:t>
      </w:r>
      <w:r>
        <w:rPr>
          <w:rFonts w:ascii="Times New Roman;Times;serif" w:hAnsi="Times New Roman;Times;serif"/>
          <w:b/>
          <w:color w:val="000000"/>
          <w:sz w:val="20"/>
        </w:rPr>
        <w:t>.</w:t>
      </w:r>
      <w:r>
        <w:rPr>
          <w:rFonts w:ascii="Times New Roman;Times;serif" w:hAnsi="Times New Roman;Times;serif"/>
          <w:color w:val="000000"/>
          <w:sz w:val="20"/>
        </w:rPr>
        <w:t xml:space="preserve"> The Company will use its best efforts to list, subject to notice of issuance, the Offered Shares on the Nasdaq.</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(n) </w:t>
      </w:r>
      <w:r>
        <w:rPr>
          <w:rFonts w:ascii="Times New Roman;Times;serif" w:hAnsi="Times New Roman;Times;serif"/>
          <w:b/>
          <w:i/>
          <w:color w:val="000000"/>
          <w:sz w:val="20"/>
        </w:rPr>
        <w:t>Company to Provide Copy of the Prospectus in Form That May be Downloaded from the Internet</w:t>
      </w:r>
      <w:r>
        <w:rPr>
          <w:rFonts w:ascii="Times New Roman;Times;serif" w:hAnsi="Times New Roman;Times;serif"/>
          <w:b/>
          <w:color w:val="000000"/>
          <w:sz w:val="20"/>
        </w:rPr>
        <w:t>.</w:t>
      </w:r>
      <w:r>
        <w:rPr>
          <w:rFonts w:ascii="Times New Roman;Times;serif" w:hAnsi="Times New Roman;Times;serif"/>
          <w:color w:val="000000"/>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color w:val="000000"/>
          <w:sz w:val="20"/>
        </w:rPr>
        <w:t>electronic Prospectus</w:t>
      </w:r>
      <w:r>
        <w:rPr>
          <w:rFonts w:ascii="Times New Roman;Times;serif" w:hAnsi="Times New Roman;Times;serif"/>
          <w:color w:val="000000"/>
          <w:sz w:val="20"/>
        </w:rPr>
        <w:t>” to be used by the Underwriters in connection with the offering and sale of the Offered Shares. As used herein, the term “</w:t>
      </w:r>
      <w:r>
        <w:rPr>
          <w:rFonts w:ascii="Times New Roman;Times;serif" w:hAnsi="Times New Roman;Times;serif"/>
          <w:b/>
          <w:color w:val="000000"/>
          <w:sz w:val="20"/>
        </w:rPr>
        <w:t>electronic Prospectus</w:t>
      </w:r>
      <w:r>
        <w:rPr>
          <w:rFonts w:ascii="Times New Roman;Times;serif" w:hAnsi="Times New Roman;Times;serif"/>
          <w:color w:val="000000"/>
          <w:sz w:val="20"/>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(o) </w:t>
      </w:r>
      <w:r>
        <w:rPr>
          <w:rFonts w:ascii="Times New Roman;Times;serif" w:hAnsi="Times New Roman;Times;serif"/>
          <w:b/>
          <w:i/>
          <w:color w:val="000000"/>
          <w:sz w:val="20"/>
        </w:rPr>
        <w:t>Agreement Not to Offer or Sell Additional Securities</w:t>
      </w:r>
      <w:r>
        <w:rPr>
          <w:rFonts w:ascii="Times New Roman;Times;serif" w:hAnsi="Times New Roman;Times;serif"/>
          <w:b/>
          <w:color w:val="000000"/>
          <w:sz w:val="20"/>
        </w:rPr>
        <w:t xml:space="preserve">. </w:t>
      </w:r>
      <w:r>
        <w:rPr>
          <w:rFonts w:ascii="Times New Roman;Times;serif" w:hAnsi="Times New Roman;Times;serif"/>
          <w:color w:val="000000"/>
          <w:sz w:val="20"/>
        </w:rPr>
        <w:t>During the period commencing on and including the date hereof and continuing through and including the 90th day following the date of the Prospectus (such period, as extended as described below, being referred to herein as the “</w:t>
      </w:r>
      <w:r>
        <w:rPr>
          <w:rFonts w:ascii="Times New Roman;Times;serif" w:hAnsi="Times New Roman;Times;serif"/>
          <w:b/>
          <w:color w:val="000000"/>
          <w:sz w:val="20"/>
        </w:rPr>
        <w:t>Lock-up Period</w:t>
      </w:r>
      <w:r>
        <w:rPr>
          <w:rFonts w:ascii="Times New Roman;Times;serif" w:hAnsi="Times New Roman;Times;serif"/>
          <w:color w:val="000000"/>
          <w:sz w:val="20"/>
        </w:rPr>
        <w:t>”), the Company will not, without the prior written consent of the Representatives (which consent may be withheld in their sole discretion), directly or indirectly: (i) sell, offer to sell, contract to sell or lend any share capital of the Company, whether in the form of ordinary shares, preferred shares or otherwise (“</w:t>
      </w:r>
      <w:r>
        <w:rPr>
          <w:rFonts w:ascii="Times New Roman;Times;serif" w:hAnsi="Times New Roman;Times;serif"/>
          <w:b/>
          <w:color w:val="000000"/>
          <w:sz w:val="20"/>
        </w:rPr>
        <w:t>Share Capital</w:t>
      </w:r>
      <w:r>
        <w:rPr>
          <w:rFonts w:ascii="Times New Roman;Times;serif" w:hAnsi="Times New Roman;Times;serif"/>
          <w:color w:val="000000"/>
          <w:sz w:val="20"/>
        </w:rPr>
        <w:t>”) or Related Securities (as defined below); (ii) effect any short sale, or establish or increase any “put equivalent position” (as defined in Rule 16a-1(h) under the Exchange Act) or liquidate or decrease any “call equivalent position” (as defined in Rule 16a</w:t>
        <w:noBreakHyphen/>
        <w:t xml:space="preserve">1(b) under the Exchange Act) of any Share Capital or Related Securities; (iii) pledge, hypothecate or grant any security interest in any Share Capital or Related Securities; (iv) in any other way transfer or dispose of any Share Capital or Related Securities; (v) enter into any swap, hedge or similar arrangement or agreement that transfers, in whole or in part, the economic risk of ownership of any Share Capital or Related Securities, regardless of whether any such transaction is to be settled in securities, in cash or otherwise; (vi) announce the offering of any Share Capital or Related Securities; (vii) file any registration statement under the Securities Act in respect of any Share Capital or Related Securities (other than as contemplated by this Agreement with respect to the Offered Shares); or (viii) publicly announce the intention to do any of the foregoing;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Company may (A) effect the transactions contemplated hereby, (B) issue Share Capital of the Company or options to purchase Share Capital of the Company, or issue Share Capital of the Company upon exercise of options, pursuant to any share option, share bonus or other equity incentive or employee share purchase plan described in the Registration Statement, the Time of Sale Prospectus and the Prospectus, but only if the holders of such capital stock of the Company or options agree in writing with the Underwriters not to sell, offer, dispose of or otherwise transfer any such capital stock or options during such Lock-up Period without the prior written consent of the Representatives (which consent may be withheld in their sole discretion), and (C) issue Share Capital of the Company in connection with any joint venture, commercial or collaborative relationship or the acquisition or license by the Company of the securities, businesses, property or other assets of another person or entity or pursuant to any employee benefit plan as assumed by the Company in connection with any such acquisition,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in the case of this clause (C), (x) such Share Capital shall not in the aggregate exceed 7.5% of the number of Ordinary Shares outstanding immediately prior to giving effect to such issuance and (y) the recipients thereof provide to the Representatives a Lock-Up Agreement. For purposes of the foregoing, “</w:t>
      </w:r>
      <w:r>
        <w:rPr>
          <w:rFonts w:ascii="Times New Roman;Times;serif" w:hAnsi="Times New Roman;Times;serif"/>
          <w:b/>
          <w:color w:val="000000"/>
          <w:sz w:val="20"/>
        </w:rPr>
        <w:t>Related Securities</w:t>
      </w:r>
      <w:r>
        <w:rPr>
          <w:rFonts w:ascii="Times New Roman;Times;serif" w:hAnsi="Times New Roman;Times;serif"/>
          <w:color w:val="000000"/>
          <w:sz w:val="20"/>
        </w:rPr>
        <w:t>” shall mean any options or warrants evidencing Share Capital of the Company or other rights to acquire Share Capital of the Company or any securities exchangeable or exercisable for or convertible into Share Capital of the Company, or to acquire other securities or rights ultimately exchangeable or exercisable for, or convertible into, Share Capital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(p) </w:t>
      </w:r>
      <w:r>
        <w:rPr>
          <w:rFonts w:ascii="Times New Roman;Times;serif" w:hAnsi="Times New Roman;Times;serif"/>
          <w:b/>
          <w:i/>
          <w:color w:val="000000"/>
          <w:sz w:val="20"/>
        </w:rPr>
        <w:t xml:space="preserve">Future Reports to the Representatives. </w:t>
      </w:r>
      <w:r>
        <w:rPr>
          <w:rFonts w:ascii="Times New Roman;Times;serif" w:hAnsi="Times New Roman;Times;serif"/>
          <w:color w:val="000000"/>
          <w:sz w:val="20"/>
        </w:rPr>
        <w:t xml:space="preserve">During the period of five years hereafter, the Company will furnish to the Representatives, c/o TD Securities (USA) LLC, at 1 Vanderbilt Avenue, New York, New York 10017, Attention: Head of Equity Capital Markets, with a copy to CIBLegal@tdsecurities.com; and c/o LifeSci Capital LLC, at 1700 Broadway, 40th Floor, New York, New York 10019, with a copy to legalnotices@lifescicapital.com: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FINRA or any securities exchange; and (iii) as soon as available, copies of any report or communication of the Company furnished or made available generally to holders of its share capital;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requirements of this Section 3(p) shall be satisfied to the extent that such reports, statements, communications, financial statements or other documents are available on EDGAR.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(q) </w:t>
      </w:r>
      <w:r>
        <w:rPr>
          <w:rFonts w:ascii="Times New Roman;Times;serif" w:hAnsi="Times New Roman;Times;serif"/>
          <w:b/>
          <w:i/>
          <w:color w:val="000000"/>
          <w:sz w:val="20"/>
        </w:rPr>
        <w:t>Investment Limitation</w:t>
      </w:r>
      <w:r>
        <w:rPr>
          <w:rFonts w:ascii="Times New Roman;Times;serif" w:hAnsi="Times New Roman;Times;serif"/>
          <w:b/>
          <w:color w:val="000000"/>
          <w:sz w:val="20"/>
        </w:rPr>
        <w:t>.</w:t>
      </w:r>
      <w:r>
        <w:rPr>
          <w:rFonts w:ascii="Times New Roman;Times;serif" w:hAnsi="Times New Roman;Times;serif"/>
          <w:color w:val="000000"/>
          <w:sz w:val="20"/>
        </w:rPr>
        <w:t xml:space="preserve"> The Company shall not invest or otherwise use the proceeds received by the Company from its sale of the Offered Shares in such a manner as would require the Company or its Subsidiary to register as an investment company under the Investment Company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(r) </w:t>
      </w:r>
      <w:r>
        <w:rPr>
          <w:rFonts w:ascii="Times New Roman;Times;serif" w:hAnsi="Times New Roman;Times;serif"/>
          <w:b/>
          <w:i/>
          <w:color w:val="000000"/>
          <w:sz w:val="20"/>
        </w:rPr>
        <w:t>No Stabilization or Manipulation; Compliance with Regulation M</w:t>
      </w:r>
      <w:r>
        <w:rPr>
          <w:rFonts w:ascii="Times New Roman;Times;serif" w:hAnsi="Times New Roman;Times;serif"/>
          <w:b/>
          <w:color w:val="000000"/>
          <w:sz w:val="20"/>
        </w:rPr>
        <w:t xml:space="preserve">. </w:t>
      </w:r>
      <w:r>
        <w:rPr>
          <w:rFonts w:ascii="Times New Roman;Times;serif" w:hAnsi="Times New Roman;Times;serif"/>
          <w:color w:val="000000"/>
          <w:sz w:val="20"/>
        </w:rPr>
        <w:t>The Company will not take, directly or indirectly, any action designed to or that might cause or result in stabilization or manipulation of the price of the Offered Shares or any other reference security with respect to the Offered Shares, whether to facilitate the sale or resale of the Offered Shares or otherwise, and the Company will, and shall cause each of its affiliates to, comply with all applicable provisions of Regulation M. In addition, the Company will not engage in any form of solicitation, advertising or other action constituting an offer or a sale under the Israeli Securities Law and the regulations promulgated thereunder in connection with the transactions contemplated hereby, which would require the Company to publish a prospectus in the State of Israel under the laws of the State of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(s) </w:t>
      </w:r>
      <w:r>
        <w:rPr>
          <w:rFonts w:ascii="Times New Roman;Times;serif" w:hAnsi="Times New Roman;Times;serif"/>
          <w:b/>
          <w:i/>
          <w:color w:val="000000"/>
          <w:sz w:val="20"/>
        </w:rPr>
        <w:t>Enforce Lock-Up Agreements</w:t>
      </w:r>
      <w:r>
        <w:rPr>
          <w:rFonts w:ascii="Times New Roman;Times;serif" w:hAnsi="Times New Roman;Times;serif"/>
          <w:b/>
          <w:color w:val="000000"/>
          <w:sz w:val="20"/>
        </w:rPr>
        <w:t>.</w:t>
      </w:r>
      <w:r>
        <w:rPr>
          <w:rFonts w:ascii="Times New Roman;Times;serif" w:hAnsi="Times New Roman;Times;serif"/>
          <w:color w:val="000000"/>
          <w:sz w:val="20"/>
        </w:rPr>
        <w:t xml:space="preserve"> During the Lock-up Period, the Company will enforce all agreements between the Company and any of its security holders that restrict or prohibit, expressly or in operation, the offer, sale or transfer of Share Capital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certain shareholders pursuant to Section 6(k)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(t) </w:t>
      </w:r>
      <w:r>
        <w:rPr>
          <w:rFonts w:ascii="Times New Roman;Times;serif" w:hAnsi="Times New Roman;Times;serif"/>
          <w:b/>
          <w:i/>
          <w:color w:val="000000"/>
          <w:sz w:val="20"/>
        </w:rPr>
        <w:t>Company to Provide Interim Financial Statements</w:t>
      </w:r>
      <w:r>
        <w:rPr>
          <w:rFonts w:ascii="Times New Roman;Times;serif" w:hAnsi="Times New Roman;Times;serif"/>
          <w:b/>
          <w:color w:val="000000"/>
          <w:sz w:val="20"/>
        </w:rPr>
        <w:t>.</w:t>
      </w:r>
      <w:r>
        <w:rPr>
          <w:rFonts w:ascii="Times New Roman;Times;serif" w:hAnsi="Times New Roman;Times;serif"/>
          <w:color w:val="000000"/>
          <w:sz w:val="20"/>
        </w:rPr>
        <w:t xml:space="preserve"> The Company 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b/>
          <w:color w:val="000000"/>
          <w:sz w:val="20"/>
        </w:rPr>
      </w:pPr>
      <w:r>
        <w:rPr>
          <w:rFonts w:ascii="Times New Roman;Times;serif" w:hAnsi="Times New Roman;Times;serif"/>
          <w:b/>
          <w:color w:val="000000"/>
          <w:sz w:val="20"/>
        </w:rPr>
        <w:t xml:space="preserve">(u) </w:t>
      </w:r>
      <w:r>
        <w:rPr>
          <w:rFonts w:ascii="Times New Roman;Times;serif" w:hAnsi="Times New Roman;Times;serif"/>
          <w:b/>
          <w:i/>
          <w:color w:val="000000"/>
          <w:sz w:val="20"/>
        </w:rPr>
        <w:t>Reserved.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(v) </w:t>
      </w:r>
      <w:r>
        <w:rPr>
          <w:rFonts w:ascii="Times New Roman;Times;serif" w:hAnsi="Times New Roman;Times;serif"/>
          <w:b/>
          <w:i/>
          <w:color w:val="000000"/>
          <w:sz w:val="20"/>
        </w:rPr>
        <w:t>Tax Indemnity</w:t>
      </w:r>
      <w:r>
        <w:rPr>
          <w:rFonts w:ascii="Times New Roman;Times;serif" w:hAnsi="Times New Roman;Times;serif"/>
          <w:b/>
          <w:color w:val="000000"/>
          <w:sz w:val="20"/>
        </w:rPr>
        <w:t>.</w:t>
      </w:r>
      <w:r>
        <w:rPr>
          <w:rFonts w:ascii="Times New Roman;Times;serif" w:hAnsi="Times New Roman;Times;serif"/>
          <w:color w:val="000000"/>
          <w:sz w:val="20"/>
        </w:rPr>
        <w:t xml:space="preserve"> The Company will indemnify and hold harmless the Underwriters against any documentary, stamp or similar issue tax, including any interest and penalties, on the creation, issue and sale of the Offered Shares and on the execution and delivery of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(w) </w:t>
      </w:r>
      <w:r>
        <w:rPr>
          <w:rFonts w:ascii="Times New Roman;Times;serif" w:hAnsi="Times New Roman;Times;serif"/>
          <w:b/>
          <w:i/>
          <w:color w:val="000000"/>
          <w:sz w:val="20"/>
        </w:rPr>
        <w:t>Transfer Agent</w:t>
      </w:r>
      <w:r>
        <w:rPr>
          <w:rFonts w:ascii="Times New Roman;Times;serif" w:hAnsi="Times New Roman;Times;serif"/>
          <w:b/>
          <w:color w:val="000000"/>
          <w:sz w:val="20"/>
        </w:rPr>
        <w:t>.</w:t>
      </w:r>
      <w:r>
        <w:rPr>
          <w:rFonts w:ascii="Times New Roman;Times;serif" w:hAnsi="Times New Roman;Times;serif"/>
          <w:color w:val="000000"/>
          <w:sz w:val="20"/>
        </w:rPr>
        <w:t xml:space="preserve"> The Company agrees to maintain a transfer agent and, if necessary under the jurisdiction of organization of the Company, a registrar for the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Representatives, on behalf of the several Underwriters, may, in their sole discretion, waive in writing the performance by the Company of any one or more of the foregoing covenants or extend the time for their performance.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 Payment of Expenses.</w:t>
      </w:r>
      <w:r>
        <w:rPr>
          <w:rFonts w:ascii="Times New Roman;Times;serif" w:hAnsi="Times New Roman;Times;serif"/>
          <w:color w:val="000000"/>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Offered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(such fees and expenses of counsel relating to such qualification or registration not to exceed $5,000)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(such fees and expenses of counsel in an amount not to exceed $30,000), (viii) the costs and expenses of the Company relating to investor presentations on any “road show”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(ix) the fees and expenses associated with listing the Ordinary Shares on the Nasdaq. Except as provided in this Section 4 or in Section 7, Section 9 or Section 10 hereof, the Underwriters shall pay their own expenses, including the fees and disbursements of their counsel and their travel and lodging expenses.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5. Covenants of the Underwriters.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color w:val="000000"/>
          <w:sz w:val="20"/>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color w:val="000000"/>
          <w:sz w:val="20"/>
        </w:rPr>
        <w:t>The Underwriters, severally and not jointly, acknowledge, understand and agree that the Offered Shares may be offered and sold in Israel by the Underwriters only to Israeli Accredited Investors.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 Conditions of the Obligations of the Underwriters.</w:t>
      </w:r>
      <w:r>
        <w:rPr>
          <w:rFonts w:ascii="Times New Roman;Times;serif" w:hAnsi="Times New Roman;Times;serif"/>
          <w:color w:val="000000"/>
          <w:sz w:val="20"/>
        </w:rPr>
        <w:t xml:space="preserve"> The respective obligations of the several Underwriters hereunder to purchase and pay for the Offered Shares as provided herein on the Closing Date shall be subject to the accuracy of the representations and warranties on the part of the Company set forth in Section 1 hereof as of the date hereof and as of the Closing Date as though then made, to the timely performance by the Company of its covenants and other obligations hereunder, and to each of the following additional conditions: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b/>
          <w:i/>
          <w:color w:val="000000"/>
          <w:sz w:val="20"/>
        </w:rPr>
        <w:t>Comfort Letter</w:t>
      </w:r>
      <w:r>
        <w:rPr>
          <w:rFonts w:ascii="Times New Roman;Times;serif" w:hAnsi="Times New Roman;Times;serif"/>
          <w:b/>
          <w:color w:val="000000"/>
          <w:sz w:val="20"/>
        </w:rPr>
        <w:t>.</w:t>
      </w:r>
      <w:r>
        <w:rPr>
          <w:rFonts w:ascii="Times New Roman;Times;serif" w:hAnsi="Times New Roman;Times;serif"/>
          <w:color w:val="000000"/>
          <w:sz w:val="20"/>
        </w:rPr>
        <w:t xml:space="preserve"> On the date hereof, the Representatives shall have received from Kesselman &amp; Kesselman a letter dated the date hereof addressed to the Underwriters, in form and substance satisfactory to the Representatives, containing statements and information of the type ordinarily included in accountants’ “comfort letters” to underwriters, delivered according to Auditing Standard 6101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b/>
          <w:i/>
          <w:color w:val="000000"/>
          <w:sz w:val="20"/>
        </w:rPr>
        <w:t xml:space="preserve">Compliance with Registration Requirements; No Stop Order; No Objection from FINRA. </w:t>
      </w:r>
      <w:r>
        <w:rPr>
          <w:rFonts w:ascii="Times New Roman;Times;serif" w:hAnsi="Times New Roman;Times;serif"/>
          <w:color w:val="000000"/>
          <w:sz w:val="20"/>
        </w:rPr>
        <w:t>For the period from and after the date of this Agreement and through and including the Closing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(ii) 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(iii) If a filing has been made with FINRA, FINRA shall have raised no objection to the fairness and reasonableness of the underwriting terms and arrangements.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 </w:t>
      </w:r>
      <w:r>
        <w:rPr>
          <w:rFonts w:ascii="Times New Roman;Times;serif" w:hAnsi="Times New Roman;Times;serif"/>
          <w:b/>
          <w:i/>
          <w:color w:val="000000"/>
          <w:sz w:val="20"/>
        </w:rPr>
        <w:t>No Material Adverse Change</w:t>
      </w:r>
      <w:r>
        <w:rPr>
          <w:rFonts w:ascii="Times New Roman;Times;serif" w:hAnsi="Times New Roman;Times;serif"/>
          <w:b/>
          <w:color w:val="000000"/>
          <w:sz w:val="20"/>
        </w:rPr>
        <w:t>.</w:t>
      </w:r>
      <w:r>
        <w:rPr>
          <w:rFonts w:ascii="Times New Roman;Times;serif" w:hAnsi="Times New Roman;Times;serif"/>
          <w:color w:val="000000"/>
          <w:sz w:val="20"/>
        </w:rPr>
        <w:t xml:space="preserve"> For the period from and after the date of this Agreement and through and including the Closing Date, in the judgment of the Representatives there shall not have occurred any Material Adverse Change.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 </w:t>
      </w:r>
      <w:r>
        <w:rPr>
          <w:rFonts w:ascii="Times New Roman;Times;serif" w:hAnsi="Times New Roman;Times;serif"/>
          <w:b/>
          <w:i/>
          <w:color w:val="000000"/>
          <w:sz w:val="20"/>
        </w:rPr>
        <w:t>Opinion of U.S. Counsel for the Company</w:t>
      </w:r>
      <w:r>
        <w:rPr>
          <w:rFonts w:ascii="Times New Roman;Times;serif" w:hAnsi="Times New Roman;Times;serif"/>
          <w:b/>
          <w:color w:val="000000"/>
          <w:sz w:val="20"/>
        </w:rPr>
        <w:t>.</w:t>
      </w:r>
      <w:r>
        <w:rPr>
          <w:rFonts w:ascii="Times New Roman;Times;serif" w:hAnsi="Times New Roman;Times;serif"/>
          <w:color w:val="000000"/>
          <w:sz w:val="20"/>
        </w:rPr>
        <w:t xml:space="preserve"> On the Closing Date, the Representatives shall have received the opinion of Greenberg Traurig, LLP, U.S. counsel for the Company, in form and substance satisfactory to the Underwriters, dated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(e) </w:t>
      </w:r>
      <w:r>
        <w:rPr>
          <w:rFonts w:ascii="Times New Roman;Times;serif" w:hAnsi="Times New Roman;Times;serif"/>
          <w:b/>
          <w:i/>
          <w:color w:val="000000"/>
          <w:sz w:val="20"/>
        </w:rPr>
        <w:t>Opinion of Israeli Counsel for the Company</w:t>
      </w:r>
      <w:r>
        <w:rPr>
          <w:rFonts w:ascii="Times New Roman;Times;serif" w:hAnsi="Times New Roman;Times;serif"/>
          <w:b/>
          <w:color w:val="000000"/>
          <w:sz w:val="20"/>
        </w:rPr>
        <w:t>.</w:t>
      </w:r>
      <w:r>
        <w:rPr>
          <w:rFonts w:ascii="Times New Roman;Times;serif" w:hAnsi="Times New Roman;Times;serif"/>
          <w:color w:val="000000"/>
          <w:sz w:val="20"/>
        </w:rPr>
        <w:t xml:space="preserve"> On the Closing Date, the Representatives shall have received the opinion of Goldfarb Gross Seligman, Israeli counsel for the Company, in form and substance satisfactory to the Underwriters, dated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(f) </w:t>
      </w:r>
      <w:r>
        <w:rPr>
          <w:rFonts w:ascii="Times New Roman;Times;serif" w:hAnsi="Times New Roman;Times;serif"/>
          <w:b/>
          <w:i/>
          <w:color w:val="000000"/>
          <w:sz w:val="20"/>
        </w:rPr>
        <w:t>Opinion of IP Counsel for the Company.</w:t>
      </w:r>
      <w:r>
        <w:rPr>
          <w:rFonts w:ascii="Times New Roman;Times;serif" w:hAnsi="Times New Roman;Times;serif"/>
          <w:color w:val="000000"/>
          <w:sz w:val="20"/>
        </w:rPr>
        <w:t xml:space="preserve"> On the Closing Date, the Representatives shall have received the opinion of Pearl Cohen Zedek Latzer Baratz LLP, counsel for the Company with respect to intellectual property, in form and substance satisfactory to the Underwriters, dated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(g) </w:t>
      </w:r>
      <w:r>
        <w:rPr>
          <w:rFonts w:ascii="Times New Roman;Times;serif" w:hAnsi="Times New Roman;Times;serif"/>
          <w:b/>
          <w:i/>
          <w:color w:val="000000"/>
          <w:sz w:val="20"/>
        </w:rPr>
        <w:t>Opinion of U.S. Counsel for the Underwriters</w:t>
      </w:r>
      <w:r>
        <w:rPr>
          <w:rFonts w:ascii="Times New Roman;Times;serif" w:hAnsi="Times New Roman;Times;serif"/>
          <w:b/>
          <w:color w:val="000000"/>
          <w:sz w:val="20"/>
        </w:rPr>
        <w:t>.</w:t>
      </w:r>
      <w:r>
        <w:rPr>
          <w:rFonts w:ascii="Times New Roman;Times;serif" w:hAnsi="Times New Roman;Times;serif"/>
          <w:color w:val="000000"/>
          <w:sz w:val="20"/>
        </w:rPr>
        <w:t xml:space="preserve"> On the Closing Date, the Representatives shall have received the opinion of Paul Hastings LLP, U.S. counsel for the Underwriters in connection with the offer and sale of the Offered Shares, in form and substance satisfactory to the Underwriters, dated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(h) </w:t>
      </w:r>
      <w:r>
        <w:rPr>
          <w:rFonts w:ascii="Times New Roman;Times;serif" w:hAnsi="Times New Roman;Times;serif"/>
          <w:b/>
          <w:i/>
          <w:color w:val="000000"/>
          <w:sz w:val="20"/>
        </w:rPr>
        <w:t xml:space="preserve">Chief Financial Officer’s Certificate. </w:t>
      </w:r>
      <w:r>
        <w:rPr>
          <w:rFonts w:ascii="Times New Roman;Times;serif" w:hAnsi="Times New Roman;Times;serif"/>
          <w:color w:val="000000"/>
          <w:sz w:val="20"/>
        </w:rPr>
        <w:t>On the Closing Date, the Representatives shall have received a certificate executed by the Chief Financial Officer of the Company, in form and substance satisfactory to the Representatives, dated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(i) </w:t>
      </w:r>
      <w:r>
        <w:rPr>
          <w:rFonts w:ascii="Times New Roman;Times;serif" w:hAnsi="Times New Roman;Times;serif"/>
          <w:b/>
          <w:i/>
          <w:color w:val="000000"/>
          <w:sz w:val="20"/>
        </w:rPr>
        <w:t>Officers’ Certificate</w:t>
      </w:r>
      <w:r>
        <w:rPr>
          <w:rFonts w:ascii="Times New Roman;Times;serif" w:hAnsi="Times New Roman;Times;serif"/>
          <w:b/>
          <w:color w:val="000000"/>
          <w:sz w:val="20"/>
        </w:rPr>
        <w:t>.</w:t>
      </w:r>
      <w:r>
        <w:rPr>
          <w:rFonts w:ascii="Times New Roman;Times;serif" w:hAnsi="Times New Roman;Times;serif"/>
          <w:color w:val="000000"/>
          <w:sz w:val="20"/>
        </w:rPr>
        <w:t xml:space="preserve"> On the Closing Date, the Representatives shall have received a certificate executed by the Chief Executive Officer of the Company and the Chief Financial Officer of the Company, dated as of such date, to the effect set forth in Section 6(b)(ii) and further to the effect that: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 for the period from and including the date of this Agreement through and including such date, there has not occurred any Material Adverse Change;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(ii) the representations, warranties and covenants of the Company set forth in Section 1 of this Agreement are true and correct with the same force and effect as though expressly made on and as of such date; 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990"/>
        <w:jc w:val="both"/>
        <w:rPr>
          <w:rFonts w:ascii="Times New Roman;Times;serif" w:hAnsi="Times New Roman;Times;serif"/>
          <w:color w:val="000000"/>
          <w:sz w:val="20"/>
        </w:rPr>
      </w:pPr>
      <w:r>
        <w:rPr>
          <w:rFonts w:ascii="Times New Roman;Times;serif" w:hAnsi="Times New Roman;Times;serif"/>
          <w:color w:val="000000"/>
          <w:sz w:val="20"/>
        </w:rPr>
        <w:t>(iii) the Company has complied with all the agreements hereunder and satisfied all the conditions on its part to be performed or satisfied hereunder at or prior to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(j) </w:t>
      </w:r>
      <w:r>
        <w:rPr>
          <w:rFonts w:ascii="Times New Roman;Times;serif" w:hAnsi="Times New Roman;Times;serif"/>
          <w:b/>
          <w:i/>
          <w:color w:val="000000"/>
          <w:sz w:val="20"/>
        </w:rPr>
        <w:t>Bring-down Comfort Letter</w:t>
      </w:r>
      <w:r>
        <w:rPr>
          <w:rFonts w:ascii="Times New Roman;Times;serif" w:hAnsi="Times New Roman;Times;serif"/>
          <w:b/>
          <w:color w:val="000000"/>
          <w:sz w:val="20"/>
        </w:rPr>
        <w:t>.</w:t>
      </w:r>
      <w:r>
        <w:rPr>
          <w:rFonts w:ascii="Times New Roman;Times;serif" w:hAnsi="Times New Roman;Times;serif"/>
          <w:color w:val="000000"/>
          <w:sz w:val="20"/>
        </w:rPr>
        <w:t xml:space="preserve"> On the Closing Date, the Representatives shall have received from Kesselman &amp; Kesselman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Closing Date; and (ii) cover certain financial information contained in the Prospectus.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(k) </w:t>
      </w:r>
      <w:r>
        <w:rPr>
          <w:rFonts w:ascii="Times New Roman;Times;serif" w:hAnsi="Times New Roman;Times;serif"/>
          <w:b/>
          <w:i/>
          <w:color w:val="000000"/>
          <w:sz w:val="20"/>
        </w:rPr>
        <w:t>Lock-Up Agreements.</w:t>
      </w:r>
      <w:r>
        <w:rPr>
          <w:rFonts w:ascii="Times New Roman;Times;serif" w:hAnsi="Times New Roman;Times;serif"/>
          <w:color w:val="000000"/>
          <w:sz w:val="20"/>
        </w:rPr>
        <w:t xml:space="preserve"> On or prior to the date hereof, the Company shall have furnished to the Representatives an agreement in the form of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from each of the persons listed on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hereto, and each such agreement shall be in full force and effect on each of the Closing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(l) </w:t>
      </w:r>
      <w:r>
        <w:rPr>
          <w:rFonts w:ascii="Times New Roman;Times;serif" w:hAnsi="Times New Roman;Times;serif"/>
          <w:b/>
          <w:i/>
          <w:color w:val="000000"/>
          <w:sz w:val="20"/>
        </w:rPr>
        <w:t>Rule 462(b) Registration Statement</w:t>
      </w:r>
      <w:r>
        <w:rPr>
          <w:rFonts w:ascii="Times New Roman;Times;serif" w:hAnsi="Times New Roman;Times;serif"/>
          <w:color w:val="000000"/>
          <w:sz w:val="20"/>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(m) </w:t>
      </w:r>
      <w:r>
        <w:rPr>
          <w:rFonts w:ascii="Times New Roman;Times;serif" w:hAnsi="Times New Roman;Times;serif"/>
          <w:b/>
          <w:i/>
          <w:color w:val="000000"/>
          <w:sz w:val="20"/>
        </w:rPr>
        <w:t>Listing</w:t>
      </w:r>
      <w:r>
        <w:rPr>
          <w:rFonts w:ascii="Times New Roman;Times;serif" w:hAnsi="Times New Roman;Times;serif"/>
          <w:b/>
          <w:color w:val="000000"/>
          <w:sz w:val="20"/>
        </w:rPr>
        <w:t xml:space="preserve">. </w:t>
      </w:r>
      <w:r>
        <w:rPr>
          <w:rFonts w:ascii="Times New Roman;Times;serif" w:hAnsi="Times New Roman;Times;serif"/>
          <w:color w:val="000000"/>
          <w:sz w:val="20"/>
        </w:rPr>
        <w:t>On or prior to the date hereof, the Offered Shares shall have been approved for listing on the Nasdaq, subject to notice of issuance.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(n) </w:t>
      </w:r>
      <w:r>
        <w:rPr>
          <w:rFonts w:ascii="Times New Roman;Times;serif" w:hAnsi="Times New Roman;Times;serif"/>
          <w:b/>
          <w:i/>
          <w:color w:val="000000"/>
          <w:sz w:val="20"/>
        </w:rPr>
        <w:t>Additional Documents</w:t>
      </w:r>
      <w:r>
        <w:rPr>
          <w:rFonts w:ascii="Times New Roman;Times;serif" w:hAnsi="Times New Roman;Times;serif"/>
          <w:color w:val="000000"/>
          <w:sz w:val="20"/>
        </w:rPr>
        <w:t>. On the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compliance with or performance of any of the conditions, agreements or covenants,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condition specified in this Section 6 is not satisfied when and as required to be satisfied, this Agreement may be terminated by notice from the Representatives to the Company at any time on or prior to the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7. Reimbursement of Underwriters’ Expenses.</w:t>
      </w:r>
      <w:r>
        <w:rPr>
          <w:rFonts w:ascii="Times New Roman;Times;serif" w:hAnsi="Times New Roman;Times;serif"/>
          <w:color w:val="000000"/>
          <w:sz w:val="20"/>
        </w:rPr>
        <w:t xml:space="preserve"> If this Agreement is terminated by the Representatives pursuant to Section 6, or pursuant to Section 11 or Section 12, or if the sale to the Underwriters of the Offered Shares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8. Effectiveness of this Agreement.</w:t>
      </w:r>
      <w:r>
        <w:rPr>
          <w:rFonts w:ascii="Times New Roman;Times;serif" w:hAnsi="Times New Roman;Times;serif"/>
          <w:color w:val="000000"/>
          <w:sz w:val="20"/>
        </w:rPr>
        <w:t xml:space="preserve"> This Agreement shall become effective upon the execution and delivery hereof by the parties hereto.</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9. Indemnification.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b/>
          <w:i/>
          <w:color w:val="000000"/>
          <w:sz w:val="20"/>
        </w:rPr>
        <w:t>Indemnification of the Underwriters</w:t>
      </w:r>
      <w:r>
        <w:rPr>
          <w:rFonts w:ascii="Times New Roman;Times;serif" w:hAnsi="Times New Roman;Times;serif"/>
          <w:b/>
          <w:color w:val="000000"/>
          <w:sz w:val="20"/>
        </w:rPr>
        <w:t>.</w:t>
      </w:r>
      <w:r>
        <w:rPr>
          <w:rFonts w:ascii="Times New Roman;Times;serif" w:hAnsi="Times New Roman;Times;serif"/>
          <w:color w:val="000000"/>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i/>
          <w:color w:val="000000"/>
          <w:sz w:val="20"/>
        </w:rPr>
        <w:t>provided, however</w:t>
      </w:r>
      <w:r>
        <w:rPr>
          <w:rFonts w:ascii="Times New Roman;Times;serif" w:hAnsi="Times New Roman;Times;serif"/>
          <w:color w:val="000000"/>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b/>
          <w:i/>
          <w:color w:val="000000"/>
          <w:sz w:val="20"/>
        </w:rPr>
        <w:t>Indemnification of the Company, its Directors and Officers</w:t>
      </w:r>
      <w:r>
        <w:rPr>
          <w:rFonts w:ascii="Times New Roman;Times;serif" w:hAnsi="Times New Roman;Times;serif"/>
          <w:color w:val="000000"/>
          <w:sz w:val="20"/>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second sentence of the eighth paragraph and the tenth paragraph. The indemnity agreement set forth in this Section 9(b) shall be in addition to any liabilities that each Underwriter may otherwise have.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(c) </w:t>
      </w:r>
      <w:r>
        <w:rPr>
          <w:rFonts w:ascii="Times New Roman;Times;serif" w:hAnsi="Times New Roman;Times;serif"/>
          <w:b/>
          <w:i/>
          <w:color w:val="000000"/>
          <w:sz w:val="20"/>
        </w:rPr>
        <w:t>Notifications and Other Indemnification Procedures</w:t>
      </w:r>
      <w:r>
        <w:rPr>
          <w:rFonts w:ascii="Times New Roman;Times;serif" w:hAnsi="Times New Roman;Times;serif"/>
          <w:b/>
          <w:color w:val="000000"/>
          <w:sz w:val="20"/>
        </w:rPr>
        <w:t>.</w:t>
      </w:r>
      <w:r>
        <w:rPr>
          <w:rFonts w:ascii="Times New Roman;Times;serif" w:hAnsi="Times New Roman;Times;serif"/>
          <w:color w:val="000000"/>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i/>
          <w:color w:val="000000"/>
          <w:sz w:val="20"/>
        </w:rPr>
        <w:t>provided, however</w:t>
      </w:r>
      <w:r>
        <w:rPr>
          <w:rFonts w:ascii="Times New Roman;Times;serif" w:hAnsi="Times New Roman;Times;serif"/>
          <w:color w:val="000000"/>
          <w:sz w:val="20"/>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(d) </w:t>
      </w:r>
      <w:r>
        <w:rPr>
          <w:rFonts w:ascii="Times New Roman;Times;serif" w:hAnsi="Times New Roman;Times;serif"/>
          <w:b/>
          <w:i/>
          <w:color w:val="000000"/>
          <w:sz w:val="20"/>
        </w:rPr>
        <w:t>Settlements</w:t>
      </w:r>
      <w:r>
        <w:rPr>
          <w:rFonts w:ascii="Times New Roman;Times;serif" w:hAnsi="Times New Roman;Times;serif"/>
          <w:b/>
          <w:color w:val="000000"/>
          <w:sz w:val="20"/>
        </w:rPr>
        <w:t>.</w:t>
      </w:r>
      <w:r>
        <w:rPr>
          <w:rFonts w:ascii="Times New Roman;Times;serif" w:hAnsi="Times New Roman;Times;serif"/>
          <w:color w:val="000000"/>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10. Contribution.</w:t>
      </w:r>
      <w:r>
        <w:rPr>
          <w:rFonts w:ascii="Times New Roman;Times;serif" w:hAnsi="Times New Roman;Times;serif"/>
          <w:color w:val="000000"/>
          <w:sz w:val="20"/>
        </w:rPr>
        <w:t xml:space="preserve">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 additional notice shall be required with respect to any action for which notice has been given under Section 9(c) for purposes of indemnification.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color w:val="000000"/>
          <w:sz w:val="20"/>
          <w:u w:val="single"/>
        </w:rPr>
        <w:t>Schedule A</w:t>
      </w:r>
      <w:r>
        <w:rPr>
          <w:rFonts w:ascii="Times New Roman;Times;serif" w:hAnsi="Times New Roman;Times;serif"/>
          <w:color w:val="000000"/>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11. Default of One or More of the Several Underwriters</w:t>
      </w:r>
      <w:r>
        <w:rPr>
          <w:rFonts w:ascii="Times New Roman;Times;serif" w:hAnsi="Times New Roman;Times;serif"/>
          <w:i/>
          <w:color w:val="000000"/>
          <w:sz w:val="20"/>
        </w:rPr>
        <w:t>.</w:t>
      </w:r>
      <w:r>
        <w:rPr>
          <w:rFonts w:ascii="Times New Roman;Times;serif" w:hAnsi="Times New Roman;Times;serif"/>
          <w:color w:val="000000"/>
          <w:sz w:val="20"/>
        </w:rPr>
        <w:t xml:space="preserve"> If, on the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Offered Shares set forth opposite their respective names on </w:t>
      </w:r>
      <w:r>
        <w:rPr>
          <w:rFonts w:ascii="Times New Roman;Times;serif" w:hAnsi="Times New Roman;Times;serif"/>
          <w:color w:val="000000"/>
          <w:sz w:val="20"/>
          <w:u w:val="single"/>
        </w:rPr>
        <w:t>Schedule A</w:t>
      </w:r>
      <w:r>
        <w:rPr>
          <w:rFonts w:ascii="Times New Roman;Times;serif" w:hAnsi="Times New Roman;Times;serif"/>
          <w:color w:val="000000"/>
          <w:sz w:val="20"/>
        </w:rPr>
        <w:t xml:space="preserve"> bears to the aggregate number of Offered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and the Prospectus or any other documents or arrangements may be effected.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used in this Agreement, the term “</w:t>
      </w:r>
      <w:r>
        <w:rPr>
          <w:rFonts w:ascii="Times New Roman;Times;serif" w:hAnsi="Times New Roman;Times;serif"/>
          <w:b/>
          <w:color w:val="000000"/>
          <w:sz w:val="20"/>
        </w:rPr>
        <w:t>Underwriter</w:t>
      </w:r>
      <w:r>
        <w:rPr>
          <w:rFonts w:ascii="Times New Roman;Times;serif" w:hAnsi="Times New Roman;Times;serif"/>
          <w:color w:val="000000"/>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12. Termination of this Agreement</w:t>
      </w:r>
      <w:r>
        <w:rPr>
          <w:rFonts w:ascii="Times New Roman;Times;serif" w:hAnsi="Times New Roman;Times;serif"/>
          <w:b/>
          <w:i/>
          <w:color w:val="000000"/>
          <w:sz w:val="20"/>
        </w:rPr>
        <w:t>.</w:t>
      </w:r>
      <w:r>
        <w:rPr>
          <w:rFonts w:ascii="Times New Roman;Times;serif" w:hAnsi="Times New Roman;Times;serif"/>
          <w:color w:val="000000"/>
          <w:sz w:val="20"/>
        </w:rPr>
        <w:t xml:space="preserve"> Prior to the purchase of the Offered Shares by the Underwriters on the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Israeli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the United States’, Israel’s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Times;serif" w:hAnsi="Times New Roman;Times;serif"/>
          <w:i/>
          <w:color w:val="000000"/>
          <w:sz w:val="20"/>
        </w:rPr>
        <w:t>provided, however</w:t>
      </w:r>
      <w:r>
        <w:rPr>
          <w:rFonts w:ascii="Times New Roman;Times;serif" w:hAnsi="Times New Roman;Times;serif"/>
          <w:color w:val="000000"/>
          <w:sz w:val="20"/>
        </w:rPr>
        <w:t>, that the provisions of Section 9 and Section 10 shall at all times be effective and shall survive such termination.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Section 13. No Advisory or Fiduciary Relationship. </w:t>
      </w:r>
      <w:r>
        <w:rPr>
          <w:rFonts w:ascii="Times New Roman;Times;serif" w:hAnsi="Times New Roman;Times;serif"/>
          <w:color w:val="000000"/>
          <w:sz w:val="20"/>
        </w:rPr>
        <w:t>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14. Representations and Indemnities to Survive Delivery</w:t>
      </w:r>
      <w:r>
        <w:rPr>
          <w:rFonts w:ascii="Times New Roman;Times;serif" w:hAnsi="Times New Roman;Times;serif"/>
          <w:b/>
          <w:i/>
          <w:color w:val="000000"/>
          <w:sz w:val="20"/>
        </w:rPr>
        <w:t>.</w:t>
      </w:r>
      <w:r>
        <w:rPr>
          <w:rFonts w:ascii="Times New Roman;Times;serif" w:hAnsi="Times New Roman;Times;serif"/>
          <w:color w:val="000000"/>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15. Notices.</w:t>
      </w:r>
      <w:r>
        <w:rPr>
          <w:rFonts w:ascii="Times New Roman;Times;serif" w:hAnsi="Times New Roman;Times;serif"/>
          <w:color w:val="000000"/>
          <w:sz w:val="20"/>
        </w:rPr>
        <w:t xml:space="preserve"> All communications hereunder shall be in writing and shall be mailed, hand delivered or telecopied and confirmed to the parties hereto as follows: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f16f0aaa4eb04a709bb90f686f21c29f"/>
      <w:bookmarkStart w:id="11" w:name="zf16f0aaa4eb04a709bb90f686f21c29f"/>
      <w:bookmarkEnd w:id="11"/>
    </w:p>
    <w:tbl>
      <w:tblPr>
        <w:tblW w:w="4968" w:type="dxa"/>
        <w:jc w:val="left"/>
        <w:tblInd w:w="0" w:type="dxa"/>
        <w:tblLayout w:type="fixed"/>
        <w:tblCellMar>
          <w:top w:w="0" w:type="dxa"/>
          <w:left w:w="0" w:type="dxa"/>
          <w:bottom w:w="0" w:type="dxa"/>
          <w:right w:w="0" w:type="dxa"/>
        </w:tblCellMar>
      </w:tblPr>
      <w:tblGrid>
        <w:gridCol w:w="38"/>
        <w:gridCol w:w="2360"/>
        <w:gridCol w:w="2570"/>
      </w:tblGrid>
      <w:tr>
        <w:trPr/>
        <w:tc>
          <w:tcPr>
            <w:tcW w:w="38" w:type="dxa"/>
            <w:tcBorders/>
            <w:vAlign w:val="center"/>
          </w:tcPr>
          <w:p>
            <w:pPr>
              <w:pStyle w:val="TableContents"/>
              <w:bidi w:val="0"/>
              <w:spacing w:before="0" w:after="283"/>
              <w:jc w:val="left"/>
              <w:rPr/>
            </w:pPr>
            <w:r>
              <w:rPr/>
            </w:r>
          </w:p>
        </w:tc>
        <w:tc>
          <w:tcPr>
            <w:tcW w:w="2360" w:type="dxa"/>
            <w:tcBorders/>
            <w:vAlign w:val="center"/>
          </w:tcPr>
          <w:p>
            <w:pPr>
              <w:pStyle w:val="TableContents"/>
              <w:bidi w:val="0"/>
              <w:spacing w:before="0" w:after="283"/>
              <w:jc w:val="left"/>
              <w:rPr/>
            </w:pPr>
            <w:r>
              <w:rPr/>
              <w:t>If to the Representatives:</w:t>
            </w:r>
          </w:p>
        </w:tc>
        <w:tc>
          <w:tcPr>
            <w:tcW w:w="2570" w:type="dxa"/>
            <w:tcBorders/>
            <w:vAlign w:val="center"/>
          </w:tcPr>
          <w:p>
            <w:pPr>
              <w:pStyle w:val="TableContents"/>
              <w:bidi w:val="0"/>
              <w:spacing w:before="0" w:after="0"/>
              <w:jc w:val="left"/>
              <w:rPr/>
            </w:pPr>
            <w:r>
              <w:rPr/>
              <w:t>TD Securities (USA) LLC</w:t>
            </w:r>
          </w:p>
        </w:tc>
      </w:tr>
    </w:tbl>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1 Vanderbilt Avenue</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New York, New York 10017</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Attention: Head of Equity Capital Markets, with a copy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LifeSci Capital LLC</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1700 Broadway, 40th Floor</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10019</w:t>
      </w:r>
    </w:p>
    <w:p>
      <w:pPr>
        <w:pStyle w:val="TextBody"/>
        <w:bidi w:val="0"/>
        <w:spacing w:lineRule="auto" w:line="300" w:before="0" w:after="0"/>
        <w:ind w:left="3600" w:right="0" w:hanging="0"/>
        <w:jc w:val="left"/>
        <w:rPr/>
      </w:pPr>
      <w:r>
        <w:rPr/>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with a copy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with copies (which shall not constitute notice) to:</w:t>
        <w:br/>
        <w:br/>
        <w:t>Paul Hastings LLP</w:t>
        <w:br/>
        <w:t>620 Eighth Avenue</w:t>
        <w:br/>
        <w:t>New York, New York 10018</w:t>
        <w:br/>
        <w:t>Attention: Seo Salimi and Will Magioncalda</w:t>
        <w:br/>
        <w:br/>
        <w:t>Gornitzky &amp; Co.</w:t>
        <w:br/>
        <w:t>Vitania Tel-Aviv Tower</w:t>
        <w:br/>
        <w:t>20 Haharash St.</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Tel Aviv, 6761310, Israel</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Attention: Chaim Friedland and Ari Fried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 w:name="zde63cd20c8e84e7dbec71f79de89505e"/>
      <w:bookmarkStart w:id="13" w:name="zde63cd20c8e84e7dbec71f79de89505e"/>
      <w:bookmarkEnd w:id="13"/>
    </w:p>
    <w:tbl>
      <w:tblPr>
        <w:tblW w:w="6408" w:type="dxa"/>
        <w:jc w:val="left"/>
        <w:tblInd w:w="0" w:type="dxa"/>
        <w:tblLayout w:type="fixed"/>
        <w:tblCellMar>
          <w:top w:w="0" w:type="dxa"/>
          <w:left w:w="0" w:type="dxa"/>
          <w:bottom w:w="0" w:type="dxa"/>
          <w:right w:w="0" w:type="dxa"/>
        </w:tblCellMar>
      </w:tblPr>
      <w:tblGrid>
        <w:gridCol w:w="38"/>
        <w:gridCol w:w="1805"/>
        <w:gridCol w:w="4565"/>
      </w:tblGrid>
      <w:tr>
        <w:trPr/>
        <w:tc>
          <w:tcPr>
            <w:tcW w:w="38" w:type="dxa"/>
            <w:tcBorders/>
            <w:vAlign w:val="center"/>
          </w:tcPr>
          <w:p>
            <w:pPr>
              <w:pStyle w:val="TableContents"/>
              <w:bidi w:val="0"/>
              <w:spacing w:before="0" w:after="283"/>
              <w:jc w:val="left"/>
              <w:rPr/>
            </w:pPr>
            <w:r>
              <w:rPr/>
            </w:r>
          </w:p>
        </w:tc>
        <w:tc>
          <w:tcPr>
            <w:tcW w:w="1805" w:type="dxa"/>
            <w:tcBorders/>
            <w:vAlign w:val="center"/>
          </w:tcPr>
          <w:p>
            <w:pPr>
              <w:pStyle w:val="TableContents"/>
              <w:bidi w:val="0"/>
              <w:spacing w:before="0" w:after="283"/>
              <w:jc w:val="left"/>
              <w:rPr/>
            </w:pPr>
            <w:r>
              <w:rPr/>
              <w:t>If to the Company:</w:t>
            </w:r>
          </w:p>
        </w:tc>
        <w:tc>
          <w:tcPr>
            <w:tcW w:w="4565" w:type="dxa"/>
            <w:tcBorders/>
            <w:vAlign w:val="center"/>
          </w:tcPr>
          <w:p>
            <w:pPr>
              <w:pStyle w:val="TableContents"/>
              <w:bidi w:val="0"/>
              <w:spacing w:before="0" w:after="0"/>
              <w:jc w:val="left"/>
              <w:rPr/>
            </w:pPr>
            <w:r>
              <w:rPr/>
              <w:t>Sol-Gel Technologies Ltd.</w:t>
              <w:br/>
              <w:t>7 Golda Meir St., Weizmann Science Park</w:t>
              <w:br/>
              <w:t>Ness Ziona, 7403650, Israel</w:t>
            </w:r>
          </w:p>
          <w:p>
            <w:pPr>
              <w:pStyle w:val="TableContents"/>
              <w:bidi w:val="0"/>
              <w:spacing w:lineRule="auto" w:line="300" w:before="0" w:after="0"/>
              <w:jc w:val="left"/>
              <w:rPr/>
            </w:pPr>
            <w:r>
              <w:rPr/>
              <w:t>Attention: Eyal Ben-Or, Chief Financial Officer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3600" w:right="0" w:hanging="288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br/>
        <w:br/>
        <w:t>Greenberg Traurig, LLP</w:t>
        <w:br/>
        <w:t>One Vanderbilt Avenue</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10017</w:t>
        <w:br/>
        <w:t>Attention: Gary Emmanuel</w:t>
        <w:br/>
        <w:br/>
        <w:t>Goldfarb Gross Seligman</w:t>
        <w:br/>
        <w:t>1 Azrieli Center</w:t>
      </w:r>
    </w:p>
    <w:p>
      <w:pPr>
        <w:pStyle w:val="TextBody"/>
        <w:bidi w:val="0"/>
        <w:spacing w:lineRule="auto" w:line="300" w:before="0" w:after="0"/>
        <w:ind w:left="3600" w:right="0" w:hanging="0"/>
        <w:jc w:val="left"/>
        <w:rPr>
          <w:rFonts w:ascii="Times New Roman;Times;serif" w:hAnsi="Times New Roman;Times;serif"/>
          <w:color w:val="000000"/>
          <w:sz w:val="20"/>
        </w:rPr>
      </w:pPr>
      <w:r>
        <w:rPr>
          <w:rFonts w:ascii="Times New Roman;Times;serif" w:hAnsi="Times New Roman;Times;serif"/>
          <w:color w:val="000000"/>
          <w:sz w:val="20"/>
        </w:rPr>
        <w:t>Tel Aviv, 6701101, Israel</w:t>
        <w:br/>
        <w:t>Attention: Perry Wildes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party hereto may change the address for receipt of communications by giving written notice to the others.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16. Successors</w:t>
      </w:r>
      <w:r>
        <w:rPr>
          <w:rFonts w:ascii="Times New Roman;Times;serif" w:hAnsi="Times New Roman;Times;serif"/>
          <w:b/>
          <w:i/>
          <w:color w:val="000000"/>
          <w:sz w:val="20"/>
        </w:rPr>
        <w:t>.</w:t>
      </w:r>
      <w:r>
        <w:rPr>
          <w:rFonts w:ascii="Times New Roman;Times;serif" w:hAnsi="Times New Roman;Times;serif"/>
          <w:color w:val="000000"/>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Shares as such from any of the Underwriters merely by reason of such purchase.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17. Partial Unenforceability.</w:t>
      </w:r>
      <w:r>
        <w:rPr>
          <w:rFonts w:ascii="Times New Roman;Times;serif" w:hAnsi="Times New Roman;Times;serif"/>
          <w:color w:val="000000"/>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18. Recognition of the U.S. Special Resolution Regimes.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(a) </w:t>
      </w:r>
      <w:r>
        <w:rPr>
          <w:rFonts w:ascii="Times New Roman;Times;serif" w:hAnsi="Times New Roman;Times;serif"/>
          <w:color w:val="000000"/>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1440"/>
        <w:jc w:val="both"/>
        <w:rPr>
          <w:rFonts w:ascii="Times New Roman;Times;serif" w:hAnsi="Times New Roman;Times;serif"/>
          <w:color w:val="000000"/>
          <w:sz w:val="20"/>
        </w:rPr>
      </w:pPr>
      <w:r>
        <w:rPr>
          <w:rFonts w:ascii="Times New Roman;Times;serif" w:hAnsi="Times New Roman;Times;serif"/>
          <w:b/>
          <w:color w:val="000000"/>
          <w:sz w:val="20"/>
        </w:rPr>
        <w:t xml:space="preserve">(b) </w:t>
      </w:r>
      <w:r>
        <w:rPr>
          <w:rFonts w:ascii="Times New Roman;Times;serif" w:hAnsi="Times New Roman;Times;serif"/>
          <w:color w:val="000000"/>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For purposes of this Agreement, (A) “</w:t>
      </w:r>
      <w:r>
        <w:rPr>
          <w:rFonts w:ascii="Times New Roman;Times;serif" w:hAnsi="Times New Roman;Times;serif"/>
          <w:b/>
          <w:color w:val="000000"/>
          <w:sz w:val="20"/>
        </w:rPr>
        <w:t>BHC Act Affiliate</w:t>
      </w:r>
      <w:r>
        <w:rPr>
          <w:rFonts w:ascii="Times New Roman;Times;serif" w:hAnsi="Times New Roman;Times;serif"/>
          <w:color w:val="000000"/>
          <w:sz w:val="20"/>
        </w:rPr>
        <w:t>” has the meaning assigned to the term “affiliate” in, and shall be interpreted in accordance with, 12 U.S.C. § 1841(k); (B) “</w:t>
      </w:r>
      <w:r>
        <w:rPr>
          <w:rFonts w:ascii="Times New Roman;Times;serif" w:hAnsi="Times New Roman;Times;serif"/>
          <w:b/>
          <w:color w:val="000000"/>
          <w:sz w:val="20"/>
        </w:rPr>
        <w:t>Covered Entity</w:t>
      </w:r>
      <w:r>
        <w:rPr>
          <w:rFonts w:ascii="Times New Roman;Times;serif" w:hAnsi="Times New Roman;Times;serif"/>
          <w:color w:val="000000"/>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color w:val="000000"/>
          <w:sz w:val="20"/>
        </w:rPr>
        <w:t>Default Right</w:t>
      </w:r>
      <w:r>
        <w:rPr>
          <w:rFonts w:ascii="Times New Roman;Times;serif" w:hAnsi="Times New Roman;Times;serif"/>
          <w:color w:val="000000"/>
          <w:sz w:val="20"/>
        </w:rPr>
        <w:t>” has the meaning assigned to that term in, and shall be interpreted in accordance with, 12 C.F.R. §§ 252.81, 47.2 or 382.1, as applicable; and (D) “</w:t>
      </w:r>
      <w:r>
        <w:rPr>
          <w:rFonts w:ascii="Times New Roman;Times;serif" w:hAnsi="Times New Roman;Times;serif"/>
          <w:b/>
          <w:color w:val="000000"/>
          <w:sz w:val="20"/>
        </w:rPr>
        <w:t>U.S. Special Resolution Regime</w:t>
      </w:r>
      <w:r>
        <w:rPr>
          <w:rFonts w:ascii="Times New Roman;Times;serif" w:hAnsi="Times New Roman;Times;serif"/>
          <w:color w:val="000000"/>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19. Governing Law Provisions; Currency Provisions</w:t>
      </w:r>
      <w:r>
        <w:rPr>
          <w:rFonts w:ascii="Times New Roman;Times;serif" w:hAnsi="Times New Roman;Times;serif"/>
          <w:b/>
          <w:i/>
          <w:color w:val="000000"/>
          <w:sz w:val="20"/>
        </w:rPr>
        <w:t>.</w:t>
      </w:r>
      <w:r>
        <w:rPr>
          <w:rFonts w:ascii="Times New Roman;Times;serif" w:hAnsi="Times New Roman;Times;serif"/>
          <w:color w:val="000000"/>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Times;serif" w:hAnsi="Times New Roman;Times;serif"/>
          <w:b/>
          <w:color w:val="000000"/>
          <w:sz w:val="20"/>
        </w:rPr>
        <w:t>Related Proceedings</w:t>
      </w:r>
      <w:r>
        <w:rPr>
          <w:rFonts w:ascii="Times New Roman;Times;serif" w:hAnsi="Times New Roman;Times;serif"/>
          <w:color w:val="000000"/>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color w:val="000000"/>
          <w:sz w:val="20"/>
        </w:rPr>
        <w:t>Specified Courts</w:t>
      </w:r>
      <w:r>
        <w:rPr>
          <w:rFonts w:ascii="Times New Roman;Times;serif" w:hAnsi="Times New Roman;Times;serif"/>
          <w:color w:val="000000"/>
          <w:sz w:val="20"/>
        </w:rPr>
        <w:t>”), and each party irrevocably submits to the exclusive jurisdiction (except for proceedings instituted in regard to the enforcement of a judgment of any such court (a “</w:t>
      </w:r>
      <w:r>
        <w:rPr>
          <w:rFonts w:ascii="Times New Roman;Times;serif" w:hAnsi="Times New Roman;Times;serif"/>
          <w:b/>
          <w:color w:val="000000"/>
          <w:sz w:val="20"/>
        </w:rPr>
        <w:t>Related Judgment</w:t>
      </w:r>
      <w:r>
        <w:rPr>
          <w:rFonts w:ascii="Times New Roman;Times;serif" w:hAnsi="Times New Roman;Times;serif"/>
          <w:color w:val="000000"/>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Puglisi &amp; Associates, 850 Library Avenue, Suite 204, Newark, Delaware 19711, as its agent to receive service of process or other legal summons for purposes of any such suit, action or proceeding that may be instituted in any state or federal court in the Borough of Manhattan in the City of New York, United States of America.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payments made or deemed to be made by the Company to the Underwriters,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or similar taxes) imposed or levied by or on behalf of the State of Israel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their respective affiliates, directors, officers, employees and each person controlling any Underwriter, as the case may be, of the amounts that would otherwise have been receivable in respect thereof had such deduction or withholding not been required. Notwithstanding the foregoing, in no event shall the Company be liable to pay any such additional amounts with respect to taxes, withholding or deduction imposed on an Underwriter by the State of Israel or any political subdivision or taxing authority thereof or therein as set forth above as a result of the Underwriter being (currently or in the past) a tax resident of, or having a permanent establishment in, the State of Israel or as a result of any present or former connection (other than any connection arising from the entering into this Agreement and any connection resulting from the transactions contemplated by this Agreement) between the Underwriter and the State of Israel or, to the extent resulting from the Underwriter’s services under this Agreement having been performed by the Underwriter inside the State of Israel. If requested by the Company, the relevant Underwriter shall reasonably cooperate with the Company, by providing reasonably required customary information or documentation that the relevant Underwriter is legally entitled to provide and the provision of which does not cause a material prejudice to such Underwriter’s legal or commercial position, to the extent necessary for the Company to obtain an exemption certificate or a tax certificate confirming eligibility for a reduced rate of withholding or deduction, in connection with the payments under this Agreement. Upon request, the Company shall provide to the Underwriters evidence of any amounts withheld or deducted pursuant to the terms hereof and shall also provide to the Underwriters any official tax receipt or other documentation issued by the appropriate governmental authorities with respect to the payment of such amounts to such governmental authorities. All sums payable, paid or deemed payable under this Agreement shall be considered exclusive of value added tax, sales tax or other similar taxes which, to the extent applicable, shall be borne by, paid, collected and remitted by the Company in accordance with applicable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 General Provisions.</w:t>
      </w:r>
      <w:r>
        <w:rPr>
          <w:rFonts w:ascii="Times New Roman;Times;serif" w:hAnsi="Times New Roman;Times;serif"/>
          <w:color w:val="000000"/>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xml:space="preserve">  </w:t>
      </w:r>
      <w:bookmarkStart w:id="14" w:name="zd834f7379d9545e7baa4eea475df3459"/>
      <w:bookmarkEnd w:id="14"/>
    </w:p>
    <w:tbl>
      <w:tblPr>
        <w:tblW w:w="4970" w:type="dxa"/>
        <w:jc w:val="left"/>
        <w:tblInd w:w="0" w:type="dxa"/>
        <w:tblLayout w:type="fixed"/>
        <w:tblCellMar>
          <w:top w:w="0" w:type="dxa"/>
          <w:left w:w="0" w:type="dxa"/>
          <w:bottom w:w="0" w:type="dxa"/>
          <w:right w:w="0" w:type="dxa"/>
        </w:tblCellMar>
      </w:tblPr>
      <w:tblGrid>
        <w:gridCol w:w="60"/>
        <w:gridCol w:w="4910"/>
      </w:tblGrid>
      <w:tr>
        <w:trPr/>
        <w:tc>
          <w:tcPr>
            <w:tcW w:w="60" w:type="dxa"/>
            <w:tcBorders/>
            <w:vAlign w:val="center"/>
          </w:tcPr>
          <w:p>
            <w:pPr>
              <w:pStyle w:val="TableContents"/>
              <w:bidi w:val="0"/>
              <w:spacing w:before="0" w:after="0"/>
              <w:jc w:val="left"/>
              <w:rPr/>
            </w:pPr>
            <w:r>
              <w:rPr/>
              <w:t> </w:t>
            </w:r>
          </w:p>
        </w:tc>
        <w:tc>
          <w:tcPr>
            <w:tcW w:w="49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Very truly yours,</w:t>
              <w:br/>
              <w:br/>
            </w:r>
            <w:r>
              <w:rPr>
                <w:rFonts w:ascii="Times New Roman;Times;serif" w:hAnsi="Times New Roman;Times;serif"/>
                <w:b/>
              </w:rPr>
              <w:t>SOL-GEL TECHNOLOGIES LTD.</w:t>
            </w:r>
            <w:r>
              <w:rPr>
                <w:rFonts w:ascii="Times New Roman;Times;serif" w:hAnsi="Times New Roman;Times;serif"/>
              </w:rPr>
              <w:br/>
              <w:br/>
              <w:t xml:space="preserve">By: </w:t>
            </w:r>
            <w:r>
              <w:rPr>
                <w:rFonts w:ascii="Times New Roman;Times;serif" w:hAnsi="Times New Roman;Times;serif"/>
                <w:u w:val="single"/>
              </w:rPr>
              <w:t xml:space="preserve">/s/ Eyal Ben-Or                                                  </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Name: Eyal Ben-Or</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Title: Chief Financial Officer</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foregoing Underwriting Agreement is hereby confirmed and accepted by the Representatives in New York, New York as of the date first above written.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TD SECURITIES (USA) LLC</w:t>
      </w:r>
      <w:r>
        <w:rPr>
          <w:rFonts w:ascii="Times New Roman;Times;serif" w:hAnsi="Times New Roman;Times;serif"/>
          <w:color w:val="000000"/>
          <w:sz w:val="20"/>
        </w:rPr>
        <w:br/>
      </w:r>
      <w:r>
        <w:rPr>
          <w:rFonts w:ascii="Times New Roman;Times;serif" w:hAnsi="Times New Roman;Times;serif"/>
          <w:b/>
          <w:color w:val="000000"/>
          <w:sz w:val="20"/>
        </w:rPr>
        <w:t>LIFESCI CAPITAL LLC</w:t>
      </w:r>
      <w:r>
        <w:rPr>
          <w:rFonts w:ascii="Times New Roman;Times;serif" w:hAnsi="Times New Roman;Times;serif"/>
          <w:color w:val="000000"/>
          <w:sz w:val="20"/>
        </w:rPr>
        <w:br/>
        <w:br/>
        <w:t>Acting individually and as Representatives</w:t>
        <w:br/>
        <w:t>of the several Underwriters named in</w:t>
        <w:br/>
        <w:t>the attached Schedule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TD SECURITIES (USA) LLC</w:t>
      </w:r>
      <w:r>
        <w:rPr>
          <w:rFonts w:ascii="Times New Roman;Times;serif" w:hAnsi="Times New Roman;Times;serif"/>
          <w:color w:val="000000"/>
          <w:sz w:val="20"/>
        </w:rPr>
        <w:t xml:space="preserve">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lineRule="auto" w:line="300" w:before="0" w:after="0"/>
        <w:jc w:val="left"/>
        <w:rPr>
          <w:sz w:val="4"/>
          <w:szCs w:val="4"/>
        </w:rPr>
      </w:pPr>
      <w:r>
        <w:rPr>
          <w:sz w:val="4"/>
          <w:szCs w:val="4"/>
        </w:rPr>
      </w:r>
      <w:bookmarkStart w:id="15" w:name="z874ada21d60745bd975eaf4e2d89c35b"/>
      <w:bookmarkStart w:id="16" w:name="z874ada21d60745bd975eaf4e2d89c35b"/>
      <w:bookmarkEnd w:id="16"/>
    </w:p>
    <w:tbl>
      <w:tblPr>
        <w:tblW w:w="1915" w:type="dxa"/>
        <w:jc w:val="left"/>
        <w:tblInd w:w="0" w:type="dxa"/>
        <w:tblLayout w:type="fixed"/>
        <w:tblCellMar>
          <w:top w:w="0" w:type="dxa"/>
          <w:left w:w="0" w:type="dxa"/>
          <w:bottom w:w="0" w:type="dxa"/>
          <w:right w:w="0" w:type="dxa"/>
        </w:tblCellMar>
      </w:tblPr>
      <w:tblGrid>
        <w:gridCol w:w="380"/>
        <w:gridCol w:w="1535"/>
      </w:tblGrid>
      <w:tr>
        <w:trPr/>
        <w:tc>
          <w:tcPr>
            <w:tcW w:w="380" w:type="dxa"/>
            <w:tcBorders/>
            <w:vAlign w:val="center"/>
          </w:tcPr>
          <w:p>
            <w:pPr>
              <w:pStyle w:val="TableContents"/>
              <w:bidi w:val="0"/>
              <w:spacing w:lineRule="auto" w:line="300" w:before="0" w:after="0"/>
              <w:jc w:val="left"/>
              <w:rPr/>
            </w:pPr>
            <w:r>
              <w:rPr/>
              <w:t>By:</w:t>
            </w:r>
          </w:p>
        </w:tc>
        <w:tc>
          <w:tcPr>
            <w:tcW w:w="1535" w:type="dxa"/>
            <w:tcBorders/>
            <w:vAlign w:val="center"/>
          </w:tcPr>
          <w:p>
            <w:pPr>
              <w:pStyle w:val="TableContents"/>
              <w:bidi w:val="0"/>
              <w:spacing w:lineRule="auto" w:line="300" w:before="0" w:after="0"/>
              <w:jc w:val="left"/>
              <w:rPr>
                <w:u w:val="single"/>
              </w:rPr>
            </w:pPr>
            <w:r>
              <w:rPr>
                <w:u w:val="single"/>
              </w:rPr>
              <w:t>/s/ Casey Chase</w:t>
            </w:r>
          </w:p>
        </w:tc>
      </w:tr>
    </w:tbl>
    <w:p>
      <w:pPr>
        <w:pStyle w:val="Normal"/>
        <w:bidi w:val="0"/>
        <w:spacing w:before="0" w:after="0"/>
        <w:jc w:val="left"/>
        <w:rPr>
          <w:sz w:val="4"/>
          <w:szCs w:val="4"/>
        </w:rPr>
      </w:pPr>
      <w:r>
        <w:rPr>
          <w:sz w:val="4"/>
          <w:szCs w:val="4"/>
        </w:rPr>
      </w:r>
      <w:bookmarkStart w:id="17" w:name="z3c4c43fa882c439ba85aa8394c5935ec"/>
      <w:bookmarkStart w:id="18" w:name="z3c4c43fa882c439ba85aa8394c5935ec"/>
      <w:bookmarkEnd w:id="18"/>
    </w:p>
    <w:tbl>
      <w:tblPr>
        <w:tblW w:w="1930" w:type="dxa"/>
        <w:jc w:val="left"/>
        <w:tblInd w:w="0" w:type="dxa"/>
        <w:tblLayout w:type="fixed"/>
        <w:tblCellMar>
          <w:top w:w="0" w:type="dxa"/>
          <w:left w:w="0" w:type="dxa"/>
          <w:bottom w:w="0" w:type="dxa"/>
          <w:right w:w="0" w:type="dxa"/>
        </w:tblCellMar>
      </w:tblPr>
      <w:tblGrid>
        <w:gridCol w:w="665"/>
        <w:gridCol w:w="1265"/>
      </w:tblGrid>
      <w:tr>
        <w:trPr/>
        <w:tc>
          <w:tcPr>
            <w:tcW w:w="665" w:type="dxa"/>
            <w:tcBorders/>
            <w:vAlign w:val="center"/>
          </w:tcPr>
          <w:p>
            <w:pPr>
              <w:pStyle w:val="TableContents"/>
              <w:bidi w:val="0"/>
              <w:spacing w:lineRule="auto" w:line="300" w:before="0" w:after="0"/>
              <w:jc w:val="left"/>
              <w:rPr/>
            </w:pPr>
            <w:r>
              <w:rPr/>
              <w:t>Name:</w:t>
            </w:r>
          </w:p>
        </w:tc>
        <w:tc>
          <w:tcPr>
            <w:tcW w:w="1265" w:type="dxa"/>
            <w:tcBorders/>
            <w:vAlign w:val="center"/>
          </w:tcPr>
          <w:p>
            <w:pPr>
              <w:pStyle w:val="TableContents"/>
              <w:bidi w:val="0"/>
              <w:spacing w:lineRule="auto" w:line="300" w:before="0" w:after="0"/>
              <w:jc w:val="left"/>
              <w:rPr/>
            </w:pPr>
            <w:r>
              <w:rPr/>
              <w:t>Casey Chase</w:t>
            </w:r>
          </w:p>
        </w:tc>
      </w:tr>
    </w:tbl>
    <w:p>
      <w:pPr>
        <w:pStyle w:val="Normal"/>
        <w:bidi w:val="0"/>
        <w:spacing w:before="0" w:after="0"/>
        <w:jc w:val="left"/>
        <w:rPr>
          <w:sz w:val="4"/>
          <w:szCs w:val="4"/>
        </w:rPr>
      </w:pPr>
      <w:r>
        <w:rPr>
          <w:sz w:val="4"/>
          <w:szCs w:val="4"/>
        </w:rPr>
      </w:r>
      <w:bookmarkStart w:id="19" w:name="z37e893dce8c9414a9e116d5eada6c09f"/>
      <w:bookmarkStart w:id="20" w:name="z37e893dce8c9414a9e116d5eada6c09f"/>
      <w:bookmarkEnd w:id="20"/>
    </w:p>
    <w:tbl>
      <w:tblPr>
        <w:tblW w:w="1345" w:type="dxa"/>
        <w:jc w:val="left"/>
        <w:tblInd w:w="0" w:type="dxa"/>
        <w:tblLayout w:type="fixed"/>
        <w:tblCellMar>
          <w:top w:w="0" w:type="dxa"/>
          <w:left w:w="0" w:type="dxa"/>
          <w:bottom w:w="0" w:type="dxa"/>
          <w:right w:w="0" w:type="dxa"/>
        </w:tblCellMar>
      </w:tblPr>
      <w:tblGrid>
        <w:gridCol w:w="530"/>
        <w:gridCol w:w="815"/>
      </w:tblGrid>
      <w:tr>
        <w:trPr/>
        <w:tc>
          <w:tcPr>
            <w:tcW w:w="530" w:type="dxa"/>
            <w:tcBorders/>
            <w:vAlign w:val="center"/>
          </w:tcPr>
          <w:p>
            <w:pPr>
              <w:pStyle w:val="TableContents"/>
              <w:bidi w:val="0"/>
              <w:spacing w:lineRule="auto" w:line="300" w:before="0" w:after="0"/>
              <w:jc w:val="left"/>
              <w:rPr/>
            </w:pPr>
            <w:r>
              <w:rPr/>
              <w:t>Title:</w:t>
            </w:r>
          </w:p>
        </w:tc>
        <w:tc>
          <w:tcPr>
            <w:tcW w:w="815" w:type="dxa"/>
            <w:tcBorders/>
            <w:vAlign w:val="center"/>
          </w:tcPr>
          <w:p>
            <w:pPr>
              <w:pStyle w:val="TableContents"/>
              <w:bidi w:val="0"/>
              <w:spacing w:lineRule="auto" w:line="300" w:before="0" w:after="0"/>
              <w:jc w:val="left"/>
              <w:rPr/>
            </w:pPr>
            <w:r>
              <w:rPr/>
              <w:t>Director</w:t>
            </w:r>
          </w:p>
        </w:tc>
      </w:tr>
    </w:tbl>
    <w:p>
      <w:pPr>
        <w:pStyle w:val="TextBody"/>
        <w:bidi w:val="0"/>
        <w:spacing w:lineRule="auto" w:line="300" w:before="0" w:after="0"/>
        <w:jc w:val="left"/>
        <w:rPr>
          <w:color w:val="000000"/>
        </w:rPr>
      </w:pPr>
      <w:r>
        <w:rPr>
          <w:color w:val="000000"/>
        </w:rPr>
        <w:t> </w:t>
      </w:r>
    </w:p>
    <w:p>
      <w:pPr>
        <w:pStyle w:val="TextBody"/>
        <w:bidi w:val="0"/>
        <w:spacing w:lineRule="auto" w:line="300"/>
        <w:jc w:val="left"/>
        <w:rPr>
          <w:rFonts w:ascii="Times New Roman;Times;serif" w:hAnsi="Times New Roman;Times;serif"/>
          <w:b/>
          <w:color w:val="000000"/>
          <w:sz w:val="20"/>
        </w:rPr>
      </w:pPr>
      <w:r>
        <w:rPr>
          <w:rFonts w:ascii="Times New Roman;Times;serif" w:hAnsi="Times New Roman;Times;serif"/>
          <w:b/>
          <w:color w:val="000000"/>
          <w:sz w:val="20"/>
        </w:rPr>
        <w:t>LIFESCI CAPITAL LLC</w:t>
      </w:r>
    </w:p>
    <w:tbl>
      <w:tblPr>
        <w:tblW w:w="2545" w:type="dxa"/>
        <w:jc w:val="left"/>
        <w:tblInd w:w="0" w:type="dxa"/>
        <w:tblLayout w:type="fixed"/>
        <w:tblCellMar>
          <w:top w:w="0" w:type="dxa"/>
          <w:left w:w="0" w:type="dxa"/>
          <w:bottom w:w="0" w:type="dxa"/>
          <w:right w:w="0" w:type="dxa"/>
        </w:tblCellMar>
      </w:tblPr>
      <w:tblGrid>
        <w:gridCol w:w="380"/>
        <w:gridCol w:w="2165"/>
      </w:tblGrid>
      <w:tr>
        <w:trPr/>
        <w:tc>
          <w:tcPr>
            <w:tcW w:w="380" w:type="dxa"/>
            <w:tcBorders/>
            <w:vAlign w:val="center"/>
          </w:tcPr>
          <w:p>
            <w:pPr>
              <w:pStyle w:val="TableContents"/>
              <w:bidi w:val="0"/>
              <w:spacing w:lineRule="auto" w:line="300" w:before="0" w:after="0"/>
              <w:jc w:val="left"/>
              <w:rPr/>
            </w:pPr>
            <w:r>
              <w:rPr/>
              <w:t>By:</w:t>
            </w:r>
          </w:p>
        </w:tc>
        <w:tc>
          <w:tcPr>
            <w:tcW w:w="2165" w:type="dxa"/>
            <w:tcBorders/>
            <w:vAlign w:val="center"/>
          </w:tcPr>
          <w:p>
            <w:pPr>
              <w:pStyle w:val="TableContents"/>
              <w:bidi w:val="0"/>
              <w:spacing w:before="0" w:after="283"/>
              <w:jc w:val="left"/>
              <w:rPr>
                <w:u w:val="single"/>
              </w:rPr>
            </w:pPr>
            <w:r>
              <w:rPr>
                <w:u w:val="single"/>
              </w:rPr>
              <w:t>/s/ Andrew McDonald</w:t>
            </w:r>
          </w:p>
        </w:tc>
      </w:tr>
    </w:tbl>
    <w:p>
      <w:pPr>
        <w:pStyle w:val="Normal"/>
        <w:bidi w:val="0"/>
        <w:spacing w:before="0" w:after="0"/>
        <w:jc w:val="left"/>
        <w:rPr>
          <w:sz w:val="4"/>
          <w:szCs w:val="4"/>
        </w:rPr>
      </w:pPr>
      <w:r>
        <w:rPr>
          <w:sz w:val="4"/>
          <w:szCs w:val="4"/>
        </w:rPr>
      </w:r>
      <w:bookmarkStart w:id="21" w:name="za505c571885a424c93b603a7e67839f6"/>
      <w:bookmarkStart w:id="22" w:name="za505c571885a424c93b603a7e67839f6"/>
      <w:bookmarkEnd w:id="22"/>
    </w:p>
    <w:tbl>
      <w:tblPr>
        <w:tblW w:w="2560" w:type="dxa"/>
        <w:jc w:val="left"/>
        <w:tblInd w:w="0" w:type="dxa"/>
        <w:tblLayout w:type="fixed"/>
        <w:tblCellMar>
          <w:top w:w="0" w:type="dxa"/>
          <w:left w:w="0" w:type="dxa"/>
          <w:bottom w:w="0" w:type="dxa"/>
          <w:right w:w="0" w:type="dxa"/>
        </w:tblCellMar>
      </w:tblPr>
      <w:tblGrid>
        <w:gridCol w:w="665"/>
        <w:gridCol w:w="1895"/>
      </w:tblGrid>
      <w:tr>
        <w:trPr/>
        <w:tc>
          <w:tcPr>
            <w:tcW w:w="665" w:type="dxa"/>
            <w:tcBorders/>
            <w:vAlign w:val="center"/>
          </w:tcPr>
          <w:p>
            <w:pPr>
              <w:pStyle w:val="TableContents"/>
              <w:bidi w:val="0"/>
              <w:spacing w:lineRule="auto" w:line="300" w:before="0" w:after="0"/>
              <w:jc w:val="left"/>
              <w:rPr/>
            </w:pPr>
            <w:r>
              <w:rPr/>
              <w:t>Name:</w:t>
            </w:r>
          </w:p>
        </w:tc>
        <w:tc>
          <w:tcPr>
            <w:tcW w:w="1895" w:type="dxa"/>
            <w:tcBorders/>
            <w:vAlign w:val="center"/>
          </w:tcPr>
          <w:p>
            <w:pPr>
              <w:pStyle w:val="TableContents"/>
              <w:bidi w:val="0"/>
              <w:spacing w:lineRule="auto" w:line="300" w:before="0" w:after="0"/>
              <w:jc w:val="left"/>
              <w:rPr/>
            </w:pPr>
            <w:r>
              <w:rPr/>
              <w:t>Andrew McDonald</w:t>
            </w:r>
          </w:p>
        </w:tc>
      </w:tr>
    </w:tbl>
    <w:p>
      <w:pPr>
        <w:pStyle w:val="Normal"/>
        <w:bidi w:val="0"/>
        <w:spacing w:before="0" w:after="0"/>
        <w:jc w:val="left"/>
        <w:rPr>
          <w:sz w:val="4"/>
          <w:szCs w:val="4"/>
        </w:rPr>
      </w:pPr>
      <w:r>
        <w:rPr>
          <w:sz w:val="4"/>
          <w:szCs w:val="4"/>
        </w:rPr>
      </w:r>
      <w:bookmarkStart w:id="23" w:name="zdbbf84a00b29411d88a91ba7e2688979"/>
      <w:bookmarkStart w:id="24" w:name="zdbbf84a00b29411d88a91ba7e2688979"/>
      <w:bookmarkEnd w:id="24"/>
    </w:p>
    <w:tbl>
      <w:tblPr>
        <w:tblW w:w="1060" w:type="dxa"/>
        <w:jc w:val="left"/>
        <w:tblInd w:w="0" w:type="dxa"/>
        <w:tblLayout w:type="fixed"/>
        <w:tblCellMar>
          <w:top w:w="0" w:type="dxa"/>
          <w:left w:w="0" w:type="dxa"/>
          <w:bottom w:w="0" w:type="dxa"/>
          <w:right w:w="0" w:type="dxa"/>
        </w:tblCellMar>
      </w:tblPr>
      <w:tblGrid>
        <w:gridCol w:w="530"/>
        <w:gridCol w:w="530"/>
      </w:tblGrid>
      <w:tr>
        <w:trPr/>
        <w:tc>
          <w:tcPr>
            <w:tcW w:w="530" w:type="dxa"/>
            <w:tcBorders/>
            <w:vAlign w:val="center"/>
          </w:tcPr>
          <w:p>
            <w:pPr>
              <w:pStyle w:val="TableContents"/>
              <w:bidi w:val="0"/>
              <w:spacing w:lineRule="auto" w:line="300" w:before="0" w:after="0"/>
              <w:jc w:val="left"/>
              <w:rPr/>
            </w:pPr>
            <w:r>
              <w:rPr/>
              <w:t>Title:</w:t>
            </w:r>
          </w:p>
        </w:tc>
        <w:tc>
          <w:tcPr>
            <w:tcW w:w="530" w:type="dxa"/>
            <w:tcBorders/>
            <w:vAlign w:val="center"/>
          </w:tcPr>
          <w:p>
            <w:pPr>
              <w:pStyle w:val="TableContents"/>
              <w:bidi w:val="0"/>
              <w:spacing w:lineRule="auto" w:line="300" w:before="0" w:after="0"/>
              <w:jc w:val="left"/>
              <w:rPr/>
            </w:pPr>
            <w:r>
              <w:rPr/>
              <w:t>CEO</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right"/>
        <w:rPr>
          <w:rFonts w:ascii="Times New Roman;Times;serif" w:hAnsi="Times New Roman;Times;serif"/>
          <w:b/>
          <w:color w:val="000000"/>
          <w:sz w:val="20"/>
        </w:rPr>
      </w:pPr>
      <w:r>
        <w:rPr>
          <w:rFonts w:ascii="Times New Roman;Times;serif" w:hAnsi="Times New Roman;Times;serif"/>
          <w:b/>
          <w:color w:val="000000"/>
          <w:sz w:val="20"/>
        </w:rPr>
        <w:t>Schedule A</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3b535af64e9e422a99214ac92c3b55cd"/>
      <w:bookmarkStart w:id="26" w:name="z3b535af64e9e422a99214ac92c3b55cd"/>
      <w:bookmarkEnd w:id="26"/>
    </w:p>
    <w:tbl>
      <w:tblPr>
        <w:tblW w:w="7698" w:type="dxa"/>
        <w:jc w:val="center"/>
        <w:tblInd w:w="0" w:type="dxa"/>
        <w:tblLayout w:type="fixed"/>
        <w:tblCellMar>
          <w:top w:w="0" w:type="dxa"/>
          <w:left w:w="0" w:type="dxa"/>
          <w:bottom w:w="28" w:type="dxa"/>
          <w:right w:w="0" w:type="dxa"/>
        </w:tblCellMar>
      </w:tblPr>
      <w:tblGrid>
        <w:gridCol w:w="3164"/>
        <w:gridCol w:w="60"/>
        <w:gridCol w:w="305"/>
        <w:gridCol w:w="4109"/>
        <w:gridCol w:w="60"/>
      </w:tblGrid>
      <w:tr>
        <w:trPr/>
        <w:tc>
          <w:tcPr>
            <w:tcW w:w="3164" w:type="dxa"/>
            <w:tcBorders>
              <w:bottom w:val="single" w:sz="12" w:space="0" w:color="000000"/>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Underwriters</w:t>
            </w:r>
          </w:p>
        </w:tc>
        <w:tc>
          <w:tcPr>
            <w:tcW w:w="60" w:type="dxa"/>
            <w:tcBorders/>
            <w:tcMar>
              <w:bottom w:w="0" w:type="dxa"/>
            </w:tcMar>
            <w:vAlign w:val="bottom"/>
          </w:tcPr>
          <w:p>
            <w:pPr>
              <w:pStyle w:val="TableContents"/>
              <w:bidi w:val="0"/>
              <w:spacing w:before="0" w:after="283"/>
              <w:jc w:val="left"/>
              <w:rPr/>
            </w:pPr>
            <w:r>
              <w:rPr/>
              <w:t> </w:t>
            </w:r>
          </w:p>
        </w:tc>
        <w:tc>
          <w:tcPr>
            <w:tcW w:w="441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Number of Offered Shares to be Purchased</w:t>
            </w:r>
          </w:p>
        </w:tc>
        <w:tc>
          <w:tcPr>
            <w:tcW w:w="60" w:type="dxa"/>
            <w:tcBorders/>
            <w:tcMar>
              <w:bottom w:w="0" w:type="dxa"/>
            </w:tcMar>
            <w:vAlign w:val="bottom"/>
          </w:tcPr>
          <w:p>
            <w:pPr>
              <w:pStyle w:val="TableContents"/>
              <w:bidi w:val="0"/>
              <w:spacing w:before="0" w:after="283"/>
              <w:jc w:val="left"/>
              <w:rPr/>
            </w:pPr>
            <w:r>
              <w:rPr/>
              <w:t> </w:t>
            </w:r>
          </w:p>
        </w:tc>
      </w:tr>
      <w:tr>
        <w:trPr/>
        <w:tc>
          <w:tcPr>
            <w:tcW w:w="3164" w:type="dxa"/>
            <w:tcBorders/>
            <w:shd w:fill="CCEEFF" w:val="clear"/>
            <w:tcMar>
              <w:bottom w:w="0" w:type="dxa"/>
            </w:tcMar>
            <w:vAlign w:val="bottom"/>
          </w:tcPr>
          <w:p>
            <w:pPr>
              <w:pStyle w:val="TableContents"/>
              <w:bidi w:val="0"/>
              <w:spacing w:lineRule="auto" w:line="300" w:before="0" w:after="0"/>
              <w:ind w:left="0" w:right="609" w:hanging="0"/>
              <w:jc w:val="left"/>
              <w:rPr/>
            </w:pPr>
            <w:r>
              <w:rPr/>
              <w:t>TD Securities (USA) LLC</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5" w:type="dxa"/>
            <w:tcBorders/>
            <w:shd w:fill="CCEEFF" w:val="clear"/>
            <w:tcMar>
              <w:bottom w:w="0" w:type="dxa"/>
            </w:tcMar>
            <w:vAlign w:val="bottom"/>
          </w:tcPr>
          <w:p>
            <w:pPr>
              <w:pStyle w:val="TableContents"/>
              <w:bidi w:val="0"/>
              <w:spacing w:before="0" w:after="283"/>
              <w:jc w:val="left"/>
              <w:rPr/>
            </w:pPr>
            <w:r>
              <w:rPr/>
              <w:t> </w:t>
            </w:r>
          </w:p>
        </w:tc>
        <w:tc>
          <w:tcPr>
            <w:tcW w:w="4109" w:type="dxa"/>
            <w:tcBorders>
              <w:bottom w:val="single" w:sz="12" w:space="0" w:color="000000"/>
            </w:tcBorders>
            <w:shd w:fill="CCEEFF" w:val="clear"/>
            <w:vAlign w:val="bottom"/>
          </w:tcPr>
          <w:p>
            <w:pPr>
              <w:pStyle w:val="TableContents"/>
              <w:bidi w:val="0"/>
              <w:spacing w:lineRule="auto" w:line="300" w:before="0" w:after="0"/>
              <w:jc w:val="right"/>
              <w:rPr/>
            </w:pPr>
            <w:r>
              <w:rPr/>
              <w:t>307,606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3164" w:type="dxa"/>
            <w:tcBorders/>
            <w:tcMar>
              <w:bottom w:w="0" w:type="dxa"/>
            </w:tcMar>
            <w:vAlign w:val="bottom"/>
          </w:tcPr>
          <w:p>
            <w:pPr>
              <w:pStyle w:val="TableContents"/>
              <w:bidi w:val="0"/>
              <w:spacing w:lineRule="auto" w:line="300" w:before="0" w:after="0"/>
              <w:jc w:val="left"/>
              <w:rPr/>
            </w:pPr>
            <w:r>
              <w:rPr/>
              <w:t>LifeSci Capital LLC</w:t>
            </w:r>
          </w:p>
        </w:tc>
        <w:tc>
          <w:tcPr>
            <w:tcW w:w="60" w:type="dxa"/>
            <w:tcBorders/>
            <w:tcMar>
              <w:bottom w:w="0" w:type="dxa"/>
            </w:tcMar>
            <w:vAlign w:val="bottom"/>
          </w:tcPr>
          <w:p>
            <w:pPr>
              <w:pStyle w:val="TableContents"/>
              <w:bidi w:val="0"/>
              <w:spacing w:before="0" w:after="283"/>
              <w:jc w:val="left"/>
              <w:rPr/>
            </w:pPr>
            <w:r>
              <w:rPr/>
              <w:t> </w:t>
            </w:r>
          </w:p>
        </w:tc>
        <w:tc>
          <w:tcPr>
            <w:tcW w:w="305" w:type="dxa"/>
            <w:tcBorders/>
            <w:tcMar>
              <w:bottom w:w="0" w:type="dxa"/>
            </w:tcMar>
            <w:vAlign w:val="bottom"/>
          </w:tcPr>
          <w:p>
            <w:pPr>
              <w:pStyle w:val="TableContents"/>
              <w:bidi w:val="0"/>
              <w:spacing w:before="0" w:after="283"/>
              <w:jc w:val="left"/>
              <w:rPr/>
            </w:pPr>
            <w:r>
              <w:rPr/>
              <w:t> </w:t>
            </w:r>
          </w:p>
        </w:tc>
        <w:tc>
          <w:tcPr>
            <w:tcW w:w="4109" w:type="dxa"/>
            <w:tcBorders>
              <w:bottom w:val="single" w:sz="12" w:space="0" w:color="000000"/>
            </w:tcBorders>
            <w:vAlign w:val="bottom"/>
          </w:tcPr>
          <w:p>
            <w:pPr>
              <w:pStyle w:val="TableContents"/>
              <w:bidi w:val="0"/>
              <w:spacing w:lineRule="auto" w:line="300" w:before="0" w:after="0"/>
              <w:jc w:val="right"/>
              <w:rPr/>
            </w:pPr>
            <w:r>
              <w:rPr/>
              <w:t>151,506</w:t>
            </w:r>
          </w:p>
        </w:tc>
        <w:tc>
          <w:tcPr>
            <w:tcW w:w="60" w:type="dxa"/>
            <w:tcBorders/>
            <w:tcMar>
              <w:bottom w:w="0" w:type="dxa"/>
            </w:tcMar>
            <w:vAlign w:val="bottom"/>
          </w:tcPr>
          <w:p>
            <w:pPr>
              <w:pStyle w:val="TableContents"/>
              <w:bidi w:val="0"/>
              <w:spacing w:before="0" w:after="283"/>
              <w:jc w:val="left"/>
              <w:rPr/>
            </w:pPr>
            <w:r>
              <w:rPr/>
              <w:t> </w:t>
            </w:r>
          </w:p>
        </w:tc>
      </w:tr>
      <w:tr>
        <w:trPr/>
        <w:tc>
          <w:tcPr>
            <w:tcW w:w="3164" w:type="dxa"/>
            <w:tcBorders/>
            <w:shd w:fill="CCEEFF" w:val="clear"/>
            <w:tcMar>
              <w:bottom w:w="0" w:type="dxa"/>
            </w:tcMar>
            <w:vAlign w:val="bottom"/>
          </w:tcPr>
          <w:p>
            <w:pPr>
              <w:pStyle w:val="TableContents"/>
              <w:bidi w:val="0"/>
              <w:spacing w:lineRule="auto" w:line="300" w:before="0" w:after="0"/>
              <w:ind w:left="340" w:right="0" w:hanging="0"/>
              <w:jc w:val="left"/>
              <w:rPr>
                <w:b/>
              </w:rPr>
            </w:pPr>
            <w:r>
              <w:rPr>
                <w:b/>
              </w:rPr>
              <w:t>Total</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5" w:type="dxa"/>
            <w:tcBorders/>
            <w:shd w:fill="CCEEFF" w:val="clear"/>
            <w:tcMar>
              <w:bottom w:w="0" w:type="dxa"/>
            </w:tcMar>
            <w:vAlign w:val="bottom"/>
          </w:tcPr>
          <w:p>
            <w:pPr>
              <w:pStyle w:val="TableContents"/>
              <w:bidi w:val="0"/>
              <w:spacing w:before="0" w:after="283"/>
              <w:jc w:val="left"/>
              <w:rPr/>
            </w:pPr>
            <w:r>
              <w:rPr/>
              <w:t> </w:t>
            </w:r>
          </w:p>
        </w:tc>
        <w:tc>
          <w:tcPr>
            <w:tcW w:w="4109" w:type="dxa"/>
            <w:tcBorders>
              <w:bottom w:val="single" w:sz="12" w:space="0" w:color="000000"/>
            </w:tcBorders>
            <w:shd w:fill="CCEEFF" w:val="clear"/>
            <w:vAlign w:val="bottom"/>
          </w:tcPr>
          <w:p>
            <w:pPr>
              <w:pStyle w:val="TableContents"/>
              <w:bidi w:val="0"/>
              <w:spacing w:lineRule="auto" w:line="300" w:before="0" w:after="0"/>
              <w:jc w:val="right"/>
              <w:rPr/>
            </w:pPr>
            <w:r>
              <w:rPr/>
              <w:t>459,112</w:t>
            </w:r>
          </w:p>
        </w:tc>
        <w:tc>
          <w:tcPr>
            <w:tcW w:w="6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right"/>
        <w:rPr>
          <w:rFonts w:ascii="Times New Roman;Times;serif" w:hAnsi="Times New Roman;Times;serif"/>
          <w:b/>
          <w:color w:val="000000"/>
          <w:sz w:val="20"/>
        </w:rPr>
      </w:pPr>
      <w:r>
        <w:rPr>
          <w:rFonts w:ascii="Times New Roman;Times;serif" w:hAnsi="Times New Roman;Times;serif"/>
          <w:b/>
          <w:color w:val="000000"/>
          <w:sz w:val="20"/>
        </w:rPr>
        <w:t>Schedule 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Free Writing Prospectuses Included in the Time of Sale Prospectus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None.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right"/>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lineRule="auto" w:line="300" w:before="0" w:after="0"/>
        <w:jc w:val="center"/>
        <w:rPr>
          <w:b/>
          <w:u w:val="single"/>
        </w:rPr>
      </w:pPr>
      <w:r>
        <w:rPr>
          <w:b/>
          <w:u w:val="single"/>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Form of Lock-up Agreement</w:t>
      </w:r>
    </w:p>
    <w:p>
      <w:pPr>
        <w:pStyle w:val="HorizontalLine"/>
        <w:pBdr>
          <w:bottom w:val="single" w:sz="12" w:space="0" w:color="808080"/>
        </w:pBdr>
        <w:bidi w:val="0"/>
        <w:spacing w:lineRule="auto" w:line="300" w:before="200" w:after="200"/>
        <w:jc w:val="right"/>
        <w:rPr/>
      </w:pPr>
      <w:r>
        <w:rPr/>
      </w:r>
    </w:p>
    <w:p>
      <w:pPr>
        <w:pStyle w:val="TextBody"/>
        <w:bidi w:val="0"/>
        <w:spacing w:lineRule="auto" w:line="300" w:before="0" w:after="0"/>
        <w:jc w:val="right"/>
        <w:rPr>
          <w:rFonts w:ascii="Times New Roman;Times;serif" w:hAnsi="Times New Roman;Times;serif"/>
          <w:b/>
          <w:color w:val="000000"/>
          <w:sz w:val="20"/>
        </w:rPr>
      </w:pPr>
      <w:r>
        <w:rPr>
          <w:rFonts w:ascii="Times New Roman;Times;serif" w:hAnsi="Times New Roman;Times;serif"/>
          <w:b/>
          <w:color w:val="000000"/>
          <w:sz w:val="20"/>
        </w:rPr>
        <w:t>Exhibit 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u w:val="single"/>
        </w:rPr>
        <w:t>Directors, Executive Officers and Others</w:t>
      </w:r>
      <w:r>
        <w:rPr>
          <w:rFonts w:ascii="Times New Roman;Times;serif" w:hAnsi="Times New Roman;Times;serif"/>
          <w:b/>
          <w:color w:val="000000"/>
          <w:sz w:val="20"/>
        </w:rPr>
        <w:br/>
      </w:r>
      <w:r>
        <w:rPr>
          <w:rFonts w:ascii="Times New Roman;Times;serif" w:hAnsi="Times New Roman;Times;serif"/>
          <w:b/>
          <w:color w:val="000000"/>
          <w:sz w:val="20"/>
          <w:u w:val="single"/>
        </w:rPr>
        <w:t>Signing Lock-up Agreement</w:t>
      </w:r>
    </w:p>
    <w:p>
      <w:pPr>
        <w:pStyle w:val="TextBody"/>
        <w:bidi w:val="0"/>
        <w:spacing w:before="0" w:after="0"/>
        <w:jc w:val="left"/>
        <w:rPr/>
      </w:pPr>
      <w:r>
        <w:rPr/>
      </w:r>
    </w:p>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27" w:name="exhibit_5-1.htm"/>
      <w:bookmarkStart w:id="28" w:name="ksexhibit_51"/>
      <w:bookmarkStart w:id="29" w:name="exhibit_5-1.htm"/>
      <w:bookmarkStart w:id="30" w:name="ksexhibit_51"/>
      <w:bookmarkEnd w:id="29"/>
      <w:bookmarkEnd w:id="30"/>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5.1</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42875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953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Tel Aviv, March 24,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Sol-Gel Technologies Ltd.</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7 Golda Meir St.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Weizman Science Park</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Ness Ziona, 7403650</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Israel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Re:</w:t>
      </w:r>
      <w:r>
        <w:rPr>
          <w:rFonts w:ascii="Times New Roman;Times;serif" w:hAnsi="Times New Roman;Times;serif"/>
          <w:color w:val="000000"/>
          <w:sz w:val="20"/>
        </w:rPr>
        <w:t> </w:t>
      </w:r>
      <w:r>
        <w:rPr>
          <w:rFonts w:ascii="Times New Roman;Times;serif" w:hAnsi="Times New Roman;Times;serif"/>
          <w:b/>
          <w:color w:val="000000"/>
          <w:sz w:val="20"/>
          <w:u w:val="single"/>
        </w:rPr>
        <w:t>Sol-Gel Technologies Ltd.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Israeli counsel for Sol-Gel Technologies Ltd., a company organized under the laws of Israel (the “</w:t>
      </w:r>
      <w:r>
        <w:rPr>
          <w:rFonts w:ascii="Times New Roman;Times;serif" w:hAnsi="Times New Roman;Times;serif"/>
          <w:b/>
          <w:color w:val="000000"/>
          <w:sz w:val="20"/>
        </w:rPr>
        <w:t>Company</w:t>
      </w:r>
      <w:r>
        <w:rPr>
          <w:rFonts w:ascii="Times New Roman;Times;serif" w:hAnsi="Times New Roman;Times;serif"/>
          <w:color w:val="000000"/>
          <w:sz w:val="20"/>
        </w:rPr>
        <w:t>”), in connection with the issuance and sale of an aggregate of 459,112 ordinary shares of the Company, par value NIS 1.00 per share (the “</w:t>
      </w:r>
      <w:r>
        <w:rPr>
          <w:rFonts w:ascii="Times New Roman;Times;serif" w:hAnsi="Times New Roman;Times;serif"/>
          <w:b/>
          <w:color w:val="000000"/>
          <w:sz w:val="20"/>
        </w:rPr>
        <w:t>Offered Shares</w:t>
      </w:r>
      <w:r>
        <w:rPr>
          <w:rFonts w:ascii="Times New Roman;Times;serif" w:hAnsi="Times New Roman;Times;serif"/>
          <w:color w:val="000000"/>
          <w:sz w:val="20"/>
        </w:rPr>
        <w:t>”), pursuant to the terms of an underwriting agreement dated March 23, 2026 (the “</w:t>
      </w:r>
      <w:r>
        <w:rPr>
          <w:rFonts w:ascii="Times New Roman;Times;serif" w:hAnsi="Times New Roman;Times;serif"/>
          <w:b/>
          <w:color w:val="000000"/>
          <w:sz w:val="20"/>
        </w:rPr>
        <w:t>Underwriting Agreement</w:t>
      </w:r>
      <w:r>
        <w:rPr>
          <w:rFonts w:ascii="Times New Roman;Times;serif" w:hAnsi="Times New Roman;Times;serif"/>
          <w:color w:val="000000"/>
          <w:sz w:val="20"/>
        </w:rPr>
        <w:t>”) between the Company and TD Securities (USA) LLC and LifeSci Capital LLC, as representatives of the several underwriters named in Schedule A thereto (the “</w:t>
      </w:r>
      <w:r>
        <w:rPr>
          <w:rFonts w:ascii="Times New Roman;Times;serif" w:hAnsi="Times New Roman;Times;serif"/>
          <w:b/>
          <w:color w:val="000000"/>
          <w:sz w:val="20"/>
        </w:rPr>
        <w:t>Underwriters</w:t>
      </w:r>
      <w:r>
        <w:rPr>
          <w:rFonts w:ascii="Times New Roman;Times;serif" w:hAnsi="Times New Roman;Times;serif"/>
          <w:color w:val="000000"/>
          <w:sz w:val="20"/>
        </w:rPr>
        <w:t>”). The Offered Shares are being issued pursuant to a registration statement on Form F-3 (Registration Statement No. 333-286822) (the “</w:t>
      </w:r>
      <w:r>
        <w:rPr>
          <w:rFonts w:ascii="Times New Roman;Times;serif" w:hAnsi="Times New Roman;Times;serif"/>
          <w:b/>
          <w:color w:val="000000"/>
          <w:sz w:val="20"/>
        </w:rPr>
        <w:t>Registration Statement</w:t>
      </w:r>
      <w:r>
        <w:rPr>
          <w:rFonts w:ascii="Times New Roman;Times;serif" w:hAnsi="Times New Roman;Times;serif"/>
          <w:color w:val="000000"/>
          <w:sz w:val="20"/>
        </w:rPr>
        <w:t>”) filed with the Securities and Exchange Commission (the “</w:t>
      </w:r>
      <w:r>
        <w:rPr>
          <w:rFonts w:ascii="Times New Roman;Times;serif" w:hAnsi="Times New Roman;Times;serif"/>
          <w:b/>
          <w:color w:val="000000"/>
          <w:sz w:val="20"/>
        </w:rPr>
        <w:t>Commission</w:t>
      </w:r>
      <w:r>
        <w:rPr>
          <w:rFonts w:ascii="Times New Roman;Times;serif" w:hAnsi="Times New Roman;Times;serif"/>
          <w:color w:val="000000"/>
          <w:sz w:val="20"/>
        </w:rPr>
        <w:t>”) under the Securities Act of 1933, as amended (the “</w:t>
      </w:r>
      <w:r>
        <w:rPr>
          <w:rFonts w:ascii="Times New Roman;Times;serif" w:hAnsi="Times New Roman;Times;serif"/>
          <w:b/>
          <w:color w:val="000000"/>
          <w:sz w:val="20"/>
        </w:rPr>
        <w:t>Securities Act</w:t>
      </w:r>
      <w:r>
        <w:rPr>
          <w:rFonts w:ascii="Times New Roman;Times;serif" w:hAnsi="Times New Roman;Times;serif"/>
          <w:color w:val="000000"/>
          <w:sz w:val="20"/>
        </w:rPr>
        <w:t>”), the related base prospectus which forms a part of the Registration Statement, and the prospectus supplement dated March 23, 2026, filed with the Commission on March 24, 2026, relating to the Offered Shares (the “</w:t>
      </w:r>
      <w:r>
        <w:rPr>
          <w:rFonts w:ascii="Times New Roman;Times;serif" w:hAnsi="Times New Roman;Times;serif"/>
          <w:b/>
          <w:color w:val="000000"/>
          <w:sz w:val="20"/>
        </w:rPr>
        <w:t>Prospectus Supplement</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therewith, we have examined and relied upon copies of the Registration Statement, the Prospectus Supplement, the Company’s amended and restated articles of association, and such corporate records, certificates instruments, and other documents relating to the Company and such matters of law as we have deemed necessary or appropriate for the purpose of rendering this opinion. In such examination, we have assumed the genuineness of all signatures, the authenticity of all documents submitted to us as originals, the conformity to the originals of all documents submitted to us as copies, the truth, accuracy and completeness of the information, representations and warranties contained in the corporate records, certificates instruments and documents we have reviewed, the due execution and delivery of all documents where due execution and delivery are a prerequisite to the effectiveness thereof and the legal capacity of all natural persons. As to any facts material to such opinion, we have relied on certificates of public officials and certificates of officers or other representatives of the Company.</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members of the Israeli bar, and we express no opinion as to any matter relating to the laws of any jurisdiction other than the laws of the State of Israel and have not, for the purpose of giving this opinion, made any investigation of the laws of any other jurisdiction than the State of Israel. The opinions set forth herein are made as of the date hereof. We assume no obligation to revise or supplement any of these opinions to reflect any changes of law or fact that may occur after the date hereof. This opinion is expressly limited to the matters set forth above, and we render no opinion, whether by implication or otherwise, as to any other matters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the foregoing and in reliance thereon, we are of the opinion that the Offered Shares to be sold to the Underwriters as described in the Registration Statement and the Prospectus Supplement have been duly authorized for issuance and, when issued and paid for in accordance with the terms of the Underwriting Agreement, will be validly issued, fully paid and non-assessable.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hereby consent to the filing of this opinion as Exhibit 5.1 to the Company’s Current Report on Form 6-K to be submitted with the Commission on or about March 24, 2026, which will be incorporated by reference in the Registration Statement, and to the reference to our name under the caption “Legal Matters” in the Prospectus Supplement. In giving such consent, we do not hereby admit that we are in the category of persons whose consent is required under Section 7 of the Securities Act or the rules and regulations of the Commission.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1" w:name="z363473e99477490fa7be801ff5fa89df"/>
      <w:bookmarkStart w:id="32" w:name="z363473e99477490fa7be801ff5fa89df"/>
      <w:bookmarkEnd w:id="32"/>
    </w:p>
    <w:tbl>
      <w:tblPr>
        <w:tblW w:w="3440" w:type="dxa"/>
        <w:jc w:val="left"/>
        <w:tblInd w:w="0" w:type="dxa"/>
        <w:tblLayout w:type="fixed"/>
        <w:tblCellMar>
          <w:top w:w="0" w:type="dxa"/>
          <w:left w:w="0" w:type="dxa"/>
          <w:bottom w:w="0" w:type="dxa"/>
          <w:right w:w="0" w:type="dxa"/>
        </w:tblCellMar>
      </w:tblPr>
      <w:tblGrid>
        <w:gridCol w:w="60"/>
        <w:gridCol w:w="3380"/>
      </w:tblGrid>
      <w:tr>
        <w:trPr/>
        <w:tc>
          <w:tcPr>
            <w:tcW w:w="6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33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Very truly yours,</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Times;serif" w:hAnsi="Times New Roman;Times;serif"/>
                <w:i/>
              </w:rPr>
            </w:pPr>
            <w:r>
              <w:rPr>
                <w:rFonts w:ascii="Times New Roman;Times;serif" w:hAnsi="Times New Roman;Times;serif"/>
                <w:i/>
              </w:rPr>
              <w:t>/s/ Goldfarb Gross Seligman &amp; Co.</w:t>
            </w:r>
          </w:p>
        </w:tc>
      </w:tr>
    </w:tbl>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drawing>
          <wp:inline distT="0" distB="0" distL="0" distR="0">
            <wp:extent cx="7705725"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05725" cy="742950"/>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lineRule="auto" w:line="300"/>
        <w:jc w:val="left"/>
        <w:rPr/>
      </w:pPr>
      <w:r>
        <w:rPr/>
      </w:r>
    </w:p>
    <w:p>
      <w:pPr>
        <w:pStyle w:val="HorizontalLine"/>
        <w:bidi w:val="0"/>
        <w:jc w:val="left"/>
        <w:rPr/>
      </w:pPr>
      <w:r>
        <w:rPr/>
      </w:r>
      <w:bookmarkStart w:id="33" w:name="exhibit_99-1.htm"/>
      <w:bookmarkStart w:id="34" w:name="ksexhibit_991"/>
      <w:bookmarkStart w:id="35" w:name="exhibit_99-1.htm"/>
      <w:bookmarkStart w:id="36" w:name="ksexhibit_991"/>
      <w:bookmarkEnd w:id="35"/>
      <w:bookmarkEnd w:id="36"/>
      <w:r>
        <w:br w:type="page"/>
      </w:r>
    </w:p>
    <w:p>
      <w:pPr>
        <w:pStyle w:val="TextBody"/>
        <w:bidi w:val="0"/>
        <w:spacing w:before="0" w:after="0"/>
        <w:jc w:val="left"/>
        <w:rPr/>
      </w:pPr>
      <w:r>
        <w:rPr/>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center"/>
        <w:rPr>
          <w:color w:val="000000"/>
        </w:rPr>
      </w:pPr>
      <w:r>
        <w:rPr>
          <w:color w:val="000000"/>
        </w:rPr>
        <w:t>          </w:t>
      </w:r>
      <w:r>
        <w:rPr>
          <w:color w:val="000000"/>
        </w:rPr>
        <w:drawing>
          <wp:inline distT="0" distB="0" distL="0" distR="0">
            <wp:extent cx="3133725"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133725" cy="6381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4"/>
        </w:rPr>
      </w:pPr>
      <w:r>
        <w:rPr>
          <w:rFonts w:ascii="Times New Roman;Times;serif" w:hAnsi="Times New Roman;Times;serif"/>
          <w:color w:val="000000"/>
          <w:sz w:val="24"/>
        </w:rPr>
        <w:t>Sol-Gel Technologies Ltd. Announces Pricing of Oversubscribed</w:t>
      </w:r>
    </w:p>
    <w:p>
      <w:pPr>
        <w:pStyle w:val="TextBody"/>
        <w:bidi w:val="0"/>
        <w:spacing w:lineRule="auto" w:line="300" w:before="0" w:after="0"/>
        <w:jc w:val="center"/>
        <w:rPr>
          <w:rFonts w:ascii="Times New Roman;Times;serif" w:hAnsi="Times New Roman;Times;serif"/>
          <w:color w:val="000000"/>
          <w:sz w:val="24"/>
        </w:rPr>
      </w:pPr>
      <w:r>
        <w:rPr>
          <w:rFonts w:ascii="Times New Roman;Times;serif" w:hAnsi="Times New Roman;Times;serif"/>
          <w:color w:val="000000"/>
          <w:sz w:val="24"/>
        </w:rPr>
        <w:t>Underwritten Offering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NESS ZIONA, Israel, March 23, 2026 (GLOBE NEWSWIRE) – </w:t>
      </w:r>
      <w:r>
        <w:rPr>
          <w:rFonts w:ascii="Times New Roman;Times;serif" w:hAnsi="Times New Roman;Times;serif"/>
          <w:b/>
          <w:color w:val="000000"/>
          <w:sz w:val="20"/>
        </w:rPr>
        <w:t>Sol-Gel Technologies Ltd</w:t>
      </w:r>
      <w:r>
        <w:rPr>
          <w:rFonts w:ascii="Times New Roman;Times;serif" w:hAnsi="Times New Roman;Times;serif"/>
          <w:color w:val="000000"/>
          <w:sz w:val="20"/>
        </w:rPr>
        <w:t>. (the “Company”) (NASDAQ: SLGL) today announced the pricing of an underwritten offering of 459,112 ordinary shares (the “Shares”) at a price of $72.00 per Share, resulting in gross proceeds to the Company, before deducting underwriting discounts and commissions and other estimated offering expenses, of approximately $33.1 million. All of the Shares are to be sold by the Company. The offering is expected to close on or about March 25, 2026, subject to satisfaction of customary closing conditions.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offering included participation from new and existing investors, including Great Point Partners, LLC, Trails Edge Capital Partners, Surveyor Capital (a Citadel company), Affinity Asset Advisors, Squadron Capital Management, Stonepine Capital Management and AuGC BioFund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intends to use the net proceeds from the offering to fund the continued development of SGT-610, including pre-commercialization activities and research and development, and the remainder for working capital and other general corporate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TD Cowen and LifeSci Capital are acting as joint book-running managers for the offering.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Shares are being offered by the Company pursuant to the Company’s effective shelf registration statement on Form F-3 (File No. 333-286822) filed with the Securities and Exchange Commission (the “SEC”) on April 29, 2025, which was declared effective by the Securities and Exchange Commission on May 8, 2025, and other related documents. The Company will also file a final prospectus supplement and accompanying prospectus relating to and describing the terms of the offering with the SEC. These documents are or will be made available on the SEC’s website at www.sec.gov.</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When available, copies of the prospectus supplement and the accompanying prospectus relating to this offering may also be obtained from TD Securities (USA) LLC, c/o Broadridge Financial Solutions, 1155 Long Island Avenue, Edgewood, NY 11717, or by email at TDManualrequest@broadridge.com; or LifeSci Capital LLC, 1700 Broadway, 40th Floor, New York, New York 10019, or by email at compliance@lifescicapital.com.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shall not constitute an offer to sell, or a solicitation of an offer to buy, the Shares or any other securities, nor will there be any sale of the Shares or any other securities in any state or other jurisdiction in which such offer, solicitation or sale would be unlawful prior to registration or qualification under the securities laws of any such state or other jurisdiction.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Sol-Gel Technologies</w:t>
      </w:r>
    </w:p>
    <w:p>
      <w:pPr>
        <w:pStyle w:val="TextBody"/>
        <w:bidi w:val="0"/>
        <w:spacing w:lineRule="auto" w:line="300"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Sol-Gel </w:t>
      </w:r>
      <w:r>
        <w:rPr>
          <w:rFonts w:ascii="Times New Roman;Times;serif" w:hAnsi="Times New Roman;Times;serif"/>
          <w:color w:val="000000"/>
          <w:sz w:val="20"/>
        </w:rPr>
        <w:t xml:space="preserve">is a specialized dermatology company advancing innovative therapies for rare and serious skin diseases. Its lead investigational candidate, SGT-610 (patidegib gel, 2%), is a Phase 3, orphan- and breakthrough-designated topical hedgehog inhibitor being developed for the prevention of new basal cell carcinoma (BCC) lesions in patients with Gorlin syndrome, with the potential to offer an improved safety profile relative to oral hedgehog inhibitors. Subject to regulatory approval in Gorlin syndrome, SGT-610 may also represent a future opportunity in high-frequency BCC. Sol-Gel is also advancing SGT-210, an investigational topical EGFR inhibitor for indications with significant unmet need, and has developed two FDA-approved dermatology products, TWYNEO® and EPSOLAY®.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br/>
        <w:t>Forward 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but not limited to statements regarding the  expected timing and closing of the offering, the receipt of the proceeds from the offering, the expected use of proceeds from the offering, and the development of the Phase 3 program of SGT-610 in Gorlin syndrome and its expected improved safety profile compared to oral hedgehog inhibitors and its potential future opportunity in high-frequency BCC.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market conditions and the satisfaction of closing conditions related to the offering and the risk that we will not successfully complete the Gorlin Phase 3 trial or the success of our clinical trials, as well as the following factors: (i) the adequacy of our financial and other resources, particularly in light of our history of recurring losses and the uncertainty regarding the adequacy of our liquidity to pursue our complete business objectives;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China, Europe or Israel; and (xv) loss or retirement of key executives and research scientists; (xvi) general market, political and economic conditions in the countries in which the Company operates; and, (xvii) the current war between Israel and Hamas and any deterioration of the war in Israel into a broader regional conflict involving Israel with other parties. These factors and other important factors discussed in the Company's Annual Report on Form 20-F filed with the Securities and Exchange Commission (“SEC”) on March 19, 2026,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Sol-Gel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Eyal Ben-Or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ir@sol-gel.com</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00012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0125" cy="200025"/>
                    </a:xfrm>
                    <a:prstGeom prst="rect">
                      <a:avLst/>
                    </a:prstGeom>
                  </pic:spPr>
                </pic:pic>
              </a:graphicData>
            </a:graphic>
          </wp:inline>
        </w:drawing>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26284</Words>
  <Characters>140911</Characters>
  <CharactersWithSpaces>167169</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