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200025</wp:posOffset>
            </wp:positionH>
            <wp:positionV relativeFrom="page">
              <wp:posOffset>149225</wp:posOffset>
            </wp:positionV>
            <wp:extent cx="7149465"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254000</wp:posOffset>
            </wp:positionV>
            <wp:extent cx="714946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9465" cy="7620"/>
                    </a:xfrm>
                    <a:prstGeom prst="rect">
                      <a:avLst/>
                    </a:prstGeom>
                    <a:noFill/>
                  </pic:spPr>
                </pic:pic>
              </a:graphicData>
            </a:graphic>
          </wp:anchor>
        </w:drawing>
        <w:t>UNITED STATES</w:t>
      </w:r>
    </w:p>
    <w:p>
      <w:pPr>
        <w:spacing w:after="0" w:line="28" w:lineRule="exact"/>
        <w:rPr>
          <w:sz w:val="24"/>
          <w:szCs w:val="24"/>
          <w:color w:val="auto"/>
        </w:rPr>
      </w:pPr>
    </w:p>
    <w:p>
      <w:pPr>
        <w:jc w:val="center"/>
        <w:ind w:right="-4"/>
        <w:spacing w:after="0"/>
        <w:rPr>
          <w:sz w:val="20"/>
          <w:szCs w:val="20"/>
          <w:color w:val="auto"/>
        </w:rPr>
      </w:pPr>
      <w:r>
        <w:rPr>
          <w:rFonts w:ascii="Arial" w:cs="Arial" w:eastAsia="Arial" w:hAnsi="Arial"/>
          <w:sz w:val="22"/>
          <w:szCs w:val="22"/>
          <w:b w:val="1"/>
          <w:bCs w:val="1"/>
          <w:color w:val="auto"/>
        </w:rPr>
        <w:t>SECURITIES AND EXCHANGE COMMISSION</w:t>
      </w:r>
    </w:p>
    <w:p>
      <w:pPr>
        <w:spacing w:after="0" w:line="29" w:lineRule="exact"/>
        <w:rPr>
          <w:sz w:val="24"/>
          <w:szCs w:val="24"/>
          <w:color w:val="auto"/>
        </w:rPr>
      </w:pPr>
    </w:p>
    <w:p>
      <w:pPr>
        <w:jc w:val="center"/>
        <w:ind w:right="-4"/>
        <w:spacing w:after="0"/>
        <w:rPr>
          <w:sz w:val="20"/>
          <w:szCs w:val="20"/>
          <w:color w:val="auto"/>
        </w:rPr>
      </w:pPr>
      <w:r>
        <w:rPr>
          <w:rFonts w:ascii="Arial" w:cs="Arial" w:eastAsia="Arial" w:hAnsi="Arial"/>
          <w:sz w:val="19"/>
          <w:szCs w:val="19"/>
          <w:b w:val="1"/>
          <w:bCs w:val="1"/>
          <w:color w:val="auto"/>
        </w:rPr>
        <w:t>Washington, D.C. 20549</w:t>
      </w:r>
    </w:p>
    <w:p>
      <w:pPr>
        <w:spacing w:after="0" w:line="240" w:lineRule="exact"/>
        <w:rPr>
          <w:sz w:val="24"/>
          <w:szCs w:val="24"/>
          <w:color w:val="auto"/>
        </w:rPr>
      </w:pPr>
    </w:p>
    <w:p>
      <w:pPr>
        <w:jc w:val="center"/>
        <w:ind w:right="-4"/>
        <w:spacing w:after="0"/>
        <w:rPr>
          <w:sz w:val="20"/>
          <w:szCs w:val="20"/>
          <w:color w:val="auto"/>
        </w:rPr>
      </w:pPr>
      <w:r>
        <w:rPr>
          <w:rFonts w:ascii="Arial" w:cs="Arial" w:eastAsia="Arial" w:hAnsi="Arial"/>
          <w:sz w:val="22"/>
          <w:szCs w:val="22"/>
          <w:b w:val="1"/>
          <w:bCs w:val="1"/>
          <w:color w:val="auto"/>
        </w:rPr>
        <w:t>FORM 20-F</w:t>
      </w:r>
    </w:p>
    <w:p>
      <w:pPr>
        <w:spacing w:after="0" w:line="251" w:lineRule="exact"/>
        <w:rPr>
          <w:sz w:val="24"/>
          <w:szCs w:val="24"/>
          <w:color w:val="auto"/>
        </w:rPr>
      </w:pPr>
    </w:p>
    <w:p>
      <w:pPr>
        <w:ind w:left="445" w:hanging="445"/>
        <w:spacing w:after="0"/>
        <w:tabs>
          <w:tab w:leader="none" w:pos="445"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REGISTRATION STATEMENT PURSUANT TO SECTION 12(b) OR (g) OF THE SECURITIES EXCHANGE ACT OF 1934</w:t>
      </w:r>
    </w:p>
    <w:p>
      <w:pPr>
        <w:spacing w:after="0" w:line="247" w:lineRule="exact"/>
        <w:rPr>
          <w:sz w:val="24"/>
          <w:szCs w:val="24"/>
          <w:color w:val="auto"/>
        </w:rPr>
      </w:pPr>
    </w:p>
    <w:p>
      <w:pPr>
        <w:jc w:val="center"/>
        <w:ind w:right="-4"/>
        <w:spacing w:after="0"/>
        <w:rPr>
          <w:sz w:val="20"/>
          <w:szCs w:val="20"/>
          <w:color w:val="auto"/>
        </w:rPr>
      </w:pPr>
      <w:r>
        <w:rPr>
          <w:rFonts w:ascii="Arial" w:cs="Arial" w:eastAsia="Arial" w:hAnsi="Arial"/>
          <w:sz w:val="19"/>
          <w:szCs w:val="19"/>
          <w:color w:val="auto"/>
        </w:rPr>
        <w:t>OR</w:t>
      </w:r>
    </w:p>
    <w:p>
      <w:pPr>
        <w:spacing w:after="0" w:line="249" w:lineRule="exact"/>
        <w:rPr>
          <w:sz w:val="24"/>
          <w:szCs w:val="24"/>
          <w:color w:val="auto"/>
        </w:rPr>
      </w:pPr>
    </w:p>
    <w:p>
      <w:pPr>
        <w:ind w:left="445" w:right="3500" w:hanging="445"/>
        <w:spacing w:after="0" w:line="268" w:lineRule="auto"/>
        <w:tabs>
          <w:tab w:leader="none" w:pos="445"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ANNUAL REPORT PURSUANT TO SECTION 13 OR 15(d) OF THE SECURITIES EXCHANGE ACT OF 1934 For the fiscal year ended December 31, 2020</w:t>
      </w:r>
    </w:p>
    <w:p>
      <w:pPr>
        <w:spacing w:after="0" w:line="209" w:lineRule="exact"/>
        <w:rPr>
          <w:sz w:val="24"/>
          <w:szCs w:val="24"/>
          <w:color w:val="auto"/>
        </w:rPr>
      </w:pPr>
    </w:p>
    <w:p>
      <w:pPr>
        <w:jc w:val="center"/>
        <w:ind w:right="-4"/>
        <w:spacing w:after="0"/>
        <w:rPr>
          <w:sz w:val="20"/>
          <w:szCs w:val="20"/>
          <w:color w:val="auto"/>
        </w:rPr>
      </w:pPr>
      <w:r>
        <w:rPr>
          <w:rFonts w:ascii="Arial" w:cs="Arial" w:eastAsia="Arial" w:hAnsi="Arial"/>
          <w:sz w:val="19"/>
          <w:szCs w:val="19"/>
          <w:color w:val="auto"/>
        </w:rPr>
        <w:t>OR</w:t>
      </w:r>
    </w:p>
    <w:p>
      <w:pPr>
        <w:spacing w:after="0" w:line="249" w:lineRule="exact"/>
        <w:rPr>
          <w:sz w:val="24"/>
          <w:szCs w:val="24"/>
          <w:color w:val="auto"/>
        </w:rPr>
      </w:pPr>
    </w:p>
    <w:p>
      <w:pPr>
        <w:ind w:left="445" w:hanging="445"/>
        <w:spacing w:after="0"/>
        <w:tabs>
          <w:tab w:leader="none" w:pos="445"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TRANSITION REPORT PURSUANT TO SECTION 13 OR 15(d) OF THE SECURITIES EXCHANGE ACT OF 1934</w:t>
      </w:r>
    </w:p>
    <w:p>
      <w:pPr>
        <w:spacing w:after="0" w:line="247" w:lineRule="exact"/>
        <w:rPr>
          <w:sz w:val="24"/>
          <w:szCs w:val="24"/>
          <w:color w:val="auto"/>
        </w:rPr>
      </w:pPr>
    </w:p>
    <w:p>
      <w:pPr>
        <w:jc w:val="center"/>
        <w:ind w:right="-4"/>
        <w:spacing w:after="0"/>
        <w:rPr>
          <w:sz w:val="20"/>
          <w:szCs w:val="20"/>
          <w:color w:val="auto"/>
        </w:rPr>
      </w:pPr>
      <w:r>
        <w:rPr>
          <w:rFonts w:ascii="Arial" w:cs="Arial" w:eastAsia="Arial" w:hAnsi="Arial"/>
          <w:sz w:val="19"/>
          <w:szCs w:val="19"/>
          <w:color w:val="auto"/>
        </w:rPr>
        <w:t>OR</w:t>
      </w:r>
    </w:p>
    <w:p>
      <w:pPr>
        <w:spacing w:after="0" w:line="249" w:lineRule="exact"/>
        <w:rPr>
          <w:sz w:val="24"/>
          <w:szCs w:val="24"/>
          <w:color w:val="auto"/>
        </w:rPr>
      </w:pPr>
    </w:p>
    <w:p>
      <w:pPr>
        <w:ind w:left="445" w:hanging="445"/>
        <w:spacing w:after="0"/>
        <w:tabs>
          <w:tab w:leader="none" w:pos="445" w:val="left"/>
        </w:tabs>
        <w:numPr>
          <w:ilvl w:val="0"/>
          <w:numId w:val="4"/>
        </w:numPr>
        <w:rPr>
          <w:rFonts w:ascii="MS PGothic" w:cs="MS PGothic" w:eastAsia="MS PGothic" w:hAnsi="MS PGothic"/>
          <w:sz w:val="16"/>
          <w:szCs w:val="16"/>
          <w:color w:val="auto"/>
        </w:rPr>
      </w:pPr>
      <w:r>
        <w:rPr>
          <w:rFonts w:ascii="Arial" w:cs="Arial" w:eastAsia="Arial" w:hAnsi="Arial"/>
          <w:sz w:val="16"/>
          <w:szCs w:val="16"/>
          <w:color w:val="auto"/>
        </w:rPr>
        <w:t>SHELL COMPANY REPORT PURSUANT TO SECTION 13 OR 15(d) OF THE SECURITIES EXCHANGE ACT OF 1934</w:t>
      </w:r>
    </w:p>
    <w:p>
      <w:pPr>
        <w:spacing w:after="0" w:line="247" w:lineRule="exact"/>
        <w:rPr>
          <w:sz w:val="24"/>
          <w:szCs w:val="24"/>
          <w:color w:val="auto"/>
        </w:rPr>
      </w:pPr>
    </w:p>
    <w:p>
      <w:pPr>
        <w:ind w:left="5"/>
        <w:spacing w:after="0"/>
        <w:rPr>
          <w:sz w:val="20"/>
          <w:szCs w:val="20"/>
          <w:color w:val="auto"/>
        </w:rPr>
      </w:pPr>
      <w:r>
        <w:rPr>
          <w:rFonts w:ascii="Arial" w:cs="Arial" w:eastAsia="Arial" w:hAnsi="Arial"/>
          <w:sz w:val="19"/>
          <w:szCs w:val="19"/>
          <w:color w:val="auto"/>
        </w:rPr>
        <w:t>Date of event requiring this shell company report ________________</w:t>
      </w:r>
    </w:p>
    <w:p>
      <w:pPr>
        <w:spacing w:after="0" w:line="255" w:lineRule="exact"/>
        <w:rPr>
          <w:sz w:val="24"/>
          <w:szCs w:val="24"/>
          <w:color w:val="auto"/>
        </w:rPr>
      </w:pPr>
    </w:p>
    <w:p>
      <w:pPr>
        <w:jc w:val="center"/>
        <w:ind w:right="-4"/>
        <w:spacing w:after="0"/>
        <w:rPr>
          <w:sz w:val="20"/>
          <w:szCs w:val="20"/>
          <w:color w:val="auto"/>
        </w:rPr>
      </w:pPr>
      <w:r>
        <w:rPr>
          <w:rFonts w:ascii="Arial" w:cs="Arial" w:eastAsia="Arial" w:hAnsi="Arial"/>
          <w:sz w:val="19"/>
          <w:szCs w:val="19"/>
          <w:color w:val="auto"/>
        </w:rPr>
        <w:t>Commission file number 001-38367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3289300</wp:posOffset>
            </wp:positionH>
            <wp:positionV relativeFrom="paragraph">
              <wp:posOffset>15875</wp:posOffset>
            </wp:positionV>
            <wp:extent cx="578485" cy="3232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8485" cy="323215"/>
                    </a:xfrm>
                    <a:prstGeom prst="rect">
                      <a:avLst/>
                    </a:prstGeom>
                    <a:noFill/>
                  </pic:spPr>
                </pic:pic>
              </a:graphicData>
            </a:graphic>
          </wp:anchor>
        </w:drawing>
      </w:r>
    </w:p>
    <w:p>
      <w:pPr>
        <w:spacing w:after="0" w:line="200" w:lineRule="exact"/>
        <w:rPr>
          <w:sz w:val="24"/>
          <w:szCs w:val="24"/>
          <w:color w:val="auto"/>
        </w:rPr>
      </w:pPr>
    </w:p>
    <w:p>
      <w:pPr>
        <w:spacing w:after="0" w:line="298" w:lineRule="exact"/>
        <w:rPr>
          <w:sz w:val="24"/>
          <w:szCs w:val="24"/>
          <w:color w:val="auto"/>
        </w:rPr>
      </w:pPr>
    </w:p>
    <w:p>
      <w:pPr>
        <w:jc w:val="center"/>
        <w:ind w:right="-4"/>
        <w:spacing w:after="0"/>
        <w:rPr>
          <w:sz w:val="20"/>
          <w:szCs w:val="20"/>
          <w:color w:val="auto"/>
        </w:rPr>
      </w:pPr>
      <w:r>
        <w:rPr>
          <w:rFonts w:ascii="Arial" w:cs="Arial" w:eastAsia="Arial" w:hAnsi="Arial"/>
          <w:sz w:val="25"/>
          <w:szCs w:val="25"/>
          <w:b w:val="1"/>
          <w:bCs w:val="1"/>
          <w:color w:val="auto"/>
        </w:rPr>
        <w:t>Sol-Gel Technologies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728345</wp:posOffset>
            </wp:positionH>
            <wp:positionV relativeFrom="paragraph">
              <wp:posOffset>22860</wp:posOffset>
            </wp:positionV>
            <wp:extent cx="5699760" cy="15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99760" cy="15240"/>
                    </a:xfrm>
                    <a:prstGeom prst="rect">
                      <a:avLst/>
                    </a:prstGeom>
                    <a:noFill/>
                  </pic:spPr>
                </pic:pic>
              </a:graphicData>
            </a:graphic>
          </wp:anchor>
        </w:drawing>
      </w:r>
    </w:p>
    <w:p>
      <w:pPr>
        <w:spacing w:after="0" w:line="27"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(Exact name of Registrant as specified in its charter)</w:t>
      </w:r>
    </w:p>
    <w:p>
      <w:pPr>
        <w:spacing w:after="0" w:line="194"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728345</wp:posOffset>
            </wp:positionH>
            <wp:positionV relativeFrom="paragraph">
              <wp:posOffset>11430</wp:posOffset>
            </wp:positionV>
            <wp:extent cx="5699760" cy="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99760" cy="15240"/>
                    </a:xfrm>
                    <a:prstGeom prst="rect">
                      <a:avLst/>
                    </a:prstGeom>
                    <a:noFill/>
                  </pic:spPr>
                </pic:pic>
              </a:graphicData>
            </a:graphic>
          </wp:anchor>
        </w:drawing>
      </w:r>
    </w:p>
    <w:p>
      <w:pPr>
        <w:spacing w:after="0" w:line="9"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(Translation of Registrant’s name into English)</w:t>
      </w:r>
    </w:p>
    <w:p>
      <w:pPr>
        <w:spacing w:after="0" w:line="194"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728345</wp:posOffset>
            </wp:positionH>
            <wp:positionV relativeFrom="paragraph">
              <wp:posOffset>11430</wp:posOffset>
            </wp:positionV>
            <wp:extent cx="5699760" cy="15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99760" cy="15240"/>
                    </a:xfrm>
                    <a:prstGeom prst="rect">
                      <a:avLst/>
                    </a:prstGeom>
                    <a:noFill/>
                  </pic:spPr>
                </pic:pic>
              </a:graphicData>
            </a:graphic>
          </wp:anchor>
        </w:drawing>
      </w:r>
    </w:p>
    <w:p>
      <w:pPr>
        <w:spacing w:after="0" w:line="9"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(Jurisdiction of incorporation or organization)</w:t>
      </w:r>
    </w:p>
    <w:p>
      <w:pPr>
        <w:spacing w:after="0" w:line="242"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7 Golda Meir St., Weizmann Science Park, Ness Ziona, 7403650, 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11430</wp:posOffset>
            </wp:positionV>
            <wp:extent cx="7149465" cy="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pacing w:after="0" w:line="9"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(Address of principal executive offices)</w:t>
      </w:r>
    </w:p>
    <w:p>
      <w:pPr>
        <w:spacing w:after="0" w:line="194"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Gilad Mamlok, Chief Financial Officer</w:t>
      </w:r>
    </w:p>
    <w:p>
      <w:pPr>
        <w:spacing w:after="0" w:line="16"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7 Golda Meir St., Weizmann Science Park, Ness Ziona, 7403650, Israel</w:t>
      </w:r>
    </w:p>
    <w:p>
      <w:pPr>
        <w:spacing w:after="0" w:line="5" w:lineRule="exact"/>
        <w:rPr>
          <w:sz w:val="24"/>
          <w:szCs w:val="24"/>
          <w:color w:val="auto"/>
        </w:rPr>
      </w:pPr>
    </w:p>
    <w:p>
      <w:pPr>
        <w:jc w:val="center"/>
        <w:ind w:right="-4"/>
        <w:spacing w:after="0"/>
        <w:rPr>
          <w:sz w:val="20"/>
          <w:szCs w:val="20"/>
          <w:color w:val="auto"/>
        </w:rPr>
      </w:pPr>
      <w:r>
        <w:rPr>
          <w:rFonts w:ascii="Arial" w:cs="Arial" w:eastAsia="Arial" w:hAnsi="Arial"/>
          <w:sz w:val="16"/>
          <w:szCs w:val="16"/>
          <w:color w:val="auto"/>
        </w:rPr>
        <w:t>Tel: 972-8-9313429; Fax: 972-153-523044444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4445</wp:posOffset>
            </wp:positionV>
            <wp:extent cx="7149465" cy="152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jc w:val="center"/>
        <w:ind w:right="-4"/>
        <w:spacing w:after="0"/>
        <w:rPr>
          <w:sz w:val="20"/>
          <w:szCs w:val="20"/>
          <w:color w:val="auto"/>
        </w:rPr>
      </w:pPr>
      <w:r>
        <w:rPr>
          <w:rFonts w:ascii="Arial" w:cs="Arial" w:eastAsia="Arial" w:hAnsi="Arial"/>
          <w:sz w:val="16"/>
          <w:szCs w:val="16"/>
          <w:color w:val="auto"/>
        </w:rPr>
        <w:t>(Name, Telephone, E-mail and/or Facsimile number and Address of Company Contact Person)</w:t>
      </w:r>
    </w:p>
    <w:p>
      <w:pPr>
        <w:spacing w:after="0" w:line="247" w:lineRule="exact"/>
        <w:rPr>
          <w:sz w:val="24"/>
          <w:szCs w:val="24"/>
          <w:color w:val="auto"/>
        </w:rPr>
      </w:pPr>
    </w:p>
    <w:p>
      <w:pPr>
        <w:jc w:val="center"/>
        <w:ind w:right="-4"/>
        <w:spacing w:after="0"/>
        <w:rPr>
          <w:sz w:val="20"/>
          <w:szCs w:val="20"/>
          <w:color w:val="auto"/>
        </w:rPr>
      </w:pPr>
      <w:r>
        <w:rPr>
          <w:rFonts w:ascii="Arial" w:cs="Arial" w:eastAsia="Arial" w:hAnsi="Arial"/>
          <w:sz w:val="19"/>
          <w:szCs w:val="19"/>
          <w:color w:val="auto"/>
        </w:rPr>
        <w:t>Securities registered or to be registered pursuant to Section 12(b) of the Act.</w:t>
      </w:r>
    </w:p>
    <w:p>
      <w:pPr>
        <w:spacing w:after="0" w:line="249" w:lineRule="exact"/>
        <w:rPr>
          <w:sz w:val="24"/>
          <w:szCs w:val="24"/>
          <w:color w:val="auto"/>
        </w:rPr>
      </w:pPr>
    </w:p>
    <w:tbl>
      <w:tblPr>
        <w:tblLayout w:type="fixed"/>
        <w:tblInd w:w="5" w:type="dxa"/>
        <w:tblCellMar>
          <w:top w:w="0" w:type="dxa"/>
          <w:left w:w="0" w:type="dxa"/>
          <w:bottom w:w="0" w:type="dxa"/>
          <w:right w:w="0" w:type="dxa"/>
        </w:tblCellMar>
      </w:tblPr>
      <w:tr>
        <w:trPr>
          <w:trHeight w:val="205"/>
        </w:trPr>
        <w:tc>
          <w:tcPr>
            <w:tcW w:w="2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Title of each class</w:t>
            </w:r>
          </w:p>
        </w:tc>
        <w:tc>
          <w:tcPr>
            <w:tcW w:w="122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1"/>
              </w:rPr>
              <w:t>Trading Symbol(s)</w:t>
            </w:r>
          </w:p>
        </w:tc>
        <w:tc>
          <w:tcPr>
            <w:tcW w:w="220" w:type="dxa"/>
            <w:vAlign w:val="bottom"/>
          </w:tcPr>
          <w:p>
            <w:pPr>
              <w:spacing w:after="0"/>
              <w:rPr>
                <w:sz w:val="17"/>
                <w:szCs w:val="17"/>
                <w:color w:val="auto"/>
              </w:rPr>
            </w:pPr>
          </w:p>
        </w:tc>
        <w:tc>
          <w:tcPr>
            <w:tcW w:w="36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8"/>
              </w:rPr>
              <w:t>Name of each exchange on which registered</w:t>
            </w:r>
          </w:p>
        </w:tc>
      </w:tr>
      <w:tr>
        <w:trPr>
          <w:trHeight w:val="200"/>
        </w:trPr>
        <w:tc>
          <w:tcPr>
            <w:tcW w:w="2380" w:type="dxa"/>
            <w:vAlign w:val="bottom"/>
          </w:tcPr>
          <w:p>
            <w:pPr>
              <w:jc w:val="right"/>
              <w:spacing w:after="0"/>
              <w:rPr>
                <w:sz w:val="20"/>
                <w:szCs w:val="20"/>
                <w:color w:val="auto"/>
              </w:rPr>
            </w:pPr>
            <w:r>
              <w:rPr>
                <w:rFonts w:ascii="Arial" w:cs="Arial" w:eastAsia="Arial" w:hAnsi="Arial"/>
                <w:sz w:val="16"/>
                <w:szCs w:val="16"/>
                <w:color w:val="auto"/>
              </w:rPr>
              <w:t>Ordinary Shares, par value NIS</w:t>
            </w:r>
          </w:p>
        </w:tc>
        <w:tc>
          <w:tcPr>
            <w:tcW w:w="1220" w:type="dxa"/>
            <w:vAlign w:val="bottom"/>
          </w:tcPr>
          <w:p>
            <w:pPr>
              <w:ind w:left="20"/>
              <w:spacing w:after="0"/>
              <w:rPr>
                <w:sz w:val="20"/>
                <w:szCs w:val="20"/>
                <w:color w:val="auto"/>
              </w:rPr>
            </w:pPr>
            <w:r>
              <w:rPr>
                <w:rFonts w:ascii="Arial" w:cs="Arial" w:eastAsia="Arial" w:hAnsi="Arial"/>
                <w:sz w:val="16"/>
                <w:szCs w:val="16"/>
                <w:color w:val="auto"/>
              </w:rPr>
              <w:t>0.1 per share</w:t>
            </w:r>
          </w:p>
        </w:tc>
        <w:tc>
          <w:tcPr>
            <w:tcW w:w="240" w:type="dxa"/>
            <w:vAlign w:val="bottom"/>
          </w:tcPr>
          <w:p>
            <w:pPr>
              <w:spacing w:after="0"/>
              <w:rPr>
                <w:sz w:val="17"/>
                <w:szCs w:val="17"/>
                <w:color w:val="auto"/>
              </w:rPr>
            </w:pPr>
          </w:p>
        </w:tc>
        <w:tc>
          <w:tcPr>
            <w:tcW w:w="3600" w:type="dxa"/>
            <w:vAlign w:val="bottom"/>
          </w:tcPr>
          <w:p>
            <w:pPr>
              <w:jc w:val="center"/>
              <w:spacing w:after="0"/>
              <w:rPr>
                <w:sz w:val="20"/>
                <w:szCs w:val="20"/>
                <w:color w:val="auto"/>
              </w:rPr>
            </w:pPr>
            <w:r>
              <w:rPr>
                <w:rFonts w:ascii="Arial" w:cs="Arial" w:eastAsia="Arial" w:hAnsi="Arial"/>
                <w:sz w:val="16"/>
                <w:szCs w:val="16"/>
                <w:color w:val="auto"/>
                <w:w w:val="97"/>
              </w:rPr>
              <w:t>SLGL</w:t>
            </w:r>
          </w:p>
        </w:tc>
        <w:tc>
          <w:tcPr>
            <w:tcW w:w="220" w:type="dxa"/>
            <w:vAlign w:val="bottom"/>
          </w:tcPr>
          <w:p>
            <w:pPr>
              <w:spacing w:after="0"/>
              <w:rPr>
                <w:sz w:val="17"/>
                <w:szCs w:val="17"/>
                <w:color w:val="auto"/>
              </w:rPr>
            </w:pPr>
          </w:p>
        </w:tc>
        <w:tc>
          <w:tcPr>
            <w:tcW w:w="3600" w:type="dxa"/>
            <w:vAlign w:val="bottom"/>
          </w:tcPr>
          <w:p>
            <w:pPr>
              <w:jc w:val="center"/>
              <w:spacing w:after="0"/>
              <w:rPr>
                <w:sz w:val="20"/>
                <w:szCs w:val="20"/>
                <w:color w:val="auto"/>
              </w:rPr>
            </w:pPr>
            <w:r>
              <w:rPr>
                <w:rFonts w:ascii="Arial" w:cs="Arial" w:eastAsia="Arial" w:hAnsi="Arial"/>
                <w:sz w:val="16"/>
                <w:szCs w:val="16"/>
                <w:color w:val="auto"/>
                <w:w w:val="90"/>
              </w:rPr>
              <w:t>The Nasdaq Stock Market LLC</w:t>
            </w:r>
          </w:p>
        </w:tc>
      </w:tr>
      <w:tr>
        <w:trPr>
          <w:trHeight w:val="383"/>
        </w:trPr>
        <w:tc>
          <w:tcPr>
            <w:tcW w:w="23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r>
    </w:tbl>
    <w:p>
      <w:pPr>
        <w:sectPr>
          <w:pgSz w:w="11900" w:h="16838" w:orient="portrait"/>
          <w:cols w:equalWidth="0" w:num="1">
            <w:col w:w="11265"/>
          </w:cols>
          <w:pgMar w:left="315" w:top="729" w:right="319" w:bottom="1440" w:gutter="0" w:footer="0" w:header="0"/>
        </w:sectPr>
      </w:pPr>
    </w:p>
    <w:bookmarkStart w:id="1" w:name="page2"/>
    <w:bookmarkEnd w:id="1"/>
    <w:p>
      <w:pPr>
        <w:spacing w:after="0"/>
        <w:rPr>
          <w:sz w:val="20"/>
          <w:szCs w:val="20"/>
          <w:color w:val="auto"/>
        </w:rPr>
      </w:pPr>
      <w:r>
        <w:rPr>
          <w:rFonts w:ascii="Arial" w:cs="Arial" w:eastAsia="Arial" w:hAnsi="Arial"/>
          <w:sz w:val="19"/>
          <w:szCs w:val="19"/>
          <w:color w:val="auto"/>
        </w:rPr>
        <w:t>Securities registered or to be registered pursuant to Section 12(g) of the Act:</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11430</wp:posOffset>
            </wp:positionV>
            <wp:extent cx="7149465" cy="152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(Title of Class)</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color w:val="auto"/>
        </w:rPr>
        <w:t>Securities for which there is a reporting obligation pursuant to Section 15(d) of the Act:</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11430</wp:posOffset>
            </wp:positionV>
            <wp:extent cx="7149465" cy="152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(Title of Class)</w:t>
      </w:r>
    </w:p>
    <w:p>
      <w:pPr>
        <w:spacing w:after="0" w:line="247" w:lineRule="exact"/>
        <w:rPr>
          <w:sz w:val="20"/>
          <w:szCs w:val="20"/>
          <w:color w:val="auto"/>
        </w:rPr>
      </w:pPr>
    </w:p>
    <w:p>
      <w:pPr>
        <w:jc w:val="both"/>
        <w:ind w:firstLine="818"/>
        <w:spacing w:after="0" w:line="284" w:lineRule="auto"/>
        <w:rPr>
          <w:sz w:val="20"/>
          <w:szCs w:val="20"/>
          <w:color w:val="auto"/>
        </w:rPr>
      </w:pPr>
      <w:r>
        <w:rPr>
          <w:rFonts w:ascii="Arial" w:cs="Arial" w:eastAsia="Arial" w:hAnsi="Arial"/>
          <w:sz w:val="19"/>
          <w:szCs w:val="19"/>
          <w:color w:val="auto"/>
        </w:rPr>
        <w:t>Indicate the number of outstanding shares of each of the issuer’s classes of capital or common stock as of the close of the period covered by the annual report: 23,000,782 Ordinary Shares, par value NIS 0.1 per share,</w:t>
      </w:r>
    </w:p>
    <w:p>
      <w:pPr>
        <w:spacing w:after="0" w:line="193" w:lineRule="exact"/>
        <w:rPr>
          <w:sz w:val="20"/>
          <w:szCs w:val="20"/>
          <w:color w:val="auto"/>
        </w:rPr>
      </w:pPr>
    </w:p>
    <w:p>
      <w:pPr>
        <w:ind w:left="560"/>
        <w:spacing w:after="0"/>
        <w:rPr>
          <w:sz w:val="20"/>
          <w:szCs w:val="20"/>
          <w:color w:val="auto"/>
        </w:rPr>
      </w:pPr>
      <w:r>
        <w:rPr>
          <w:rFonts w:ascii="Arial" w:cs="Arial" w:eastAsia="Arial" w:hAnsi="Arial"/>
          <w:sz w:val="19"/>
          <w:szCs w:val="19"/>
          <w:color w:val="auto"/>
        </w:rPr>
        <w:t>Indicate by check mark if the registrant is a well-known seasoned issuer, as defined in Rule 405 of the Securities Act.</w:t>
      </w:r>
    </w:p>
    <w:p>
      <w:pPr>
        <w:spacing w:after="0" w:line="220" w:lineRule="exact"/>
        <w:rPr>
          <w:sz w:val="20"/>
          <w:szCs w:val="20"/>
          <w:color w:val="auto"/>
        </w:rPr>
      </w:pPr>
    </w:p>
    <w:p>
      <w:pPr>
        <w:jc w:val="center"/>
        <w:spacing w:after="0" w:line="219" w:lineRule="exact"/>
        <w:tabs>
          <w:tab w:leader="none" w:pos="440" w:val="left"/>
        </w:tabs>
        <w:rPr>
          <w:sz w:val="20"/>
          <w:szCs w:val="20"/>
          <w:color w:val="auto"/>
        </w:rPr>
      </w:pPr>
      <w:r>
        <w:rPr>
          <w:rFonts w:ascii="Arial" w:cs="Arial" w:eastAsia="Arial" w:hAnsi="Arial"/>
          <w:sz w:val="19"/>
          <w:szCs w:val="19"/>
          <w:color w:val="auto"/>
        </w:rPr>
        <w:t xml:space="preserve">Yes </w:t>
      </w:r>
      <w:r>
        <w:rPr>
          <w:rFonts w:ascii="MS PGothic" w:cs="MS PGothic" w:eastAsia="MS PGothic" w:hAnsi="MS PGothic"/>
          <w:sz w:val="19"/>
          <w:szCs w:val="19"/>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90"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If this report is an annual or transition report, indicate by check mark if the registrant is not required to file reports pursuant to Section 13 or 15(d) of the Securities Exchange Act 1934.</w:t>
      </w:r>
    </w:p>
    <w:p>
      <w:pPr>
        <w:spacing w:after="0" w:line="158" w:lineRule="exact"/>
        <w:rPr>
          <w:sz w:val="20"/>
          <w:szCs w:val="20"/>
          <w:color w:val="auto"/>
        </w:rPr>
      </w:pPr>
    </w:p>
    <w:p>
      <w:pPr>
        <w:jc w:val="center"/>
        <w:spacing w:after="0" w:line="219" w:lineRule="exact"/>
        <w:tabs>
          <w:tab w:leader="none" w:pos="440" w:val="left"/>
        </w:tabs>
        <w:rPr>
          <w:sz w:val="20"/>
          <w:szCs w:val="20"/>
          <w:color w:val="auto"/>
        </w:rPr>
      </w:pPr>
      <w:r>
        <w:rPr>
          <w:rFonts w:ascii="Arial" w:cs="Arial" w:eastAsia="Arial" w:hAnsi="Arial"/>
          <w:sz w:val="19"/>
          <w:szCs w:val="19"/>
          <w:color w:val="auto"/>
        </w:rPr>
        <w:t xml:space="preserve">Yes </w:t>
      </w:r>
      <w:r>
        <w:rPr>
          <w:rFonts w:ascii="MS PGothic" w:cs="MS PGothic" w:eastAsia="MS PGothic" w:hAnsi="MS PGothic"/>
          <w:sz w:val="19"/>
          <w:szCs w:val="19"/>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90"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71" w:lineRule="exact"/>
        <w:rPr>
          <w:sz w:val="20"/>
          <w:szCs w:val="20"/>
          <w:color w:val="auto"/>
        </w:rPr>
      </w:pPr>
    </w:p>
    <w:p>
      <w:pPr>
        <w:jc w:val="center"/>
        <w:spacing w:after="0" w:line="219" w:lineRule="exact"/>
        <w:tabs>
          <w:tab w:leader="none" w:pos="500" w:val="left"/>
        </w:tabs>
        <w:rPr>
          <w:sz w:val="20"/>
          <w:szCs w:val="20"/>
          <w:color w:val="auto"/>
        </w:rPr>
      </w:pPr>
      <w:r>
        <w:rPr>
          <w:rFonts w:ascii="Arial" w:cs="Arial" w:eastAsia="Arial" w:hAnsi="Arial"/>
          <w:sz w:val="19"/>
          <w:szCs w:val="19"/>
          <w:color w:val="auto"/>
        </w:rPr>
        <w:t xml:space="preserve">Yes </w:t>
      </w:r>
      <w:r>
        <w:rPr>
          <w:rFonts w:ascii="MS PGothic" w:cs="MS PGothic" w:eastAsia="MS PGothic" w:hAnsi="MS PGothic"/>
          <w:sz w:val="19"/>
          <w:szCs w:val="19"/>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90" w:lineRule="exact"/>
        <w:rPr>
          <w:sz w:val="20"/>
          <w:szCs w:val="20"/>
          <w:color w:val="auto"/>
        </w:rPr>
      </w:pPr>
    </w:p>
    <w:p>
      <w:pPr>
        <w:jc w:val="both"/>
        <w:ind w:firstLine="716"/>
        <w:spacing w:after="0" w:line="271" w:lineRule="auto"/>
        <w:rPr>
          <w:sz w:val="20"/>
          <w:szCs w:val="20"/>
          <w:color w:val="auto"/>
        </w:rPr>
      </w:pPr>
      <w:r>
        <w:rPr>
          <w:rFonts w:ascii="Arial" w:cs="Arial" w:eastAsia="Arial" w:hAnsi="Arial"/>
          <w:sz w:val="19"/>
          <w:szCs w:val="19"/>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71" w:lineRule="exact"/>
        <w:rPr>
          <w:sz w:val="20"/>
          <w:szCs w:val="20"/>
          <w:color w:val="auto"/>
        </w:rPr>
      </w:pPr>
    </w:p>
    <w:p>
      <w:pPr>
        <w:jc w:val="center"/>
        <w:spacing w:after="0" w:line="219" w:lineRule="exact"/>
        <w:tabs>
          <w:tab w:leader="none" w:pos="500" w:val="left"/>
        </w:tabs>
        <w:rPr>
          <w:sz w:val="20"/>
          <w:szCs w:val="20"/>
          <w:color w:val="auto"/>
        </w:rPr>
      </w:pPr>
      <w:r>
        <w:rPr>
          <w:rFonts w:ascii="Arial" w:cs="Arial" w:eastAsia="Arial" w:hAnsi="Arial"/>
          <w:sz w:val="19"/>
          <w:szCs w:val="19"/>
          <w:color w:val="auto"/>
        </w:rPr>
        <w:t xml:space="preserve">Yes </w:t>
      </w:r>
      <w:r>
        <w:rPr>
          <w:rFonts w:ascii="MS PGothic" w:cs="MS PGothic" w:eastAsia="MS PGothic" w:hAnsi="MS PGothic"/>
          <w:sz w:val="19"/>
          <w:szCs w:val="19"/>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pacing w:after="0" w:line="290"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Indicate by check mark whether the registrant is a large accelerated filer, an accelerated filer, or a non-accelerated filer. See definition of “accelerated filer and large accelerated filer” in Rule 12b-2 of the Exchange Act. (Check one):</w:t>
      </w:r>
    </w:p>
    <w:p>
      <w:pPr>
        <w:spacing w:after="0" w:line="159" w:lineRule="exact"/>
        <w:rPr>
          <w:sz w:val="20"/>
          <w:szCs w:val="20"/>
          <w:color w:val="auto"/>
        </w:rPr>
      </w:pPr>
    </w:p>
    <w:p>
      <w:pPr>
        <w:ind w:left="1040"/>
        <w:spacing w:after="0" w:line="184" w:lineRule="exact"/>
        <w:tabs>
          <w:tab w:leader="none" w:pos="4980" w:val="left"/>
          <w:tab w:leader="none" w:pos="7480" w:val="left"/>
        </w:tabs>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r>
        <w:rPr>
          <w:sz w:val="20"/>
          <w:szCs w:val="20"/>
          <w:color w:val="auto"/>
        </w:rPr>
        <w:tab/>
      </w:r>
      <w:r>
        <w:rPr>
          <w:rFonts w:ascii="Arial" w:cs="Arial" w:eastAsia="Arial" w:hAnsi="Arial"/>
          <w:sz w:val="16"/>
          <w:szCs w:val="16"/>
          <w:color w:val="auto"/>
        </w:rPr>
        <w:t xml:space="preserve">Accelerated filer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Non-accelerated filer </w:t>
      </w:r>
      <w:r>
        <w:rPr>
          <w:rFonts w:ascii="MS PGothic" w:cs="MS PGothic" w:eastAsia="MS PGothic" w:hAnsi="MS PGothic"/>
          <w:sz w:val="14"/>
          <w:szCs w:val="14"/>
          <w:color w:val="auto"/>
        </w:rPr>
        <w:t>☒</w:t>
      </w:r>
    </w:p>
    <w:p>
      <w:pPr>
        <w:spacing w:after="0" w:line="41" w:lineRule="exact"/>
        <w:rPr>
          <w:sz w:val="20"/>
          <w:szCs w:val="20"/>
          <w:color w:val="auto"/>
        </w:rPr>
      </w:pPr>
    </w:p>
    <w:p>
      <w:pPr>
        <w:ind w:left="750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39" w:lineRule="exact"/>
        <w:rPr>
          <w:sz w:val="20"/>
          <w:szCs w:val="20"/>
          <w:color w:val="auto"/>
        </w:rPr>
      </w:pPr>
    </w:p>
    <w:p>
      <w:pPr>
        <w:ind w:right="520" w:firstLine="568"/>
        <w:spacing w:after="0" w:line="245" w:lineRule="exact"/>
        <w:rPr>
          <w:sz w:val="20"/>
          <w:szCs w:val="20"/>
          <w:color w:val="auto"/>
        </w:rPr>
      </w:pPr>
      <w:r>
        <w:rPr>
          <w:rFonts w:ascii="Arial" w:cs="Arial" w:eastAsia="Arial" w:hAnsi="Arial"/>
          <w:sz w:val="19"/>
          <w:szCs w:val="19"/>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9"/>
          <w:szCs w:val="19"/>
          <w:color w:val="auto"/>
        </w:rPr>
        <w:t>☐</w:t>
      </w:r>
    </w:p>
    <w:p>
      <w:pPr>
        <w:spacing w:after="0" w:line="211" w:lineRule="exact"/>
        <w:rPr>
          <w:sz w:val="20"/>
          <w:szCs w:val="20"/>
          <w:color w:val="auto"/>
        </w:rPr>
      </w:pPr>
    </w:p>
    <w:p>
      <w:pPr>
        <w:ind w:right="80" w:firstLine="568"/>
        <w:spacing w:after="0" w:line="245" w:lineRule="exact"/>
        <w:rPr>
          <w:sz w:val="20"/>
          <w:szCs w:val="20"/>
          <w:color w:val="auto"/>
        </w:rPr>
      </w:pPr>
      <w:r>
        <w:rPr>
          <w:rFonts w:ascii="Arial" w:cs="Arial" w:eastAsia="Arial" w:hAnsi="Arial"/>
          <w:sz w:val="19"/>
          <w:szCs w:val="19"/>
          <w:color w:val="auto"/>
        </w:rPr>
        <w:t xml:space="preserve">Indicate by check mark whether the registrant has fi 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9"/>
          <w:szCs w:val="19"/>
          <w:color w:val="auto"/>
        </w:rPr>
        <w:t>☐</w:t>
      </w:r>
    </w:p>
    <w:p>
      <w:pPr>
        <w:spacing w:after="0" w:line="211" w:lineRule="exact"/>
        <w:rPr>
          <w:sz w:val="20"/>
          <w:szCs w:val="20"/>
          <w:color w:val="auto"/>
        </w:rPr>
      </w:pPr>
    </w:p>
    <w:p>
      <w:pPr>
        <w:jc w:val="center"/>
        <w:ind w:right="240"/>
        <w:spacing w:after="0"/>
        <w:rPr>
          <w:sz w:val="20"/>
          <w:szCs w:val="20"/>
          <w:color w:val="auto"/>
        </w:rPr>
      </w:pPr>
      <w:r>
        <w:rPr>
          <w:rFonts w:ascii="Arial" w:cs="Arial" w:eastAsia="Arial" w:hAnsi="Arial"/>
          <w:sz w:val="19"/>
          <w:szCs w:val="19"/>
          <w:color w:val="auto"/>
        </w:rPr>
        <w:t>Indicate by check mark which basis of accounting the registrant has used to prepare the financial statements included in this filing:</w:t>
      </w:r>
    </w:p>
    <w:p>
      <w:pPr>
        <w:spacing w:after="0" w:line="220" w:lineRule="exact"/>
        <w:rPr>
          <w:sz w:val="20"/>
          <w:szCs w:val="20"/>
          <w:color w:val="auto"/>
        </w:rPr>
      </w:pPr>
    </w:p>
    <w:p>
      <w:pPr>
        <w:jc w:val="center"/>
        <w:spacing w:after="0" w:line="219" w:lineRule="exact"/>
        <w:rPr>
          <w:sz w:val="20"/>
          <w:szCs w:val="20"/>
          <w:color w:val="auto"/>
        </w:rPr>
      </w:pPr>
      <w:r>
        <w:rPr>
          <w:rFonts w:ascii="Arial" w:cs="Arial" w:eastAsia="Arial" w:hAnsi="Arial"/>
          <w:sz w:val="19"/>
          <w:szCs w:val="19"/>
          <w:color w:val="auto"/>
        </w:rPr>
        <w:t xml:space="preserve">U.S. GAAP </w:t>
      </w:r>
      <w:r>
        <w:rPr>
          <w:rFonts w:ascii="MS PGothic" w:cs="MS PGothic" w:eastAsia="MS PGothic" w:hAnsi="MS PGothic"/>
          <w:sz w:val="19"/>
          <w:szCs w:val="19"/>
          <w:color w:val="auto"/>
        </w:rPr>
        <w:t>☒</w:t>
      </w:r>
    </w:p>
    <w:p>
      <w:pPr>
        <w:spacing w:after="0" w:line="255" w:lineRule="exact"/>
        <w:rPr>
          <w:sz w:val="20"/>
          <w:szCs w:val="20"/>
          <w:color w:val="auto"/>
        </w:rPr>
      </w:pPr>
    </w:p>
    <w:p>
      <w:pPr>
        <w:ind w:left="560"/>
        <w:spacing w:after="0" w:line="219" w:lineRule="exact"/>
        <w:rPr>
          <w:sz w:val="20"/>
          <w:szCs w:val="20"/>
          <w:color w:val="auto"/>
        </w:rPr>
      </w:pPr>
      <w:r>
        <w:rPr>
          <w:rFonts w:ascii="Arial" w:cs="Arial" w:eastAsia="Arial" w:hAnsi="Arial"/>
          <w:sz w:val="19"/>
          <w:szCs w:val="19"/>
          <w:color w:val="auto"/>
        </w:rPr>
        <w:t xml:space="preserve">International Financing Reporting Standards as issued by the International Accounting Standards Board </w:t>
      </w:r>
      <w:r>
        <w:rPr>
          <w:rFonts w:ascii="MS PGothic" w:cs="MS PGothic" w:eastAsia="MS PGothic" w:hAnsi="MS PGothic"/>
          <w:sz w:val="19"/>
          <w:szCs w:val="19"/>
          <w:color w:val="auto"/>
        </w:rPr>
        <w:t>☐</w:t>
      </w:r>
      <w:r>
        <w:rPr>
          <w:rFonts w:ascii="Arial" w:cs="Arial" w:eastAsia="Arial" w:hAnsi="Arial"/>
          <w:sz w:val="19"/>
          <w:szCs w:val="19"/>
          <w:color w:val="auto"/>
        </w:rPr>
        <w:t xml:space="preserve"> Other </w:t>
      </w:r>
      <w:r>
        <w:rPr>
          <w:rFonts w:ascii="MS PGothic" w:cs="MS PGothic" w:eastAsia="MS PGothic" w:hAnsi="MS PGothic"/>
          <w:sz w:val="19"/>
          <w:szCs w:val="19"/>
          <w:color w:val="auto"/>
        </w:rPr>
        <w:t>☐</w:t>
      </w:r>
    </w:p>
    <w:p>
      <w:pPr>
        <w:spacing w:after="0" w:line="290" w:lineRule="exact"/>
        <w:rPr>
          <w:sz w:val="20"/>
          <w:szCs w:val="20"/>
          <w:color w:val="auto"/>
        </w:rPr>
      </w:pPr>
    </w:p>
    <w:p>
      <w:pPr>
        <w:ind w:firstLine="568"/>
        <w:spacing w:after="0" w:line="284" w:lineRule="auto"/>
        <w:rPr>
          <w:sz w:val="20"/>
          <w:szCs w:val="20"/>
          <w:color w:val="auto"/>
        </w:rPr>
      </w:pPr>
      <w:r>
        <w:rPr>
          <w:rFonts w:ascii="Arial" w:cs="Arial" w:eastAsia="Arial" w:hAnsi="Arial"/>
          <w:sz w:val="19"/>
          <w:szCs w:val="19"/>
          <w:color w:val="auto"/>
        </w:rPr>
        <w:t>If “Other” has been checked in response to the previous question, indicate by check mark which financial statement item the registrant has elected to follow.</w:t>
      </w:r>
    </w:p>
    <w:p>
      <w:pPr>
        <w:spacing w:after="0" w:line="158" w:lineRule="exact"/>
        <w:rPr>
          <w:sz w:val="20"/>
          <w:szCs w:val="20"/>
          <w:color w:val="auto"/>
        </w:rPr>
      </w:pPr>
    </w:p>
    <w:p>
      <w:pPr>
        <w:jc w:val="center"/>
        <w:spacing w:after="0" w:line="219" w:lineRule="exact"/>
        <w:tabs>
          <w:tab w:leader="none" w:pos="440" w:val="left"/>
        </w:tabs>
        <w:rPr>
          <w:sz w:val="20"/>
          <w:szCs w:val="20"/>
          <w:color w:val="auto"/>
        </w:rPr>
      </w:pPr>
      <w:r>
        <w:rPr>
          <w:rFonts w:ascii="Arial" w:cs="Arial" w:eastAsia="Arial" w:hAnsi="Arial"/>
          <w:sz w:val="19"/>
          <w:szCs w:val="19"/>
          <w:color w:val="auto"/>
        </w:rPr>
        <w:t xml:space="preserve">Item 17 </w:t>
      </w:r>
      <w:r>
        <w:rPr>
          <w:rFonts w:ascii="MS PGothic" w:cs="MS PGothic" w:eastAsia="MS PGothic" w:hAnsi="MS PGothic"/>
          <w:sz w:val="19"/>
          <w:szCs w:val="19"/>
          <w:color w:val="auto"/>
        </w:rPr>
        <w:t>☐</w:t>
      </w:r>
      <w:r>
        <w:rPr>
          <w:sz w:val="20"/>
          <w:szCs w:val="20"/>
          <w:color w:val="auto"/>
        </w:rPr>
        <w:tab/>
      </w:r>
      <w:r>
        <w:rPr>
          <w:rFonts w:ascii="Arial" w:cs="Arial" w:eastAsia="Arial" w:hAnsi="Arial"/>
          <w:sz w:val="17"/>
          <w:szCs w:val="17"/>
          <w:color w:val="auto"/>
        </w:rPr>
        <w:t xml:space="preserve">Item 18 </w:t>
      </w:r>
      <w:r>
        <w:rPr>
          <w:rFonts w:ascii="MS PGothic" w:cs="MS PGothic" w:eastAsia="MS PGothic" w:hAnsi="MS PGothic"/>
          <w:sz w:val="17"/>
          <w:szCs w:val="17"/>
          <w:color w:val="auto"/>
        </w:rPr>
        <w:t>☐</w:t>
      </w:r>
    </w:p>
    <w:p>
      <w:pPr>
        <w:spacing w:after="0" w:line="290" w:lineRule="exact"/>
        <w:rPr>
          <w:sz w:val="20"/>
          <w:szCs w:val="20"/>
          <w:color w:val="auto"/>
        </w:rPr>
      </w:pPr>
    </w:p>
    <w:p>
      <w:pPr>
        <w:jc w:val="center"/>
        <w:ind w:left="440"/>
        <w:spacing w:after="0"/>
        <w:rPr>
          <w:sz w:val="20"/>
          <w:szCs w:val="20"/>
          <w:color w:val="auto"/>
        </w:rPr>
      </w:pPr>
      <w:r>
        <w:rPr>
          <w:rFonts w:ascii="Arial" w:cs="Arial" w:eastAsia="Arial" w:hAnsi="Arial"/>
          <w:sz w:val="17"/>
          <w:szCs w:val="17"/>
          <w:color w:val="auto"/>
        </w:rPr>
        <w:t>If this is an annual report, indicate by check mark whether the registrant is a shell company (as defined in Rule 12b-2 of the Exchange Act).</w:t>
      </w:r>
    </w:p>
    <w:p>
      <w:pPr>
        <w:spacing w:after="0" w:line="243" w:lineRule="exact"/>
        <w:rPr>
          <w:sz w:val="20"/>
          <w:szCs w:val="20"/>
          <w:color w:val="auto"/>
        </w:rPr>
      </w:pPr>
    </w:p>
    <w:p>
      <w:pPr>
        <w:jc w:val="center"/>
        <w:spacing w:after="0" w:line="219" w:lineRule="exact"/>
        <w:tabs>
          <w:tab w:leader="none" w:pos="440" w:val="left"/>
        </w:tabs>
        <w:rPr>
          <w:sz w:val="20"/>
          <w:szCs w:val="20"/>
          <w:color w:val="auto"/>
        </w:rPr>
      </w:pPr>
      <w:r>
        <w:rPr>
          <w:rFonts w:ascii="Arial" w:cs="Arial" w:eastAsia="Arial" w:hAnsi="Arial"/>
          <w:sz w:val="19"/>
          <w:szCs w:val="19"/>
          <w:color w:val="auto"/>
        </w:rPr>
        <w:t xml:space="preserve">Yes </w:t>
      </w:r>
      <w:r>
        <w:rPr>
          <w:rFonts w:ascii="MS PGothic" w:cs="MS PGothic" w:eastAsia="MS PGothic" w:hAnsi="MS PGothic"/>
          <w:sz w:val="19"/>
          <w:szCs w:val="19"/>
          <w:color w:val="auto"/>
        </w:rPr>
        <w:t>☐</w:t>
      </w:r>
      <w:r>
        <w:rPr>
          <w:sz w:val="20"/>
          <w:szCs w:val="20"/>
          <w:color w:val="auto"/>
        </w:rPr>
        <w:tab/>
      </w:r>
      <w:r>
        <w:rPr>
          <w:rFonts w:ascii="Arial" w:cs="Arial" w:eastAsia="Arial" w:hAnsi="Arial"/>
          <w:sz w:val="17"/>
          <w:szCs w:val="17"/>
          <w:color w:val="auto"/>
        </w:rPr>
        <w:t xml:space="preserve">No </w:t>
      </w:r>
      <w:r>
        <w:rPr>
          <w:rFonts w:ascii="MS PGothic" w:cs="MS PGothic" w:eastAsia="MS PGothic" w:hAnsi="MS PGothic"/>
          <w:sz w:val="17"/>
          <w:szCs w:val="17"/>
          <w:color w:val="auto"/>
        </w:rPr>
        <w:t>☒</w:t>
      </w:r>
    </w:p>
    <w:p>
      <w:pPr>
        <w:sectPr>
          <w:pgSz w:w="11900" w:h="16838" w:orient="portrait"/>
          <w:cols w:equalWidth="0" w:num="1">
            <w:col w:w="11260"/>
          </w:cols>
          <w:pgMar w:left="320" w:top="132" w:right="319" w:bottom="1139" w:gutter="0" w:footer="0" w:header="0"/>
        </w:sect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53340</wp:posOffset>
            </wp:positionV>
            <wp:extent cx="7149465" cy="152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139" w:gutter="0" w:footer="0" w:header="0"/>
          <w:type w:val="continuous"/>
        </w:sectPr>
      </w:pPr>
    </w:p>
    <w:bookmarkStart w:id="2" w:name="page3"/>
    <w:bookmarkEnd w:id="2"/>
    <w:p>
      <w:pPr>
        <w:jc w:val="center"/>
        <w:ind w:right="20"/>
        <w:spacing w:after="0"/>
        <w:rPr>
          <w:sz w:val="20"/>
          <w:szCs w:val="20"/>
          <w:color w:val="auto"/>
        </w:rPr>
      </w:pPr>
      <w:r>
        <w:rPr>
          <w:rFonts w:ascii="Arial" w:cs="Arial" w:eastAsia="Arial" w:hAnsi="Arial"/>
          <w:sz w:val="19"/>
          <w:szCs w:val="19"/>
          <w:b w:val="1"/>
          <w:bCs w:val="1"/>
          <w:color w:val="auto"/>
        </w:rPr>
        <w:t>TABLE OF CONTENTS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940" w:type="dxa"/>
            <w:vAlign w:val="bottom"/>
          </w:tcPr>
          <w:p>
            <w:pPr>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ITEM 1.</w:t>
              </w:r>
            </w:hyperlink>
          </w:p>
        </w:tc>
        <w:tc>
          <w:tcPr>
            <w:tcW w:w="8580" w:type="dxa"/>
            <w:vAlign w:val="bottom"/>
          </w:tcPr>
          <w:p>
            <w:pPr>
              <w:ind w:left="200"/>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IDENTITY OF DIRECTORS, SENIOR MANAGEMENT AND ADVISERS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ITEM 2.</w:t>
              </w:r>
            </w:hyperlink>
          </w:p>
        </w:tc>
        <w:tc>
          <w:tcPr>
            <w:tcW w:w="8580" w:type="dxa"/>
            <w:vAlign w:val="bottom"/>
          </w:tcPr>
          <w:p>
            <w:pPr>
              <w:ind w:left="200"/>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OFFER STATISTICS AND EXPECTED TIMETABLE</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ITEM 3.</w:t>
              </w:r>
            </w:hyperlink>
          </w:p>
        </w:tc>
        <w:tc>
          <w:tcPr>
            <w:tcW w:w="8580" w:type="dxa"/>
            <w:vAlign w:val="bottom"/>
          </w:tcPr>
          <w:p>
            <w:pPr>
              <w:ind w:left="200"/>
              <w:spacing w:after="0"/>
              <w:rPr>
                <w:rFonts w:ascii="Arial" w:cs="Arial" w:eastAsia="Arial" w:hAnsi="Arial"/>
                <w:sz w:val="16"/>
                <w:szCs w:val="16"/>
                <w:u w:val="single" w:color="auto"/>
                <w:color w:val="0000EE"/>
              </w:rPr>
            </w:pPr>
            <w:hyperlink w:anchor="page6">
              <w:r>
                <w:rPr>
                  <w:rFonts w:ascii="Arial" w:cs="Arial" w:eastAsia="Arial" w:hAnsi="Arial"/>
                  <w:sz w:val="16"/>
                  <w:szCs w:val="16"/>
                  <w:u w:val="single" w:color="auto"/>
                  <w:color w:val="0000EE"/>
                </w:rPr>
                <w:t>KEY INFORMATION</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54">
              <w:r>
                <w:rPr>
                  <w:rFonts w:ascii="Arial" w:cs="Arial" w:eastAsia="Arial" w:hAnsi="Arial"/>
                  <w:sz w:val="16"/>
                  <w:szCs w:val="16"/>
                  <w:u w:val="single" w:color="auto"/>
                  <w:color w:val="0000EE"/>
                </w:rPr>
                <w:t>ITEM 4.</w:t>
              </w:r>
            </w:hyperlink>
          </w:p>
        </w:tc>
        <w:tc>
          <w:tcPr>
            <w:tcW w:w="8580" w:type="dxa"/>
            <w:vAlign w:val="bottom"/>
          </w:tcPr>
          <w:p>
            <w:pPr>
              <w:ind w:left="200"/>
              <w:spacing w:after="0"/>
              <w:rPr>
                <w:rFonts w:ascii="Arial" w:cs="Arial" w:eastAsia="Arial" w:hAnsi="Arial"/>
                <w:sz w:val="16"/>
                <w:szCs w:val="16"/>
                <w:u w:val="single" w:color="auto"/>
                <w:color w:val="0000EE"/>
              </w:rPr>
            </w:pPr>
            <w:hyperlink w:anchor="page54">
              <w:r>
                <w:rPr>
                  <w:rFonts w:ascii="Arial" w:cs="Arial" w:eastAsia="Arial" w:hAnsi="Arial"/>
                  <w:sz w:val="16"/>
                  <w:szCs w:val="16"/>
                  <w:u w:val="single" w:color="auto"/>
                  <w:color w:val="0000EE"/>
                </w:rPr>
                <w:t>INFORMATION ON THE COMPANY</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54</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87">
              <w:r>
                <w:rPr>
                  <w:rFonts w:ascii="Arial" w:cs="Arial" w:eastAsia="Arial" w:hAnsi="Arial"/>
                  <w:sz w:val="16"/>
                  <w:szCs w:val="16"/>
                  <w:u w:val="single" w:color="auto"/>
                  <w:color w:val="0000EE"/>
                </w:rPr>
                <w:t>ITEM 4A.</w:t>
              </w:r>
            </w:hyperlink>
          </w:p>
        </w:tc>
        <w:tc>
          <w:tcPr>
            <w:tcW w:w="8580" w:type="dxa"/>
            <w:vAlign w:val="bottom"/>
          </w:tcPr>
          <w:p>
            <w:pPr>
              <w:ind w:left="200"/>
              <w:spacing w:after="0"/>
              <w:rPr>
                <w:rFonts w:ascii="Arial" w:cs="Arial" w:eastAsia="Arial" w:hAnsi="Arial"/>
                <w:sz w:val="16"/>
                <w:szCs w:val="16"/>
                <w:u w:val="single" w:color="auto"/>
                <w:color w:val="0000EE"/>
              </w:rPr>
            </w:pPr>
            <w:hyperlink w:anchor="page87">
              <w:r>
                <w:rPr>
                  <w:rFonts w:ascii="Arial" w:cs="Arial" w:eastAsia="Arial" w:hAnsi="Arial"/>
                  <w:sz w:val="16"/>
                  <w:szCs w:val="16"/>
                  <w:u w:val="single" w:color="auto"/>
                  <w:color w:val="0000EE"/>
                </w:rPr>
                <w:t>UNRESOLVED STAFF COMMENTS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87</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87">
              <w:r>
                <w:rPr>
                  <w:rFonts w:ascii="Arial" w:cs="Arial" w:eastAsia="Arial" w:hAnsi="Arial"/>
                  <w:sz w:val="16"/>
                  <w:szCs w:val="16"/>
                  <w:u w:val="single" w:color="auto"/>
                  <w:color w:val="0000EE"/>
                </w:rPr>
                <w:t>ITEM 5.</w:t>
              </w:r>
            </w:hyperlink>
          </w:p>
        </w:tc>
        <w:tc>
          <w:tcPr>
            <w:tcW w:w="8580" w:type="dxa"/>
            <w:vAlign w:val="bottom"/>
          </w:tcPr>
          <w:p>
            <w:pPr>
              <w:ind w:left="200"/>
              <w:spacing w:after="0"/>
              <w:rPr>
                <w:rFonts w:ascii="Arial" w:cs="Arial" w:eastAsia="Arial" w:hAnsi="Arial"/>
                <w:sz w:val="16"/>
                <w:szCs w:val="16"/>
                <w:u w:val="single" w:color="auto"/>
                <w:color w:val="0000EE"/>
              </w:rPr>
            </w:pPr>
            <w:hyperlink w:anchor="page87">
              <w:r>
                <w:rPr>
                  <w:rFonts w:ascii="Arial" w:cs="Arial" w:eastAsia="Arial" w:hAnsi="Arial"/>
                  <w:sz w:val="16"/>
                  <w:szCs w:val="16"/>
                  <w:u w:val="single" w:color="auto"/>
                  <w:color w:val="0000EE"/>
                </w:rPr>
                <w:t>OPERATING AND FINANCIAL REVIEW AND PROSPECTS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87</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97">
              <w:r>
                <w:rPr>
                  <w:rFonts w:ascii="Arial" w:cs="Arial" w:eastAsia="Arial" w:hAnsi="Arial"/>
                  <w:sz w:val="16"/>
                  <w:szCs w:val="16"/>
                  <w:u w:val="single" w:color="auto"/>
                  <w:color w:val="0000EE"/>
                </w:rPr>
                <w:t>ITEM 6.</w:t>
              </w:r>
            </w:hyperlink>
          </w:p>
        </w:tc>
        <w:tc>
          <w:tcPr>
            <w:tcW w:w="8580" w:type="dxa"/>
            <w:vAlign w:val="bottom"/>
          </w:tcPr>
          <w:p>
            <w:pPr>
              <w:ind w:left="200"/>
              <w:spacing w:after="0"/>
              <w:rPr>
                <w:rFonts w:ascii="Arial" w:cs="Arial" w:eastAsia="Arial" w:hAnsi="Arial"/>
                <w:sz w:val="16"/>
                <w:szCs w:val="16"/>
                <w:u w:val="single" w:color="auto"/>
                <w:color w:val="0000EE"/>
              </w:rPr>
            </w:pPr>
            <w:hyperlink w:anchor="page97">
              <w:r>
                <w:rPr>
                  <w:rFonts w:ascii="Arial" w:cs="Arial" w:eastAsia="Arial" w:hAnsi="Arial"/>
                  <w:sz w:val="16"/>
                  <w:szCs w:val="16"/>
                  <w:u w:val="single" w:color="auto"/>
                  <w:color w:val="0000EE"/>
                </w:rPr>
                <w:t>DIRECTORS, SENIOR MANAGEMENT AND EMPLOYEES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97</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19">
              <w:r>
                <w:rPr>
                  <w:rFonts w:ascii="Arial" w:cs="Arial" w:eastAsia="Arial" w:hAnsi="Arial"/>
                  <w:sz w:val="16"/>
                  <w:szCs w:val="16"/>
                  <w:u w:val="single" w:color="auto"/>
                  <w:color w:val="0000EE"/>
                </w:rPr>
                <w:t>ITEM 7.</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19">
              <w:r>
                <w:rPr>
                  <w:rFonts w:ascii="Arial" w:cs="Arial" w:eastAsia="Arial" w:hAnsi="Arial"/>
                  <w:sz w:val="16"/>
                  <w:szCs w:val="16"/>
                  <w:u w:val="single" w:color="auto"/>
                  <w:color w:val="0000EE"/>
                </w:rPr>
                <w:t>MAJOR SHAREHOLDERS AND RELATED PARTY TRANSACTIONS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119</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22">
              <w:r>
                <w:rPr>
                  <w:rFonts w:ascii="Arial" w:cs="Arial" w:eastAsia="Arial" w:hAnsi="Arial"/>
                  <w:sz w:val="16"/>
                  <w:szCs w:val="16"/>
                  <w:u w:val="single" w:color="auto"/>
                  <w:color w:val="0000EE"/>
                </w:rPr>
                <w:t>ITEM 8.</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22">
              <w:r>
                <w:rPr>
                  <w:rFonts w:ascii="Arial" w:cs="Arial" w:eastAsia="Arial" w:hAnsi="Arial"/>
                  <w:sz w:val="16"/>
                  <w:szCs w:val="16"/>
                  <w:u w:val="single" w:color="auto"/>
                  <w:color w:val="0000EE"/>
                </w:rPr>
                <w:t>FINANCIAL INFORMATION</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122</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22">
              <w:r>
                <w:rPr>
                  <w:rFonts w:ascii="Arial" w:cs="Arial" w:eastAsia="Arial" w:hAnsi="Arial"/>
                  <w:sz w:val="16"/>
                  <w:szCs w:val="16"/>
                  <w:u w:val="single" w:color="auto"/>
                  <w:color w:val="0000EE"/>
                </w:rPr>
                <w:t>ITEM 9.</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22">
              <w:r>
                <w:rPr>
                  <w:rFonts w:ascii="Arial" w:cs="Arial" w:eastAsia="Arial" w:hAnsi="Arial"/>
                  <w:sz w:val="16"/>
                  <w:szCs w:val="16"/>
                  <w:u w:val="single" w:color="auto"/>
                  <w:color w:val="0000EE"/>
                </w:rPr>
                <w:t>THE OFFER AND LISTING</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122</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23">
              <w:r>
                <w:rPr>
                  <w:rFonts w:ascii="Arial" w:cs="Arial" w:eastAsia="Arial" w:hAnsi="Arial"/>
                  <w:sz w:val="16"/>
                  <w:szCs w:val="16"/>
                  <w:u w:val="single" w:color="auto"/>
                  <w:color w:val="0000EE"/>
                </w:rPr>
                <w:t>ITEM 10.</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23">
              <w:r>
                <w:rPr>
                  <w:rFonts w:ascii="Arial" w:cs="Arial" w:eastAsia="Arial" w:hAnsi="Arial"/>
                  <w:sz w:val="16"/>
                  <w:szCs w:val="16"/>
                  <w:u w:val="single" w:color="auto"/>
                  <w:color w:val="0000EE"/>
                </w:rPr>
                <w:t>ADDITIONAL INFORMATION</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123</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1">
              <w:r>
                <w:rPr>
                  <w:rFonts w:ascii="Arial" w:cs="Arial" w:eastAsia="Arial" w:hAnsi="Arial"/>
                  <w:sz w:val="16"/>
                  <w:szCs w:val="16"/>
                  <w:u w:val="single" w:color="auto"/>
                  <w:color w:val="0000EE"/>
                </w:rPr>
                <w:t>ITEM 11.</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1">
              <w:r>
                <w:rPr>
                  <w:rFonts w:ascii="Arial" w:cs="Arial" w:eastAsia="Arial" w:hAnsi="Arial"/>
                  <w:sz w:val="16"/>
                  <w:szCs w:val="16"/>
                  <w:u w:val="single" w:color="auto"/>
                  <w:color w:val="0000EE"/>
                </w:rPr>
                <w:t>QUANTITATIVE AND QUALITATIVE DISCLOSURES ABOUT MARKET RISK</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141</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2">
              <w:r>
                <w:rPr>
                  <w:rFonts w:ascii="Arial" w:cs="Arial" w:eastAsia="Arial" w:hAnsi="Arial"/>
                  <w:sz w:val="16"/>
                  <w:szCs w:val="16"/>
                  <w:u w:val="single" w:color="auto"/>
                  <w:color w:val="0000EE"/>
                </w:rPr>
                <w:t>ITEM 12.</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2">
              <w:r>
                <w:rPr>
                  <w:rFonts w:ascii="Arial" w:cs="Arial" w:eastAsia="Arial" w:hAnsi="Arial"/>
                  <w:sz w:val="16"/>
                  <w:szCs w:val="16"/>
                  <w:u w:val="single" w:color="auto"/>
                  <w:color w:val="0000EE"/>
                </w:rPr>
                <w:t>DESCRIPTION OF SECURITIES OTHER THAN EQUITY SECURITIES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142</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2">
              <w:r>
                <w:rPr>
                  <w:rFonts w:ascii="Arial" w:cs="Arial" w:eastAsia="Arial" w:hAnsi="Arial"/>
                  <w:sz w:val="16"/>
                  <w:szCs w:val="16"/>
                  <w:u w:val="single" w:color="auto"/>
                  <w:color w:val="0000EE"/>
                </w:rPr>
                <w:t>ITEM 13.</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2">
              <w:r>
                <w:rPr>
                  <w:rFonts w:ascii="Arial" w:cs="Arial" w:eastAsia="Arial" w:hAnsi="Arial"/>
                  <w:sz w:val="16"/>
                  <w:szCs w:val="16"/>
                  <w:u w:val="single" w:color="auto"/>
                  <w:color w:val="0000EE"/>
                </w:rPr>
                <w:t>DEFAULTS, DIVIDEND ARREARAGES AND DELINQUENCIES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142</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2">
              <w:r>
                <w:rPr>
                  <w:rFonts w:ascii="Arial" w:cs="Arial" w:eastAsia="Arial" w:hAnsi="Arial"/>
                  <w:sz w:val="16"/>
                  <w:szCs w:val="16"/>
                  <w:u w:val="single" w:color="auto"/>
                  <w:color w:val="0000EE"/>
                </w:rPr>
                <w:t>ITEM 14.</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2">
              <w:r>
                <w:rPr>
                  <w:rFonts w:ascii="Arial" w:cs="Arial" w:eastAsia="Arial" w:hAnsi="Arial"/>
                  <w:sz w:val="16"/>
                  <w:szCs w:val="16"/>
                  <w:u w:val="single" w:color="auto"/>
                  <w:color w:val="0000EE"/>
                </w:rPr>
                <w:t>MATERIAL MODIFICATIONS TO THE RIGHTS OF SECURITY HOLDERS AND USE OF PROCEEDS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142</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3">
              <w:r>
                <w:rPr>
                  <w:rFonts w:ascii="Arial" w:cs="Arial" w:eastAsia="Arial" w:hAnsi="Arial"/>
                  <w:sz w:val="16"/>
                  <w:szCs w:val="16"/>
                  <w:u w:val="single" w:color="auto"/>
                  <w:color w:val="0000EE"/>
                </w:rPr>
                <w:t>ITEM 15.</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3">
              <w:r>
                <w:rPr>
                  <w:rFonts w:ascii="Arial" w:cs="Arial" w:eastAsia="Arial" w:hAnsi="Arial"/>
                  <w:sz w:val="16"/>
                  <w:szCs w:val="16"/>
                  <w:u w:val="single" w:color="auto"/>
                  <w:color w:val="0000EE"/>
                </w:rPr>
                <w:t>CONTROLS AND PROCEDURES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143</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4">
              <w:r>
                <w:rPr>
                  <w:rFonts w:ascii="Arial" w:cs="Arial" w:eastAsia="Arial" w:hAnsi="Arial"/>
                  <w:sz w:val="16"/>
                  <w:szCs w:val="16"/>
                  <w:u w:val="single" w:color="auto"/>
                  <w:color w:val="0000EE"/>
                </w:rPr>
                <w:t>ITEM 16.</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4">
              <w:r>
                <w:rPr>
                  <w:rFonts w:ascii="Arial" w:cs="Arial" w:eastAsia="Arial" w:hAnsi="Arial"/>
                  <w:sz w:val="16"/>
                  <w:szCs w:val="16"/>
                  <w:u w:val="single" w:color="auto"/>
                  <w:color w:val="0000EE"/>
                </w:rPr>
                <w:t>[RESERVED]</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144</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4">
              <w:r>
                <w:rPr>
                  <w:rFonts w:ascii="Arial" w:cs="Arial" w:eastAsia="Arial" w:hAnsi="Arial"/>
                  <w:sz w:val="16"/>
                  <w:szCs w:val="16"/>
                  <w:u w:val="single" w:color="auto"/>
                  <w:color w:val="0000EE"/>
                </w:rPr>
                <w:t>ITEM 16A.</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4">
              <w:r>
                <w:rPr>
                  <w:rFonts w:ascii="Arial" w:cs="Arial" w:eastAsia="Arial" w:hAnsi="Arial"/>
                  <w:sz w:val="16"/>
                  <w:szCs w:val="16"/>
                  <w:u w:val="single" w:color="auto"/>
                  <w:color w:val="0000EE"/>
                </w:rPr>
                <w:t>AUDIT COMMITTEE FINANCIAL EXPERT</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144</w:t>
            </w:r>
          </w:p>
        </w:tc>
      </w:tr>
      <w:tr>
        <w:trPr>
          <w:trHeight w:val="189"/>
        </w:trPr>
        <w:tc>
          <w:tcPr>
            <w:tcW w:w="940" w:type="dxa"/>
            <w:vAlign w:val="bottom"/>
          </w:tcPr>
          <w:p>
            <w:pPr>
              <w:spacing w:after="0"/>
              <w:rPr>
                <w:rFonts w:ascii="Arial" w:cs="Arial" w:eastAsia="Arial" w:hAnsi="Arial"/>
                <w:sz w:val="16"/>
                <w:szCs w:val="16"/>
                <w:color w:val="0000EE"/>
              </w:rPr>
            </w:pPr>
            <w:hyperlink w:anchor="page144">
              <w:r>
                <w:rPr>
                  <w:rFonts w:ascii="Arial" w:cs="Arial" w:eastAsia="Arial" w:hAnsi="Arial"/>
                  <w:sz w:val="16"/>
                  <w:szCs w:val="16"/>
                  <w:u w:val="single" w:color="auto"/>
                  <w:color w:val="0000EE"/>
                </w:rPr>
                <w:t>ITEM 16B</w:t>
              </w:r>
              <w:r>
                <w:rPr>
                  <w:rFonts w:ascii="Arial" w:cs="Arial" w:eastAsia="Arial" w:hAnsi="Arial"/>
                  <w:sz w:val="16"/>
                  <w:szCs w:val="16"/>
                  <w:color w:val="0000EE"/>
                </w:rPr>
                <w:t>.</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4">
              <w:r>
                <w:rPr>
                  <w:rFonts w:ascii="Arial" w:cs="Arial" w:eastAsia="Arial" w:hAnsi="Arial"/>
                  <w:sz w:val="16"/>
                  <w:szCs w:val="16"/>
                  <w:u w:val="single" w:color="auto"/>
                  <w:color w:val="0000EE"/>
                </w:rPr>
                <w:t>CODE OF ETHICS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144</w:t>
            </w:r>
          </w:p>
        </w:tc>
      </w:tr>
      <w:tr>
        <w:trPr>
          <w:trHeight w:val="189"/>
        </w:trPr>
        <w:tc>
          <w:tcPr>
            <w:tcW w:w="940" w:type="dxa"/>
            <w:vAlign w:val="bottom"/>
          </w:tcPr>
          <w:p>
            <w:pPr>
              <w:spacing w:after="0"/>
              <w:rPr>
                <w:rFonts w:ascii="Arial" w:cs="Arial" w:eastAsia="Arial" w:hAnsi="Arial"/>
                <w:sz w:val="16"/>
                <w:szCs w:val="16"/>
                <w:color w:val="0000EE"/>
              </w:rPr>
            </w:pPr>
            <w:hyperlink w:anchor="page145">
              <w:r>
                <w:rPr>
                  <w:rFonts w:ascii="Arial" w:cs="Arial" w:eastAsia="Arial" w:hAnsi="Arial"/>
                  <w:sz w:val="16"/>
                  <w:szCs w:val="16"/>
                  <w:u w:val="single" w:color="auto"/>
                  <w:color w:val="0000EE"/>
                </w:rPr>
                <w:t>ITEM 16C</w:t>
              </w:r>
              <w:r>
                <w:rPr>
                  <w:rFonts w:ascii="Arial" w:cs="Arial" w:eastAsia="Arial" w:hAnsi="Arial"/>
                  <w:sz w:val="16"/>
                  <w:szCs w:val="16"/>
                  <w:color w:val="0000EE"/>
                </w:rPr>
                <w:t>.</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PRINCIPAL ACCOUNTANT FEES AND SERVICES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145</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ITEM 16D.</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EXEMPTIONS FROM THE LISTING STANDARDS FOR AUDIT COMMITTEES.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145</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ITEM 16E.</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PURCHASES OF EQUITY SECURITIES BY THE ISSUER AND AFFILIATED PURCHASERS.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145</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ITEM 16F.</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CHANGE IN REGISTRANT’S CERTIFYING ACCOUNTANT.</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145</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ITEM 16G.</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5">
              <w:r>
                <w:rPr>
                  <w:rFonts w:ascii="Arial" w:cs="Arial" w:eastAsia="Arial" w:hAnsi="Arial"/>
                  <w:sz w:val="16"/>
                  <w:szCs w:val="16"/>
                  <w:u w:val="single" w:color="auto"/>
                  <w:color w:val="0000EE"/>
                </w:rPr>
                <w:t>CORPORATE GOVERNANCE</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145</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ITEM 16H.</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MINE SAFETY DISCLOSURE</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146</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ITEM 17.</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FINANCIAL STATEMENTS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146</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ITEM 18.</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FINANCIAL STATEMENTS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146</w:t>
            </w:r>
          </w:p>
        </w:tc>
      </w:tr>
      <w:tr>
        <w:trPr>
          <w:trHeight w:val="189"/>
        </w:trPr>
        <w:tc>
          <w:tcPr>
            <w:tcW w:w="940" w:type="dxa"/>
            <w:vAlign w:val="bottom"/>
          </w:tcPr>
          <w:p>
            <w:pPr>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ITEM 19.</w:t>
              </w:r>
            </w:hyperlink>
          </w:p>
        </w:tc>
        <w:tc>
          <w:tcPr>
            <w:tcW w:w="8580" w:type="dxa"/>
            <w:vAlign w:val="bottom"/>
          </w:tcPr>
          <w:p>
            <w:pPr>
              <w:ind w:left="200"/>
              <w:spacing w:after="0"/>
              <w:rPr>
                <w:rFonts w:ascii="Arial" w:cs="Arial" w:eastAsia="Arial" w:hAnsi="Arial"/>
                <w:sz w:val="16"/>
                <w:szCs w:val="16"/>
                <w:u w:val="single" w:color="auto"/>
                <w:color w:val="0000EE"/>
              </w:rPr>
            </w:pPr>
            <w:hyperlink w:anchor="page146">
              <w:r>
                <w:rPr>
                  <w:rFonts w:ascii="Arial" w:cs="Arial" w:eastAsia="Arial" w:hAnsi="Arial"/>
                  <w:sz w:val="16"/>
                  <w:szCs w:val="16"/>
                  <w:u w:val="single" w:color="auto"/>
                  <w:color w:val="0000EE"/>
                </w:rPr>
                <w:t>EXHIBITS</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146</w:t>
            </w:r>
          </w:p>
        </w:tc>
      </w:tr>
      <w:tr>
        <w:trPr>
          <w:trHeight w:val="200"/>
        </w:trPr>
        <w:tc>
          <w:tcPr>
            <w:tcW w:w="9520" w:type="dxa"/>
            <w:vAlign w:val="bottom"/>
            <w:gridSpan w:val="2"/>
          </w:tcPr>
          <w:p>
            <w:pPr>
              <w:spacing w:after="0"/>
              <w:rPr>
                <w:rFonts w:ascii="Arial" w:cs="Arial" w:eastAsia="Arial" w:hAnsi="Arial"/>
                <w:sz w:val="16"/>
                <w:szCs w:val="16"/>
                <w:u w:val="single" w:color="auto"/>
                <w:color w:val="0000EE"/>
              </w:rPr>
            </w:pPr>
            <w:hyperlink w:anchor="page147">
              <w:r>
                <w:rPr>
                  <w:rFonts w:ascii="Arial" w:cs="Arial" w:eastAsia="Arial" w:hAnsi="Arial"/>
                  <w:sz w:val="16"/>
                  <w:szCs w:val="16"/>
                  <w:u w:val="single" w:color="auto"/>
                  <w:color w:val="0000EE"/>
                </w:rPr>
                <w:t>EXHIBIT INDEX</w:t>
              </w:r>
            </w:hyperlink>
          </w:p>
        </w:tc>
        <w:tc>
          <w:tcPr>
            <w:tcW w:w="1740" w:type="dxa"/>
            <w:vAlign w:val="bottom"/>
          </w:tcPr>
          <w:p>
            <w:pPr>
              <w:jc w:val="right"/>
              <w:spacing w:after="0"/>
              <w:rPr>
                <w:sz w:val="20"/>
                <w:szCs w:val="20"/>
                <w:color w:val="auto"/>
              </w:rPr>
            </w:pPr>
            <w:r>
              <w:rPr>
                <w:rFonts w:ascii="Arial" w:cs="Arial" w:eastAsia="Arial" w:hAnsi="Arial"/>
                <w:sz w:val="16"/>
                <w:szCs w:val="16"/>
                <w:color w:val="auto"/>
              </w:rPr>
              <w:t>147</w:t>
            </w:r>
          </w:p>
        </w:tc>
      </w:tr>
    </w:tbl>
    <w:p>
      <w:pPr>
        <w:spacing w:after="0" w:line="373"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3" w:name="page4"/>
    <w:bookmarkEnd w:id="3"/>
    <w:p>
      <w:pPr>
        <w:jc w:val="center"/>
        <w:spacing w:after="0"/>
        <w:rPr>
          <w:sz w:val="20"/>
          <w:szCs w:val="20"/>
          <w:color w:val="auto"/>
        </w:rPr>
      </w:pPr>
      <w:r>
        <w:rPr>
          <w:rFonts w:ascii="Arial" w:cs="Arial" w:eastAsia="Arial" w:hAnsi="Arial"/>
          <w:sz w:val="19"/>
          <w:szCs w:val="19"/>
          <w:b w:val="1"/>
          <w:bCs w:val="1"/>
          <w:color w:val="auto"/>
        </w:rPr>
        <w:t>INTRODUCTION</w:t>
      </w:r>
    </w:p>
    <w:p>
      <w:pPr>
        <w:spacing w:after="0" w:line="261"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annual report are translated using the rate of NIS 3.215, NIS 3.456 and NIS 3.748 to $1.00, based on the exchange rates reported by the Bank of Israel on December 31, 2020, December 31, 2019 and December 31, 2018, respectively.</w:t>
      </w:r>
    </w:p>
    <w:p>
      <w:pPr>
        <w:spacing w:after="0" w:line="208" w:lineRule="exact"/>
        <w:rPr>
          <w:sz w:val="20"/>
          <w:szCs w:val="20"/>
          <w:color w:val="auto"/>
        </w:rPr>
      </w:pPr>
    </w:p>
    <w:p>
      <w:pPr>
        <w:jc w:val="both"/>
        <w:ind w:firstLine="566"/>
        <w:spacing w:after="0" w:line="221" w:lineRule="auto"/>
        <w:rPr>
          <w:sz w:val="20"/>
          <w:szCs w:val="20"/>
          <w:color w:val="auto"/>
        </w:rPr>
      </w:pPr>
      <w:r>
        <w:rPr>
          <w:rFonts w:ascii="Arial" w:cs="Arial" w:eastAsia="Arial" w:hAnsi="Arial"/>
          <w:sz w:val="19"/>
          <w:szCs w:val="19"/>
          <w:color w:val="auto"/>
        </w:rPr>
        <w:t>All references to the term “branded product candidates” refers to Twyneo</w:t>
      </w:r>
      <w:r>
        <w:rPr>
          <w:rFonts w:ascii="Arial" w:cs="Arial" w:eastAsia="Arial" w:hAnsi="Arial"/>
          <w:sz w:val="31"/>
          <w:szCs w:val="31"/>
          <w:color w:val="auto"/>
          <w:vertAlign w:val="superscript"/>
        </w:rPr>
        <w:t>®</w:t>
      </w:r>
      <w:r>
        <w:rPr>
          <w:rFonts w:ascii="Arial" w:cs="Arial" w:eastAsia="Arial" w:hAnsi="Arial"/>
          <w:sz w:val="19"/>
          <w:szCs w:val="19"/>
          <w:color w:val="auto"/>
        </w:rPr>
        <w:t>, a novel, once-daily, non-antibiotic topical cream that we are developing for the treatment of acne vulgaris, or acne; Epsolay</w:t>
      </w:r>
      <w:r>
        <w:rPr>
          <w:rFonts w:ascii="Arial" w:cs="Arial" w:eastAsia="Arial" w:hAnsi="Arial"/>
          <w:sz w:val="31"/>
          <w:szCs w:val="31"/>
          <w:color w:val="auto"/>
          <w:vertAlign w:val="superscript"/>
        </w:rPr>
        <w:t>®</w:t>
      </w:r>
      <w:r>
        <w:rPr>
          <w:rFonts w:ascii="Arial" w:cs="Arial" w:eastAsia="Arial" w:hAnsi="Arial"/>
          <w:sz w:val="19"/>
          <w:szCs w:val="19"/>
          <w:color w:val="auto"/>
        </w:rPr>
        <w:t>, a novel, once-daily topical cream containing encapsulated benzoyl peroxide that we are developing for the treatment of papulopustular (subtype II) rosacea; SGT-210 (erlotinib gel) that we are developing for the treatment of palmoplantar keratoderma, or PPK; erlotinib, an epidermal growth factor receptor inhibitor; tapinarof, an investigational aryl hydrocarbon receptor modulator; and roflumilast, an investigational phosphodiesterase 4 inhibitor. Erlotinib, tapinarof, and roflumilast are each a potential treatment of various pharmaceutical indications. All references to the term “product candidates” include both branded product candidate and generic product candidates.</w:t>
      </w:r>
    </w:p>
    <w:p>
      <w:pPr>
        <w:spacing w:after="0" w:line="235" w:lineRule="exact"/>
        <w:rPr>
          <w:sz w:val="20"/>
          <w:szCs w:val="20"/>
          <w:color w:val="auto"/>
        </w:rPr>
      </w:pPr>
    </w:p>
    <w:p>
      <w:pPr>
        <w:jc w:val="both"/>
        <w:ind w:right="20" w:firstLine="568"/>
        <w:spacing w:after="0" w:line="301" w:lineRule="auto"/>
        <w:rPr>
          <w:sz w:val="20"/>
          <w:szCs w:val="20"/>
          <w:color w:val="auto"/>
        </w:rPr>
      </w:pPr>
      <w:r>
        <w:rPr>
          <w:rFonts w:ascii="Arial" w:cs="Arial" w:eastAsia="Arial" w:hAnsi="Arial"/>
          <w:sz w:val="17"/>
          <w:szCs w:val="17"/>
          <w:color w:val="auto"/>
        </w:rPr>
        <w:t>Solely for convenience, the trademarks, service marks, and trade names referred to in this annual report are without the ® and ™ symbols, but such references are not intended to indicate, in any way, that we will not assert, to the fullest extent under applicable law, our rights or the rights of the applicable licensors to these trademarks, service marks and trade names. This annual report contains additional trademarks, service marks and trade names of others, which are the property of their respective owners. All trademarks, service marks and trade names appearing in this annual report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185"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This annual report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in this annual report should be viewed with caution. We believe that information from these industry publications included in this annual report is reliable.</w:t>
      </w: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4" w:name="page5"/>
    <w:bookmarkEnd w:id="4"/>
    <w:p>
      <w:pPr>
        <w:jc w:val="both"/>
        <w:ind w:firstLine="568"/>
        <w:spacing w:after="0" w:line="299" w:lineRule="auto"/>
        <w:rPr>
          <w:sz w:val="20"/>
          <w:szCs w:val="20"/>
          <w:color w:val="auto"/>
        </w:rPr>
      </w:pPr>
      <w:r>
        <w:rPr>
          <w:rFonts w:ascii="Arial" w:cs="Arial" w:eastAsia="Arial" w:hAnsi="Arial"/>
          <w:sz w:val="17"/>
          <w:szCs w:val="17"/>
          <w:color w:val="auto"/>
        </w:rPr>
        <w:t>We make forward-looking statements in this annual report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182" w:lineRule="exact"/>
        <w:rPr>
          <w:sz w:val="20"/>
          <w:szCs w:val="20"/>
          <w:color w:val="auto"/>
        </w:rPr>
      </w:pPr>
    </w:p>
    <w:p>
      <w:pPr>
        <w:ind w:left="740" w:right="20" w:hanging="426"/>
        <w:spacing w:after="0" w:line="268" w:lineRule="auto"/>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adequacy of our financial and other resources, particularly in light of our history of recurring losses and the uncertainty regarding the adequacy of our liquidity to pursue our complete business objectives;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complete the development of, and obtain market approval for, our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find suitable co-development, contract manufacturing and marketing partners;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commercialize and launch our pharmaceutical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obtain and maintain adequate protection of our intellectual property;</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manufacture our product candidates in commercial quantities, at an adequate quality or at an acceptable cost;</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our ability to establish adequate sales, marketing and distribution channels;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acceptance of our product candidates by healthcare professionals and patients;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possibility that we may face third-party claims of intellectual property infringement;</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potential product liability claims;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potential adverse federal, state and local government regulation in the United States, Europe or Israel;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impact of pandemics such as Novel Coronavirus Disease 2019, or COVID-19, on our business and financial condition;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
        </w:numPr>
        <w:rPr>
          <w:rFonts w:ascii="Arial" w:cs="Arial" w:eastAsia="Arial" w:hAnsi="Arial"/>
          <w:sz w:val="16"/>
          <w:szCs w:val="16"/>
          <w:color w:val="auto"/>
        </w:rPr>
      </w:pPr>
      <w:r>
        <w:rPr>
          <w:rFonts w:ascii="Arial" w:cs="Arial" w:eastAsia="Arial" w:hAnsi="Arial"/>
          <w:sz w:val="16"/>
          <w:szCs w:val="16"/>
          <w:color w:val="auto"/>
        </w:rPr>
        <w:t>loss or retirement of key executives and research scientists.</w:t>
      </w:r>
    </w:p>
    <w:p>
      <w:pPr>
        <w:spacing w:after="0" w:line="24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annual report for a discussion of these and other risks that relate to our business and investing in our ordinary shares. The forward-looking statements contained in this annual report are expressly qualified in their entirety by this cautionary statement. Except as required by law, we undertake no obligation to update publicly any forward-looking statements after the date of this annual report to conform these statements to actual results or to changes in our expectations.</w:t>
      </w: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5" w:name="page6"/>
    <w:bookmarkEnd w:id="5"/>
    <w:p>
      <w:pPr>
        <w:ind w:left="5"/>
        <w:spacing w:after="0"/>
        <w:tabs>
          <w:tab w:leader="none" w:pos="1185" w:val="left"/>
        </w:tabs>
        <w:rPr>
          <w:sz w:val="20"/>
          <w:szCs w:val="20"/>
          <w:color w:val="auto"/>
        </w:rPr>
      </w:pPr>
      <w:r>
        <w:rPr>
          <w:rFonts w:ascii="Arial" w:cs="Arial" w:eastAsia="Arial" w:hAnsi="Arial"/>
          <w:sz w:val="19"/>
          <w:szCs w:val="19"/>
          <w:b w:val="1"/>
          <w:bCs w:val="1"/>
          <w:color w:val="auto"/>
        </w:rPr>
        <w:t>ITEM 1.</w:t>
      </w:r>
      <w:r>
        <w:rPr>
          <w:sz w:val="20"/>
          <w:szCs w:val="20"/>
          <w:color w:val="auto"/>
        </w:rPr>
        <w:tab/>
      </w:r>
      <w:r>
        <w:rPr>
          <w:rFonts w:ascii="Arial" w:cs="Arial" w:eastAsia="Arial" w:hAnsi="Arial"/>
          <w:sz w:val="19"/>
          <w:szCs w:val="19"/>
          <w:b w:val="1"/>
          <w:bCs w:val="1"/>
          <w:color w:val="auto"/>
        </w:rPr>
        <w:t>IDENTITY OF DIRECTORS, SENIOR MANAGEMENT AND ADVISERS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 2.</w:t>
      </w:r>
      <w:r>
        <w:rPr>
          <w:sz w:val="20"/>
          <w:szCs w:val="20"/>
          <w:color w:val="auto"/>
        </w:rPr>
        <w:tab/>
      </w:r>
      <w:r>
        <w:rPr>
          <w:rFonts w:ascii="Arial" w:cs="Arial" w:eastAsia="Arial" w:hAnsi="Arial"/>
          <w:sz w:val="19"/>
          <w:szCs w:val="19"/>
          <w:b w:val="1"/>
          <w:bCs w:val="1"/>
          <w:color w:val="auto"/>
        </w:rPr>
        <w:t>OFFER STATISTICS AND EXPECTED TIMETABLE</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 3.</w:t>
      </w:r>
      <w:r>
        <w:rPr>
          <w:sz w:val="20"/>
          <w:szCs w:val="20"/>
          <w:color w:val="auto"/>
        </w:rPr>
        <w:tab/>
      </w:r>
      <w:r>
        <w:rPr>
          <w:rFonts w:ascii="Arial" w:cs="Arial" w:eastAsia="Arial" w:hAnsi="Arial"/>
          <w:sz w:val="19"/>
          <w:szCs w:val="19"/>
          <w:b w:val="1"/>
          <w:bCs w:val="1"/>
          <w:color w:val="auto"/>
        </w:rPr>
        <w:t>KEY INFORMATION</w:t>
      </w:r>
    </w:p>
    <w:p>
      <w:pPr>
        <w:spacing w:after="0" w:line="255" w:lineRule="exact"/>
        <w:rPr>
          <w:sz w:val="20"/>
          <w:szCs w:val="20"/>
          <w:color w:val="auto"/>
        </w:rPr>
      </w:pPr>
    </w:p>
    <w:p>
      <w:pPr>
        <w:ind w:left="745" w:hanging="745"/>
        <w:spacing w:after="0"/>
        <w:tabs>
          <w:tab w:leader="none" w:pos="745" w:val="left"/>
        </w:tabs>
        <w:numPr>
          <w:ilvl w:val="0"/>
          <w:numId w:val="6"/>
        </w:numPr>
        <w:rPr>
          <w:rFonts w:ascii="Arial" w:cs="Arial" w:eastAsia="Arial" w:hAnsi="Arial"/>
          <w:sz w:val="19"/>
          <w:szCs w:val="19"/>
          <w:b w:val="1"/>
          <w:bCs w:val="1"/>
          <w:color w:val="auto"/>
        </w:rPr>
      </w:pPr>
      <w:r>
        <w:rPr>
          <w:rFonts w:ascii="Arial" w:cs="Arial" w:eastAsia="Arial" w:hAnsi="Arial"/>
          <w:sz w:val="19"/>
          <w:szCs w:val="19"/>
          <w:b w:val="1"/>
          <w:bCs w:val="1"/>
          <w:color w:val="auto"/>
        </w:rPr>
        <w:t>Selected Financial Data</w:t>
      </w:r>
    </w:p>
    <w:p>
      <w:pPr>
        <w:spacing w:after="0" w:line="261" w:lineRule="exact"/>
        <w:rPr>
          <w:sz w:val="20"/>
          <w:szCs w:val="20"/>
          <w:color w:val="auto"/>
        </w:rPr>
      </w:pPr>
    </w:p>
    <w:p>
      <w:pPr>
        <w:jc w:val="both"/>
        <w:ind w:left="5" w:firstLine="568"/>
        <w:spacing w:after="0" w:line="297" w:lineRule="auto"/>
        <w:rPr>
          <w:sz w:val="20"/>
          <w:szCs w:val="20"/>
          <w:color w:val="auto"/>
        </w:rPr>
      </w:pPr>
      <w:r>
        <w:rPr>
          <w:rFonts w:ascii="Arial" w:cs="Arial" w:eastAsia="Arial" w:hAnsi="Arial"/>
          <w:sz w:val="17"/>
          <w:szCs w:val="17"/>
          <w:color w:val="auto"/>
        </w:rPr>
        <w:t>The following table sets forth our selected historical financial data, which is derived from our audited financial statements, which have been prepared in accordance with U.S. GAAP. The selected consolidated balance sheet data as of December 31, 2019 and 2020 and our selected statement of operations data for the years ended December 31, 2018, 2019 and 2020 is derived from our audited consolidated financial statements included elsewhere in this annual report. The selected balance sheet data as of December 31, 2016, December 31, 2017 and December 31, 2018 and our selected statement of operations data for the years ended December 31, 2016 and December 31, 2017 have been derived from our audited financial statements not included in this annual report. Our historical results are not necessarily indicative of the results that should be expected in the future. You should read this selected financial data in conjunction with, and it is qualified in its entirety by, our historical financial information and other information provided in this annual report including “Item 5. Operating and Financial Review and Prospects” and our audited consolidated financial statements and related notes appearing elsewhere in this annual report.</w:t>
      </w:r>
    </w:p>
    <w:p>
      <w:pPr>
        <w:spacing w:after="0" w:line="179" w:lineRule="exact"/>
        <w:rPr>
          <w:sz w:val="20"/>
          <w:szCs w:val="20"/>
          <w:color w:val="auto"/>
        </w:rPr>
      </w:pPr>
    </w:p>
    <w:tbl>
      <w:tblPr>
        <w:tblLayout w:type="fixed"/>
        <w:tblInd w:w="5" w:type="dxa"/>
        <w:tblCellMar>
          <w:top w:w="0" w:type="dxa"/>
          <w:left w:w="0" w:type="dxa"/>
          <w:bottom w:w="0" w:type="dxa"/>
          <w:right w:w="0" w:type="dxa"/>
        </w:tblCellMar>
      </w:tblPr>
      <w:tr>
        <w:trPr>
          <w:trHeight w:val="189"/>
        </w:trPr>
        <w:tc>
          <w:tcPr>
            <w:tcW w:w="4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760" w:type="dxa"/>
            <w:vAlign w:val="bottom"/>
            <w:gridSpan w:val="7"/>
          </w:tcPr>
          <w:p>
            <w:pPr>
              <w:ind w:left="820"/>
              <w:spacing w:after="0"/>
              <w:rPr>
                <w:sz w:val="20"/>
                <w:szCs w:val="20"/>
                <w:color w:val="auto"/>
              </w:rPr>
            </w:pPr>
            <w:r>
              <w:rPr>
                <w:rFonts w:ascii="Arial" w:cs="Arial" w:eastAsia="Arial" w:hAnsi="Arial"/>
                <w:sz w:val="16"/>
                <w:szCs w:val="16"/>
                <w:b w:val="1"/>
                <w:bCs w:val="1"/>
                <w:color w:val="auto"/>
                <w:w w:val="97"/>
              </w:rPr>
              <w:t>Year Ended December 31,</w:t>
            </w: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209"/>
        </w:trPr>
        <w:tc>
          <w:tcPr>
            <w:tcW w:w="46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41"/>
              <w:spacing w:after="0"/>
              <w:rPr>
                <w:sz w:val="20"/>
                <w:szCs w:val="20"/>
                <w:color w:val="auto"/>
              </w:rPr>
            </w:pPr>
            <w:r>
              <w:rPr>
                <w:rFonts w:ascii="Arial" w:cs="Arial" w:eastAsia="Arial" w:hAnsi="Arial"/>
                <w:sz w:val="16"/>
                <w:szCs w:val="16"/>
                <w:b w:val="1"/>
                <w:bCs w:val="1"/>
                <w:color w:val="auto"/>
              </w:rPr>
              <w:t>2016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2017</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41"/>
              <w:spacing w:after="0"/>
              <w:rPr>
                <w:sz w:val="20"/>
                <w:szCs w:val="20"/>
                <w:color w:val="auto"/>
              </w:rPr>
            </w:pPr>
            <w:r>
              <w:rPr>
                <w:rFonts w:ascii="Arial" w:cs="Arial" w:eastAsia="Arial" w:hAnsi="Arial"/>
                <w:sz w:val="16"/>
                <w:szCs w:val="16"/>
                <w:b w:val="1"/>
                <w:bCs w:val="1"/>
                <w:color w:val="auto"/>
              </w:rPr>
              <w:t>2018</w:t>
            </w:r>
          </w:p>
        </w:tc>
        <w:tc>
          <w:tcPr>
            <w:tcW w:w="2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8"/>
                <w:szCs w:val="18"/>
                <w:color w:val="auto"/>
              </w:rPr>
            </w:pPr>
          </w:p>
        </w:tc>
      </w:tr>
      <w:tr>
        <w:trPr>
          <w:trHeight w:val="189"/>
        </w:trPr>
        <w:tc>
          <w:tcPr>
            <w:tcW w:w="4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6"/>
                <w:szCs w:val="16"/>
                <w:b w:val="1"/>
                <w:bCs w:val="1"/>
                <w:color w:val="auto"/>
                <w:w w:val="84"/>
              </w:rPr>
              <w:t>(in thousands,</w:t>
            </w:r>
          </w:p>
        </w:tc>
        <w:tc>
          <w:tcPr>
            <w:tcW w:w="240" w:type="dxa"/>
            <w:vAlign w:val="bottom"/>
            <w:gridSpan w:val="2"/>
          </w:tcPr>
          <w:p>
            <w:pPr>
              <w:spacing w:after="0"/>
              <w:rPr>
                <w:sz w:val="16"/>
                <w:szCs w:val="16"/>
                <w:color w:val="auto"/>
              </w:rPr>
            </w:pPr>
          </w:p>
        </w:tc>
        <w:tc>
          <w:tcPr>
            <w:tcW w:w="1140" w:type="dxa"/>
            <w:vAlign w:val="bottom"/>
            <w:gridSpan w:val="2"/>
          </w:tcPr>
          <w:p>
            <w:pPr>
              <w:spacing w:after="0"/>
              <w:rPr>
                <w:sz w:val="20"/>
                <w:szCs w:val="20"/>
                <w:color w:val="auto"/>
              </w:rPr>
            </w:pPr>
            <w:r>
              <w:rPr>
                <w:rFonts w:ascii="Arial" w:cs="Arial" w:eastAsia="Arial" w:hAnsi="Arial"/>
                <w:sz w:val="16"/>
                <w:szCs w:val="16"/>
                <w:b w:val="1"/>
                <w:bCs w:val="1"/>
                <w:color w:val="auto"/>
                <w:w w:val="85"/>
              </w:rPr>
              <w:t>except share and</w:t>
            </w:r>
          </w:p>
        </w:tc>
        <w:tc>
          <w:tcPr>
            <w:tcW w:w="220" w:type="dxa"/>
            <w:vAlign w:val="bottom"/>
          </w:tcPr>
          <w:p>
            <w:pPr>
              <w:jc w:val="right"/>
              <w:spacing w:after="0"/>
              <w:rPr>
                <w:sz w:val="20"/>
                <w:szCs w:val="20"/>
                <w:color w:val="auto"/>
              </w:rPr>
            </w:pPr>
            <w:r>
              <w:rPr>
                <w:rFonts w:ascii="Arial" w:cs="Arial" w:eastAsia="Arial" w:hAnsi="Arial"/>
                <w:sz w:val="14"/>
                <w:szCs w:val="14"/>
                <w:b w:val="1"/>
                <w:bCs w:val="1"/>
                <w:color w:val="auto"/>
                <w:w w:val="73"/>
              </w:rPr>
              <w:t>per</w:t>
            </w:r>
          </w:p>
        </w:tc>
        <w:tc>
          <w:tcPr>
            <w:tcW w:w="1100" w:type="dxa"/>
            <w:vAlign w:val="bottom"/>
            <w:gridSpan w:val="2"/>
          </w:tcPr>
          <w:p>
            <w:pPr>
              <w:spacing w:after="0"/>
              <w:rPr>
                <w:sz w:val="20"/>
                <w:szCs w:val="20"/>
                <w:color w:val="auto"/>
              </w:rPr>
            </w:pPr>
            <w:r>
              <w:rPr>
                <w:rFonts w:ascii="Arial" w:cs="Arial" w:eastAsia="Arial" w:hAnsi="Arial"/>
                <w:sz w:val="16"/>
                <w:szCs w:val="16"/>
                <w:b w:val="1"/>
                <w:bCs w:val="1"/>
                <w:color w:val="auto"/>
              </w:rPr>
              <w:t>share data)</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Statement of Operations Data:</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Collaboration Revenues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30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174</w:t>
            </w:r>
          </w:p>
        </w:tc>
        <w:tc>
          <w:tcPr>
            <w:tcW w:w="320" w:type="dxa"/>
            <w:vAlign w:val="bottom"/>
            <w:gridSpan w:val="2"/>
          </w:tcPr>
          <w:p>
            <w:pPr>
              <w:ind w:left="8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152"/>
              <w:spacing w:after="0"/>
              <w:rPr>
                <w:sz w:val="20"/>
                <w:szCs w:val="20"/>
                <w:color w:val="auto"/>
              </w:rPr>
            </w:pPr>
            <w:r>
              <w:rPr>
                <w:rFonts w:ascii="Arial" w:cs="Arial" w:eastAsia="Arial" w:hAnsi="Arial"/>
                <w:sz w:val="16"/>
                <w:szCs w:val="16"/>
                <w:color w:val="auto"/>
              </w:rPr>
              <w:t>129</w:t>
            </w:r>
          </w:p>
        </w:tc>
        <w:tc>
          <w:tcPr>
            <w:tcW w:w="220" w:type="dxa"/>
            <w:vAlign w:val="bottom"/>
          </w:tcPr>
          <w:p>
            <w:pPr>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22,904</w:t>
            </w:r>
          </w:p>
        </w:tc>
        <w:tc>
          <w:tcPr>
            <w:tcW w:w="3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8,771</w:t>
            </w: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Research and development expenses</w:t>
            </w: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17,023</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25,805</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152"/>
              <w:spacing w:after="0"/>
              <w:rPr>
                <w:sz w:val="20"/>
                <w:szCs w:val="20"/>
                <w:color w:val="auto"/>
              </w:rPr>
            </w:pPr>
            <w:r>
              <w:rPr>
                <w:rFonts w:ascii="Arial" w:cs="Arial" w:eastAsia="Arial" w:hAnsi="Arial"/>
                <w:sz w:val="16"/>
                <w:szCs w:val="16"/>
                <w:color w:val="auto"/>
              </w:rPr>
              <w:t>28,146</w:t>
            </w:r>
          </w:p>
        </w:tc>
        <w:tc>
          <w:tcPr>
            <w:tcW w:w="22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40,578</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27,913</w:t>
            </w: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General and administrative expenses</w:t>
            </w:r>
          </w:p>
        </w:tc>
        <w:tc>
          <w:tcPr>
            <w:tcW w:w="240" w:type="dxa"/>
            <w:vAlign w:val="bottom"/>
          </w:tcPr>
          <w:p>
            <w:pPr>
              <w:spacing w:after="0"/>
              <w:rPr>
                <w:sz w:val="16"/>
                <w:szCs w:val="16"/>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6"/>
                <w:szCs w:val="16"/>
                <w:color w:val="auto"/>
              </w:rPr>
              <w:t>3,773</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6,002</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5,504</w:t>
            </w:r>
          </w:p>
        </w:tc>
        <w:tc>
          <w:tcPr>
            <w:tcW w:w="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8,276</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11,091</w:t>
            </w: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Total operating loss</w:t>
            </w: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20,756</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31,633</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152"/>
              <w:spacing w:after="0"/>
              <w:rPr>
                <w:sz w:val="20"/>
                <w:szCs w:val="20"/>
                <w:color w:val="auto"/>
              </w:rPr>
            </w:pPr>
            <w:r>
              <w:rPr>
                <w:rFonts w:ascii="Arial" w:cs="Arial" w:eastAsia="Arial" w:hAnsi="Arial"/>
                <w:sz w:val="16"/>
                <w:szCs w:val="16"/>
                <w:color w:val="auto"/>
              </w:rPr>
              <w:t>33,521</w:t>
            </w:r>
          </w:p>
        </w:tc>
        <w:tc>
          <w:tcPr>
            <w:tcW w:w="22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25,950</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30,233</w:t>
            </w: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Financial expenses (income), net</w:t>
            </w:r>
          </w:p>
        </w:tc>
        <w:tc>
          <w:tcPr>
            <w:tcW w:w="240" w:type="dxa"/>
            <w:vAlign w:val="bottom"/>
          </w:tcPr>
          <w:p>
            <w:pPr>
              <w:spacing w:after="0"/>
              <w:rPr>
                <w:sz w:val="16"/>
                <w:szCs w:val="16"/>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6"/>
                <w:szCs w:val="16"/>
                <w:color w:val="auto"/>
              </w:rPr>
              <w:t>(65)</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gridSpan w:val="2"/>
          </w:tcPr>
          <w:p>
            <w:pPr>
              <w:jc w:val="right"/>
              <w:ind w:right="92"/>
              <w:spacing w:after="0"/>
              <w:rPr>
                <w:sz w:val="20"/>
                <w:szCs w:val="20"/>
                <w:color w:val="auto"/>
              </w:rPr>
            </w:pPr>
            <w:r>
              <w:rPr>
                <w:rFonts w:ascii="Arial" w:cs="Arial" w:eastAsia="Arial" w:hAnsi="Arial"/>
                <w:sz w:val="16"/>
                <w:szCs w:val="16"/>
                <w:color w:val="auto"/>
              </w:rPr>
              <w:t>(1,318)</w:t>
            </w:r>
          </w:p>
        </w:tc>
        <w:tc>
          <w:tcPr>
            <w:tcW w:w="22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(1,374)</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(943)</w:t>
            </w: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Loss before income taxes</w:t>
            </w: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20,771</w:t>
            </w:r>
          </w:p>
        </w:tc>
        <w:tc>
          <w:tcPr>
            <w:tcW w:w="12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31,568</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152"/>
              <w:spacing w:after="0"/>
              <w:rPr>
                <w:sz w:val="20"/>
                <w:szCs w:val="20"/>
                <w:color w:val="auto"/>
              </w:rPr>
            </w:pPr>
            <w:r>
              <w:rPr>
                <w:rFonts w:ascii="Arial" w:cs="Arial" w:eastAsia="Arial" w:hAnsi="Arial"/>
                <w:sz w:val="16"/>
                <w:szCs w:val="16"/>
                <w:color w:val="auto"/>
              </w:rPr>
              <w:t>32,203</w:t>
            </w:r>
          </w:p>
        </w:tc>
        <w:tc>
          <w:tcPr>
            <w:tcW w:w="22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24,576</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29,290</w:t>
            </w: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Income taxes</w:t>
            </w: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33</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Loss for the year</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20,771</w:t>
            </w:r>
          </w:p>
        </w:tc>
        <w:tc>
          <w:tcPr>
            <w:tcW w:w="3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31,568</w:t>
            </w:r>
          </w:p>
        </w:tc>
        <w:tc>
          <w:tcPr>
            <w:tcW w:w="320" w:type="dxa"/>
            <w:vAlign w:val="bottom"/>
            <w:gridSpan w:val="2"/>
            <w:shd w:val="clear" w:color="auto" w:fill="CCEEFF"/>
          </w:tcPr>
          <w:p>
            <w:pPr>
              <w:ind w:left="80"/>
              <w:spacing w:after="0"/>
              <w:rPr>
                <w:sz w:val="20"/>
                <w:szCs w:val="20"/>
                <w:color w:val="auto"/>
              </w:rPr>
            </w:pPr>
            <w:r>
              <w:rPr>
                <w:rFonts w:ascii="Arial" w:cs="Arial" w:eastAsia="Arial" w:hAnsi="Arial"/>
                <w:sz w:val="16"/>
                <w:szCs w:val="16"/>
                <w:color w:val="auto"/>
              </w:rPr>
              <w:t>$</w:t>
            </w:r>
          </w:p>
        </w:tc>
        <w:tc>
          <w:tcPr>
            <w:tcW w:w="1120" w:type="dxa"/>
            <w:vAlign w:val="bottom"/>
            <w:gridSpan w:val="2"/>
            <w:shd w:val="clear" w:color="auto" w:fill="CCEEFF"/>
          </w:tcPr>
          <w:p>
            <w:pPr>
              <w:jc w:val="right"/>
              <w:ind w:right="152"/>
              <w:spacing w:after="0"/>
              <w:rPr>
                <w:sz w:val="20"/>
                <w:szCs w:val="20"/>
                <w:color w:val="auto"/>
              </w:rPr>
            </w:pPr>
            <w:r>
              <w:rPr>
                <w:rFonts w:ascii="Arial" w:cs="Arial" w:eastAsia="Arial" w:hAnsi="Arial"/>
                <w:sz w:val="16"/>
                <w:szCs w:val="16"/>
                <w:color w:val="auto"/>
              </w:rPr>
              <w:t>32,203</w:t>
            </w:r>
          </w:p>
        </w:tc>
        <w:tc>
          <w:tcPr>
            <w:tcW w:w="220" w:type="dxa"/>
            <w:vAlign w:val="bottom"/>
            <w:shd w:val="clear" w:color="auto" w:fill="CCEEFF"/>
          </w:tcPr>
          <w:p>
            <w:pPr>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24,609</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29,290</w:t>
            </w: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Basic and diluted loss per ordinary share*</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120"/>
              <w:spacing w:after="0"/>
              <w:rPr>
                <w:sz w:val="20"/>
                <w:szCs w:val="20"/>
                <w:color w:val="auto"/>
              </w:rPr>
            </w:pPr>
            <w:r>
              <w:rPr>
                <w:rFonts w:ascii="Arial" w:cs="Arial" w:eastAsia="Arial" w:hAnsi="Arial"/>
                <w:sz w:val="16"/>
                <w:szCs w:val="16"/>
                <w:color w:val="auto"/>
              </w:rPr>
              <w:t>3.30</w:t>
            </w:r>
          </w:p>
        </w:tc>
        <w:tc>
          <w:tcPr>
            <w:tcW w:w="30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5.02</w:t>
            </w:r>
          </w:p>
        </w:tc>
        <w:tc>
          <w:tcPr>
            <w:tcW w:w="320" w:type="dxa"/>
            <w:vAlign w:val="bottom"/>
            <w:gridSpan w:val="2"/>
          </w:tcPr>
          <w:p>
            <w:pPr>
              <w:ind w:left="80"/>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152"/>
              <w:spacing w:after="0"/>
              <w:rPr>
                <w:sz w:val="20"/>
                <w:szCs w:val="20"/>
                <w:color w:val="auto"/>
              </w:rPr>
            </w:pPr>
            <w:r>
              <w:rPr>
                <w:rFonts w:ascii="Arial" w:cs="Arial" w:eastAsia="Arial" w:hAnsi="Arial"/>
                <w:sz w:val="16"/>
                <w:szCs w:val="16"/>
                <w:color w:val="auto"/>
              </w:rPr>
              <w:t>1.80</w:t>
            </w:r>
          </w:p>
        </w:tc>
        <w:tc>
          <w:tcPr>
            <w:tcW w:w="220" w:type="dxa"/>
            <w:vAlign w:val="bottom"/>
          </w:tcPr>
          <w:p>
            <w:pPr>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1.26</w:t>
            </w:r>
          </w:p>
        </w:tc>
        <w:tc>
          <w:tcPr>
            <w:tcW w:w="3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1.3</w:t>
            </w:r>
          </w:p>
        </w:tc>
      </w:tr>
      <w:tr>
        <w:trPr>
          <w:trHeight w:val="177"/>
        </w:trPr>
        <w:tc>
          <w:tcPr>
            <w:tcW w:w="4620" w:type="dxa"/>
            <w:vAlign w:val="bottom"/>
            <w:shd w:val="clear" w:color="auto" w:fill="CCEEFF"/>
          </w:tcPr>
          <w:p>
            <w:pPr>
              <w:spacing w:after="0" w:line="177" w:lineRule="exact"/>
              <w:rPr>
                <w:sz w:val="20"/>
                <w:szCs w:val="20"/>
                <w:color w:val="auto"/>
              </w:rPr>
            </w:pPr>
            <w:r>
              <w:rPr>
                <w:rFonts w:ascii="Arial" w:cs="Arial" w:eastAsia="Arial" w:hAnsi="Arial"/>
                <w:sz w:val="16"/>
                <w:szCs w:val="16"/>
                <w:color w:val="auto"/>
                <w:w w:val="93"/>
              </w:rPr>
              <w:t>Weighted average number of ordinary shares outstanding – basic and</w:t>
            </w: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r>
      <w:tr>
        <w:trPr>
          <w:trHeight w:val="202"/>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diluted*</w:t>
            </w:r>
          </w:p>
        </w:tc>
        <w:tc>
          <w:tcPr>
            <w:tcW w:w="24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3,494,579</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6,290,244</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52"/>
              <w:spacing w:after="0"/>
              <w:rPr>
                <w:sz w:val="20"/>
                <w:szCs w:val="20"/>
                <w:color w:val="auto"/>
              </w:rPr>
            </w:pPr>
            <w:r>
              <w:rPr>
                <w:rFonts w:ascii="Arial" w:cs="Arial" w:eastAsia="Arial" w:hAnsi="Arial"/>
                <w:sz w:val="16"/>
                <w:szCs w:val="16"/>
                <w:color w:val="auto"/>
              </w:rPr>
              <w:t>17,867,589</w:t>
            </w:r>
          </w:p>
        </w:tc>
        <w:tc>
          <w:tcPr>
            <w:tcW w:w="22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19,534,562</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22,574,688</w:t>
            </w:r>
          </w:p>
        </w:tc>
      </w:tr>
    </w:tbl>
    <w:p>
      <w:pPr>
        <w:spacing w:after="0" w:line="229" w:lineRule="exact"/>
        <w:rPr>
          <w:sz w:val="20"/>
          <w:szCs w:val="20"/>
          <w:color w:val="auto"/>
        </w:rPr>
      </w:pPr>
    </w:p>
    <w:p>
      <w:pPr>
        <w:ind w:left="5" w:right="60" w:hanging="5"/>
        <w:spacing w:after="0" w:line="271" w:lineRule="auto"/>
        <w:tabs>
          <w:tab w:leader="none" w:pos="147" w:val="left"/>
        </w:tabs>
        <w:numPr>
          <w:ilvl w:val="0"/>
          <w:numId w:val="7"/>
        </w:numPr>
        <w:rPr>
          <w:rFonts w:ascii="Arial" w:cs="Arial" w:eastAsia="Arial" w:hAnsi="Arial"/>
          <w:sz w:val="19"/>
          <w:szCs w:val="19"/>
          <w:color w:val="auto"/>
        </w:rPr>
      </w:pPr>
      <w:r>
        <w:rPr>
          <w:rFonts w:ascii="Arial" w:cs="Arial" w:eastAsia="Arial" w:hAnsi="Arial"/>
          <w:sz w:val="19"/>
          <w:szCs w:val="19"/>
          <w:color w:val="auto"/>
        </w:rPr>
        <w:t>On January 19, 2018, we effected a 1-for-1.8 share split of our ordinary shares by way of an issuance of bonus shares. Unless otherwise indicated, except for our authorized capital, all information in this annual report relating to the number of our ordinary shares and loss per ordinary share in this annual report have been adjusted, on a retroactive basis, to reflect this 1-for-1.8 share split.</w:t>
      </w:r>
    </w:p>
    <w:p>
      <w:pPr>
        <w:spacing w:after="0" w:line="34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6" w:name="page7"/>
    <w:bookmarkEnd w:id="6"/>
    <w:tbl>
      <w:tblPr>
        <w:tblLayout w:type="fixed"/>
        <w:tblInd w:w="5" w:type="dxa"/>
        <w:tblCellMar>
          <w:top w:w="0" w:type="dxa"/>
          <w:left w:w="0" w:type="dxa"/>
          <w:bottom w:w="0" w:type="dxa"/>
          <w:right w:w="0" w:type="dxa"/>
        </w:tblCellMar>
      </w:tblPr>
      <w:tr>
        <w:trPr>
          <w:trHeight w:val="189"/>
        </w:trPr>
        <w:tc>
          <w:tcPr>
            <w:tcW w:w="46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00" w:type="dxa"/>
            <w:vAlign w:val="bottom"/>
            <w:gridSpan w:val="4"/>
          </w:tcPr>
          <w:p>
            <w:pPr>
              <w:jc w:val="right"/>
              <w:ind w:right="160"/>
              <w:spacing w:after="0"/>
              <w:rPr>
                <w:sz w:val="20"/>
                <w:szCs w:val="20"/>
                <w:color w:val="auto"/>
              </w:rPr>
            </w:pPr>
            <w:r>
              <w:rPr>
                <w:rFonts w:ascii="Arial" w:cs="Arial" w:eastAsia="Arial" w:hAnsi="Arial"/>
                <w:sz w:val="16"/>
                <w:szCs w:val="16"/>
                <w:b w:val="1"/>
                <w:bCs w:val="1"/>
                <w:color w:val="auto"/>
                <w:w w:val="88"/>
              </w:rPr>
              <w:t>As of December 31,</w:t>
            </w:r>
          </w:p>
        </w:tc>
        <w:tc>
          <w:tcPr>
            <w:tcW w:w="2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209"/>
        </w:trPr>
        <w:tc>
          <w:tcPr>
            <w:tcW w:w="46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41"/>
              <w:spacing w:after="0"/>
              <w:rPr>
                <w:sz w:val="20"/>
                <w:szCs w:val="20"/>
                <w:color w:val="auto"/>
              </w:rPr>
            </w:pPr>
            <w:r>
              <w:rPr>
                <w:rFonts w:ascii="Arial" w:cs="Arial" w:eastAsia="Arial" w:hAnsi="Arial"/>
                <w:sz w:val="16"/>
                <w:szCs w:val="16"/>
                <w:b w:val="1"/>
                <w:bCs w:val="1"/>
                <w:color w:val="auto"/>
              </w:rPr>
              <w:t>2016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41"/>
              <w:spacing w:after="0"/>
              <w:rPr>
                <w:sz w:val="20"/>
                <w:szCs w:val="20"/>
                <w:color w:val="auto"/>
              </w:rPr>
            </w:pPr>
            <w:r>
              <w:rPr>
                <w:rFonts w:ascii="Arial" w:cs="Arial" w:eastAsia="Arial" w:hAnsi="Arial"/>
                <w:sz w:val="16"/>
                <w:szCs w:val="16"/>
                <w:b w:val="1"/>
                <w:bCs w:val="1"/>
                <w:color w:val="auto"/>
              </w:rPr>
              <w:t>2018</w:t>
            </w:r>
          </w:p>
        </w:tc>
        <w:tc>
          <w:tcPr>
            <w:tcW w:w="2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8"/>
                <w:szCs w:val="18"/>
                <w:color w:val="auto"/>
              </w:rPr>
            </w:pPr>
          </w:p>
        </w:tc>
      </w:tr>
      <w:tr>
        <w:trPr>
          <w:trHeight w:val="189"/>
        </w:trPr>
        <w:tc>
          <w:tcPr>
            <w:tcW w:w="4620" w:type="dxa"/>
            <w:vAlign w:val="bottom"/>
          </w:tcPr>
          <w:p>
            <w:pPr>
              <w:spacing w:after="0"/>
              <w:rPr>
                <w:sz w:val="20"/>
                <w:szCs w:val="20"/>
                <w:color w:val="auto"/>
              </w:rPr>
            </w:pPr>
            <w:r>
              <w:rPr>
                <w:rFonts w:ascii="Arial" w:cs="Arial" w:eastAsia="Arial" w:hAnsi="Arial"/>
                <w:sz w:val="16"/>
                <w:szCs w:val="16"/>
                <w:b w:val="1"/>
                <w:bCs w:val="1"/>
                <w:color w:val="auto"/>
              </w:rPr>
              <w:t>Balance Sheet Data:</w:t>
            </w: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right"/>
              <w:ind w:right="41"/>
              <w:spacing w:after="0"/>
              <w:rPr>
                <w:sz w:val="20"/>
                <w:szCs w:val="20"/>
                <w:color w:val="auto"/>
              </w:rPr>
            </w:pPr>
            <w:r>
              <w:rPr>
                <w:rFonts w:ascii="Arial" w:cs="Arial" w:eastAsia="Arial" w:hAnsi="Arial"/>
                <w:sz w:val="16"/>
                <w:szCs w:val="16"/>
                <w:b w:val="1"/>
                <w:bCs w:val="1"/>
                <w:color w:val="auto"/>
                <w:w w:val="90"/>
              </w:rPr>
              <w:t>(in thousands)</w:t>
            </w:r>
          </w:p>
        </w:tc>
        <w:tc>
          <w:tcPr>
            <w:tcW w:w="2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Cash and cash equivalents</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7,001</w:t>
            </w:r>
          </w:p>
        </w:tc>
        <w:tc>
          <w:tcPr>
            <w:tcW w:w="3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5,024</w:t>
            </w:r>
          </w:p>
        </w:tc>
        <w:tc>
          <w:tcPr>
            <w:tcW w:w="380" w:type="dxa"/>
            <w:vAlign w:val="bottom"/>
            <w:gridSpan w:val="2"/>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5,325</w:t>
            </w:r>
          </w:p>
        </w:tc>
        <w:tc>
          <w:tcPr>
            <w:tcW w:w="220" w:type="dxa"/>
            <w:vAlign w:val="bottom"/>
            <w:shd w:val="clear" w:color="auto" w:fill="CCEEFF"/>
          </w:tcPr>
          <w:p>
            <w:pPr>
              <w:spacing w:after="0"/>
              <w:rPr>
                <w:sz w:val="16"/>
                <w:szCs w:val="16"/>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9,412</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7,122</w:t>
            </w: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Total Assets</w:t>
            </w:r>
          </w:p>
        </w:tc>
        <w:tc>
          <w:tcPr>
            <w:tcW w:w="240" w:type="dxa"/>
            <w:vAlign w:val="bottom"/>
          </w:tcPr>
          <w:p>
            <w:pPr>
              <w:spacing w:after="0"/>
              <w:rPr>
                <w:sz w:val="16"/>
                <w:szCs w:val="16"/>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6"/>
                <w:szCs w:val="16"/>
                <w:color w:val="auto"/>
              </w:rPr>
              <w:t>10,985</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6"/>
                <w:szCs w:val="16"/>
                <w:color w:val="auto"/>
              </w:rPr>
              <w:t>15,315</w:t>
            </w: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69,682</w:t>
            </w:r>
          </w:p>
        </w:tc>
        <w:tc>
          <w:tcPr>
            <w:tcW w:w="22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61,301</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59,161</w:t>
            </w: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Total liabilities</w:t>
            </w: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42,322</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68,014</w:t>
            </w:r>
          </w:p>
        </w:tc>
        <w:tc>
          <w:tcPr>
            <w:tcW w:w="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5,773</w:t>
            </w:r>
          </w:p>
        </w:tc>
        <w:tc>
          <w:tcPr>
            <w:tcW w:w="2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8,836</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8,312</w:t>
            </w:r>
          </w:p>
        </w:tc>
      </w:tr>
      <w:tr>
        <w:trPr>
          <w:trHeight w:val="189"/>
        </w:trPr>
        <w:tc>
          <w:tcPr>
            <w:tcW w:w="4620" w:type="dxa"/>
            <w:vAlign w:val="bottom"/>
          </w:tcPr>
          <w:p>
            <w:pPr>
              <w:spacing w:after="0"/>
              <w:rPr>
                <w:sz w:val="20"/>
                <w:szCs w:val="20"/>
                <w:color w:val="auto"/>
              </w:rPr>
            </w:pPr>
            <w:r>
              <w:rPr>
                <w:rFonts w:ascii="Arial" w:cs="Arial" w:eastAsia="Arial" w:hAnsi="Arial"/>
                <w:sz w:val="16"/>
                <w:szCs w:val="16"/>
                <w:color w:val="auto"/>
              </w:rPr>
              <w:t>Accumulated deficit</w:t>
            </w:r>
          </w:p>
        </w:tc>
        <w:tc>
          <w:tcPr>
            <w:tcW w:w="240" w:type="dxa"/>
            <w:vAlign w:val="bottom"/>
          </w:tcPr>
          <w:p>
            <w:pPr>
              <w:spacing w:after="0"/>
              <w:rPr>
                <w:sz w:val="16"/>
                <w:szCs w:val="16"/>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6"/>
                <w:szCs w:val="16"/>
                <w:color w:val="auto"/>
              </w:rPr>
              <w:t>(63,693)</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6"/>
                <w:szCs w:val="16"/>
                <w:color w:val="auto"/>
              </w:rPr>
              <w:t>(95,261)</w:t>
            </w:r>
          </w:p>
        </w:tc>
        <w:tc>
          <w:tcPr>
            <w:tcW w:w="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6"/>
                <w:szCs w:val="16"/>
                <w:color w:val="auto"/>
              </w:rPr>
              <w:t>(127,464)</w:t>
            </w:r>
          </w:p>
        </w:tc>
        <w:tc>
          <w:tcPr>
            <w:tcW w:w="22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(152,073)</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(181,363)</w:t>
            </w:r>
          </w:p>
        </w:tc>
      </w:tr>
      <w:tr>
        <w:trPr>
          <w:trHeight w:val="189"/>
        </w:trPr>
        <w:tc>
          <w:tcPr>
            <w:tcW w:w="4620" w:type="dxa"/>
            <w:vAlign w:val="bottom"/>
            <w:shd w:val="clear" w:color="auto" w:fill="CCEEFF"/>
          </w:tcPr>
          <w:p>
            <w:pPr>
              <w:spacing w:after="0"/>
              <w:rPr>
                <w:sz w:val="20"/>
                <w:szCs w:val="20"/>
                <w:color w:val="auto"/>
              </w:rPr>
            </w:pPr>
            <w:r>
              <w:rPr>
                <w:rFonts w:ascii="Arial" w:cs="Arial" w:eastAsia="Arial" w:hAnsi="Arial"/>
                <w:sz w:val="16"/>
                <w:szCs w:val="16"/>
                <w:color w:val="auto"/>
              </w:rPr>
              <w:t>Total shareholders’ equity (capital deficiency)</w:t>
            </w: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(31,337)</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(52,699)</w:t>
            </w:r>
          </w:p>
        </w:tc>
        <w:tc>
          <w:tcPr>
            <w:tcW w:w="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63,909</w:t>
            </w:r>
          </w:p>
        </w:tc>
        <w:tc>
          <w:tcPr>
            <w:tcW w:w="22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52,465</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50,849</w:t>
            </w:r>
          </w:p>
        </w:tc>
      </w:tr>
    </w:tbl>
    <w:p>
      <w:pPr>
        <w:spacing w:after="0" w:line="223" w:lineRule="exact"/>
        <w:rPr>
          <w:sz w:val="20"/>
          <w:szCs w:val="20"/>
          <w:color w:val="auto"/>
        </w:rPr>
      </w:pPr>
    </w:p>
    <w:p>
      <w:pPr>
        <w:ind w:left="685" w:hanging="685"/>
        <w:spacing w:after="0"/>
        <w:tabs>
          <w:tab w:leader="none" w:pos="685" w:val="left"/>
        </w:tabs>
        <w:numPr>
          <w:ilvl w:val="0"/>
          <w:numId w:val="8"/>
        </w:numPr>
        <w:rPr>
          <w:rFonts w:ascii="Arial" w:cs="Arial" w:eastAsia="Arial" w:hAnsi="Arial"/>
          <w:sz w:val="19"/>
          <w:szCs w:val="19"/>
          <w:b w:val="1"/>
          <w:bCs w:val="1"/>
          <w:color w:val="auto"/>
        </w:rPr>
      </w:pPr>
      <w:r>
        <w:rPr>
          <w:rFonts w:ascii="Arial" w:cs="Arial" w:eastAsia="Arial" w:hAnsi="Arial"/>
          <w:sz w:val="19"/>
          <w:szCs w:val="19"/>
          <w:b w:val="1"/>
          <w:bCs w:val="1"/>
          <w:color w:val="auto"/>
        </w:rPr>
        <w:t>Capitalization and Indebtedness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685" w:val="left"/>
        </w:tabs>
        <w:rPr>
          <w:sz w:val="20"/>
          <w:szCs w:val="20"/>
          <w:color w:val="auto"/>
        </w:rPr>
      </w:pPr>
      <w:r>
        <w:rPr>
          <w:rFonts w:ascii="Arial" w:cs="Arial" w:eastAsia="Arial" w:hAnsi="Arial"/>
          <w:sz w:val="19"/>
          <w:szCs w:val="19"/>
          <w:b w:val="1"/>
          <w:bCs w:val="1"/>
          <w:color w:val="auto"/>
        </w:rPr>
        <w:t>C</w:t>
      </w:r>
      <w:r>
        <w:rPr>
          <w:rFonts w:ascii="Arial" w:cs="Arial" w:eastAsia="Arial" w:hAnsi="Arial"/>
          <w:sz w:val="19"/>
          <w:szCs w:val="19"/>
          <w:color w:val="auto"/>
        </w:rPr>
        <w:t>.</w:t>
      </w:r>
      <w:r>
        <w:rPr>
          <w:sz w:val="20"/>
          <w:szCs w:val="20"/>
          <w:color w:val="auto"/>
        </w:rPr>
        <w:tab/>
      </w:r>
      <w:r>
        <w:rPr>
          <w:rFonts w:ascii="Arial" w:cs="Arial" w:eastAsia="Arial" w:hAnsi="Arial"/>
          <w:sz w:val="16"/>
          <w:szCs w:val="16"/>
          <w:b w:val="1"/>
          <w:bCs w:val="1"/>
          <w:color w:val="auto"/>
        </w:rPr>
        <w:t>Reasons for the Offer and Use of Proceeds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05" w:hanging="705"/>
        <w:spacing w:after="0"/>
        <w:tabs>
          <w:tab w:leader="none" w:pos="705" w:val="left"/>
        </w:tabs>
        <w:numPr>
          <w:ilvl w:val="0"/>
          <w:numId w:val="9"/>
        </w:numPr>
        <w:rPr>
          <w:rFonts w:ascii="Arial" w:cs="Arial" w:eastAsia="Arial" w:hAnsi="Arial"/>
          <w:sz w:val="19"/>
          <w:szCs w:val="19"/>
          <w:b w:val="1"/>
          <w:bCs w:val="1"/>
          <w:color w:val="auto"/>
        </w:rPr>
      </w:pPr>
      <w:r>
        <w:rPr>
          <w:rFonts w:ascii="Arial" w:cs="Arial" w:eastAsia="Arial" w:hAnsi="Arial"/>
          <w:sz w:val="19"/>
          <w:szCs w:val="19"/>
          <w:b w:val="1"/>
          <w:bCs w:val="1"/>
          <w:color w:val="auto"/>
        </w:rPr>
        <w:t>Risk Factors</w:t>
      </w:r>
    </w:p>
    <w:p>
      <w:pPr>
        <w:spacing w:after="0" w:line="261" w:lineRule="exact"/>
        <w:rPr>
          <w:sz w:val="20"/>
          <w:szCs w:val="20"/>
          <w:color w:val="auto"/>
        </w:rPr>
      </w:pPr>
    </w:p>
    <w:p>
      <w:pPr>
        <w:jc w:val="both"/>
        <w:ind w:left="5" w:firstLine="568"/>
        <w:spacing w:after="0" w:line="282" w:lineRule="auto"/>
        <w:rPr>
          <w:sz w:val="20"/>
          <w:szCs w:val="20"/>
          <w:color w:val="auto"/>
        </w:rPr>
      </w:pPr>
      <w:r>
        <w:rPr>
          <w:rFonts w:ascii="Arial" w:cs="Arial" w:eastAsia="Arial" w:hAnsi="Arial"/>
          <w:sz w:val="18"/>
          <w:szCs w:val="18"/>
          <w:i w:val="1"/>
          <w:iCs w:val="1"/>
          <w:color w:val="auto"/>
        </w:rPr>
        <w:t>You should carefully consider the risks we describe below, in addition to the other information set forth elsewhere in this annual report, including our financial statements and the related notes beginning on page F-1, before deciding to invest in our ordinary shares, or the “Ordinary Shares. The risks and uncertainties described below in this annual report on Form/ 20-F for the year ended December 31, 2020 are not the only risks facing us. We may face additional risks and uncertainties not currently known to us or that we currently deem to be immaterial. Any of the risks described below or incorporated by reference in this Form 20-F, and any such additional risks, could materially adversely affect our business, financial condition or results of operations. In such case, you may lose all or part of your investment.</w:t>
      </w:r>
    </w:p>
    <w:p>
      <w:pPr>
        <w:spacing w:after="0" w:line="190"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Summary of Risk Factors</w:t>
      </w:r>
    </w:p>
    <w:p>
      <w:pPr>
        <w:spacing w:after="0" w:line="261"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The following is a summary of some of the principal risks we face. The list below is not exhaustive, and investors should read this “Risk factors” section in full.</w:t>
      </w:r>
    </w:p>
    <w:p>
      <w:pPr>
        <w:spacing w:after="0" w:line="187" w:lineRule="exact"/>
        <w:rPr>
          <w:sz w:val="20"/>
          <w:szCs w:val="20"/>
          <w:color w:val="auto"/>
        </w:rPr>
      </w:pPr>
    </w:p>
    <w:p>
      <w:pPr>
        <w:ind w:left="565" w:hanging="282"/>
        <w:spacing w:after="0" w:line="268" w:lineRule="auto"/>
        <w:tabs>
          <w:tab w:leader="none" w:pos="565"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are a clinical-stage company and have incurred significant losses since our inception. We expect to incur losses for the foreseeable future and may never achieve or maintain profitability.</w:t>
      </w:r>
    </w:p>
    <w:p>
      <w:pPr>
        <w:spacing w:after="0" w:line="204" w:lineRule="exact"/>
        <w:rPr>
          <w:rFonts w:ascii="Arial" w:cs="Arial" w:eastAsia="Arial" w:hAnsi="Arial"/>
          <w:sz w:val="16"/>
          <w:szCs w:val="16"/>
          <w:color w:val="auto"/>
        </w:rPr>
      </w:pPr>
    </w:p>
    <w:p>
      <w:pPr>
        <w:ind w:left="565" w:right="20" w:hanging="282"/>
        <w:spacing w:after="0" w:line="268" w:lineRule="auto"/>
        <w:tabs>
          <w:tab w:leader="none" w:pos="565"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have a limited operating history in the dermatological prescription drug space which may make it difficult to evaluate the success of our business to date and to assess our future viability.</w:t>
      </w:r>
    </w:p>
    <w:p>
      <w:pPr>
        <w:spacing w:after="0" w:line="204" w:lineRule="exact"/>
        <w:rPr>
          <w:rFonts w:ascii="Arial" w:cs="Arial" w:eastAsia="Arial" w:hAnsi="Arial"/>
          <w:sz w:val="16"/>
          <w:szCs w:val="16"/>
          <w:color w:val="auto"/>
        </w:rPr>
      </w:pPr>
    </w:p>
    <w:p>
      <w:pPr>
        <w:jc w:val="both"/>
        <w:ind w:left="565" w:hanging="282"/>
        <w:spacing w:after="0" w:line="257" w:lineRule="auto"/>
        <w:tabs>
          <w:tab w:leader="none" w:pos="565"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may need substantial additional funding to pursue our business objectives. If we are unable to raise capital when needed, we could be forced to curtail our planned operations and the pursuit of our growth strategy. If we are successful in raising additional capital, this may cause dilution to our shareholders, restrict our operations or require us to relinquish rights to our technologies or product candidates.</w:t>
      </w:r>
    </w:p>
    <w:p>
      <w:pPr>
        <w:spacing w:after="0" w:line="213" w:lineRule="exact"/>
        <w:rPr>
          <w:rFonts w:ascii="Arial" w:cs="Arial" w:eastAsia="Arial" w:hAnsi="Arial"/>
          <w:sz w:val="16"/>
          <w:szCs w:val="16"/>
          <w:color w:val="auto"/>
        </w:rPr>
      </w:pPr>
    </w:p>
    <w:p>
      <w:pPr>
        <w:ind w:left="565" w:hanging="282"/>
        <w:spacing w:after="0"/>
        <w:tabs>
          <w:tab w:leader="none" w:pos="565"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are largely dependent on the success of our branded product candidates for the treatment of topical dermatological conditions.</w:t>
      </w:r>
    </w:p>
    <w:p>
      <w:pPr>
        <w:spacing w:after="0" w:line="241" w:lineRule="exact"/>
        <w:rPr>
          <w:rFonts w:ascii="Arial" w:cs="Arial" w:eastAsia="Arial" w:hAnsi="Arial"/>
          <w:sz w:val="16"/>
          <w:szCs w:val="16"/>
          <w:color w:val="auto"/>
        </w:rPr>
      </w:pPr>
    </w:p>
    <w:p>
      <w:pPr>
        <w:jc w:val="both"/>
        <w:ind w:left="565" w:hanging="282"/>
        <w:spacing w:after="0" w:line="253" w:lineRule="auto"/>
        <w:tabs>
          <w:tab w:leader="none" w:pos="565" w:val="left"/>
        </w:tabs>
        <w:numPr>
          <w:ilvl w:val="0"/>
          <w:numId w:val="10"/>
        </w:numPr>
        <w:rPr>
          <w:rFonts w:ascii="Arial" w:cs="Arial" w:eastAsia="Arial" w:hAnsi="Arial"/>
          <w:sz w:val="16"/>
          <w:szCs w:val="16"/>
          <w:color w:val="auto"/>
        </w:rPr>
      </w:pPr>
      <w:r>
        <w:rPr>
          <w:rFonts w:ascii="Arial" w:cs="Arial" w:eastAsia="Arial" w:hAnsi="Arial"/>
          <w:sz w:val="16"/>
          <w:szCs w:val="16"/>
          <w:color w:val="auto"/>
        </w:rPr>
        <w:t>We currently have limited marketing capabilities. If we are unable to establish adequate sales and marketing capabilities through third parties we may be required to establish sales and marketing capabilities on our own, or we may be unable to successfully commercialize Twyneo®, Epsolay® or any other of our other product candidates, if approved, or generate product revenues. In addition, establishing our own sales and marketing capabilities would significantly increase our expenses and require us to raise additional capital sooner that an anticipated</w:t>
      </w:r>
      <w:r>
        <w:rPr>
          <w:rFonts w:ascii="Arial" w:cs="Arial" w:eastAsia="Arial" w:hAnsi="Arial"/>
          <w:sz w:val="16"/>
          <w:szCs w:val="16"/>
          <w:b w:val="1"/>
          <w:bCs w:val="1"/>
          <w:i w:val="1"/>
          <w:iCs w:val="1"/>
          <w:color w:val="auto"/>
        </w:rPr>
        <w:t>.</w:t>
      </w:r>
    </w:p>
    <w:p>
      <w:pPr>
        <w:spacing w:after="0" w:line="365"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3" w:right="319" w:bottom="1440" w:gutter="0" w:footer="0" w:header="0"/>
        </w:sectPr>
      </w:pPr>
    </w:p>
    <w:bookmarkStart w:id="7" w:name="page8"/>
    <w:bookmarkEnd w:id="7"/>
    <w:p>
      <w:pPr>
        <w:ind w:left="282" w:hanging="282"/>
        <w:spacing w:after="0"/>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We have not obtained regulatory approval for most of our product candidates in the United States or any other country.</w:t>
      </w:r>
    </w:p>
    <w:p>
      <w:pPr>
        <w:spacing w:after="0" w:line="241" w:lineRule="exact"/>
        <w:rPr>
          <w:rFonts w:ascii="Arial" w:cs="Arial" w:eastAsia="Arial" w:hAnsi="Arial"/>
          <w:sz w:val="16"/>
          <w:szCs w:val="16"/>
          <w:color w:val="auto"/>
        </w:rPr>
      </w:pPr>
    </w:p>
    <w:p>
      <w:pPr>
        <w:jc w:val="both"/>
        <w:ind w:left="282" w:right="20" w:hanging="282"/>
        <w:spacing w:after="0" w:line="257"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continued growth is dependent on our ability to successfully develop and commercialize new product candidates in a timely manner. We expend a significant amount of resources on research and development efforts that may not lead to successful product candidate introductions or the recovery of our research and development expenditures.</w:t>
      </w:r>
    </w:p>
    <w:p>
      <w:pPr>
        <w:spacing w:after="0" w:line="213" w:lineRule="exact"/>
        <w:rPr>
          <w:rFonts w:ascii="Arial" w:cs="Arial" w:eastAsia="Arial" w:hAnsi="Arial"/>
          <w:sz w:val="16"/>
          <w:szCs w:val="16"/>
          <w:color w:val="auto"/>
        </w:rPr>
      </w:pPr>
    </w:p>
    <w:p>
      <w:pPr>
        <w:ind w:left="282" w:right="20" w:hanging="282"/>
        <w:spacing w:after="0" w:line="268"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204" w:lineRule="exact"/>
        <w:rPr>
          <w:rFonts w:ascii="Arial" w:cs="Arial" w:eastAsia="Arial" w:hAnsi="Arial"/>
          <w:sz w:val="16"/>
          <w:szCs w:val="16"/>
          <w:color w:val="auto"/>
        </w:rPr>
      </w:pPr>
    </w:p>
    <w:p>
      <w:pPr>
        <w:ind w:left="282" w:hanging="282"/>
        <w:spacing w:after="0" w:line="268"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204" w:lineRule="exact"/>
        <w:rPr>
          <w:rFonts w:ascii="Arial" w:cs="Arial" w:eastAsia="Arial" w:hAnsi="Arial"/>
          <w:sz w:val="16"/>
          <w:szCs w:val="16"/>
          <w:color w:val="auto"/>
        </w:rPr>
      </w:pPr>
    </w:p>
    <w:p>
      <w:pPr>
        <w:jc w:val="both"/>
        <w:ind w:left="282" w:hanging="282"/>
        <w:spacing w:after="0" w:line="257"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 such as the risk of product liability claims.</w:t>
      </w:r>
    </w:p>
    <w:p>
      <w:pPr>
        <w:spacing w:after="0" w:line="213" w:lineRule="exact"/>
        <w:rPr>
          <w:rFonts w:ascii="Arial" w:cs="Arial" w:eastAsia="Arial" w:hAnsi="Arial"/>
          <w:sz w:val="16"/>
          <w:szCs w:val="16"/>
          <w:color w:val="auto"/>
        </w:rPr>
      </w:pPr>
    </w:p>
    <w:p>
      <w:pPr>
        <w:ind w:left="282" w:hanging="282"/>
        <w:spacing w:after="0" w:line="268"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204" w:lineRule="exact"/>
        <w:rPr>
          <w:rFonts w:ascii="Arial" w:cs="Arial" w:eastAsia="Arial" w:hAnsi="Arial"/>
          <w:sz w:val="16"/>
          <w:szCs w:val="16"/>
          <w:color w:val="auto"/>
        </w:rPr>
      </w:pPr>
    </w:p>
    <w:p>
      <w:pPr>
        <w:ind w:left="282" w:right="20" w:hanging="282"/>
        <w:spacing w:after="0" w:line="268"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product candidates, if approved, will face significant competition and our failure to compete effectively may prevent us from achieving significant market penetration and expansion.</w:t>
      </w:r>
    </w:p>
    <w:p>
      <w:pPr>
        <w:spacing w:after="0" w:line="204" w:lineRule="exact"/>
        <w:rPr>
          <w:rFonts w:ascii="Arial" w:cs="Arial" w:eastAsia="Arial" w:hAnsi="Arial"/>
          <w:sz w:val="16"/>
          <w:szCs w:val="16"/>
          <w:color w:val="auto"/>
        </w:rPr>
      </w:pPr>
    </w:p>
    <w:p>
      <w:pPr>
        <w:ind w:left="282" w:hanging="282"/>
        <w:spacing w:after="0"/>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ongoing COVID-19 pandemic may adversely affect our business, revenues, results of operations and financial condition.</w:t>
      </w:r>
    </w:p>
    <w:p>
      <w:pPr>
        <w:spacing w:after="0" w:line="241" w:lineRule="exact"/>
        <w:rPr>
          <w:rFonts w:ascii="Arial" w:cs="Arial" w:eastAsia="Arial" w:hAnsi="Arial"/>
          <w:sz w:val="16"/>
          <w:szCs w:val="16"/>
          <w:color w:val="auto"/>
        </w:rPr>
      </w:pPr>
    </w:p>
    <w:p>
      <w:pPr>
        <w:ind w:left="282" w:right="20" w:hanging="282"/>
        <w:spacing w:after="0" w:line="268"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Any collaborative arrangements that we have or may establish in the future may not be successful or we may otherwise not realize the anticipated benefits from these collaborations.</w:t>
      </w:r>
    </w:p>
    <w:p>
      <w:pPr>
        <w:spacing w:after="0" w:line="204" w:lineRule="exact"/>
        <w:rPr>
          <w:rFonts w:ascii="Arial" w:cs="Arial" w:eastAsia="Arial" w:hAnsi="Arial"/>
          <w:sz w:val="16"/>
          <w:szCs w:val="16"/>
          <w:color w:val="auto"/>
        </w:rPr>
      </w:pPr>
    </w:p>
    <w:p>
      <w:pPr>
        <w:jc w:val="both"/>
        <w:ind w:left="282" w:right="20" w:hanging="282"/>
        <w:spacing w:after="0" w:line="257"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213" w:lineRule="exact"/>
        <w:rPr>
          <w:rFonts w:ascii="Arial" w:cs="Arial" w:eastAsia="Arial" w:hAnsi="Arial"/>
          <w:sz w:val="16"/>
          <w:szCs w:val="16"/>
          <w:color w:val="auto"/>
        </w:rPr>
      </w:pPr>
    </w:p>
    <w:p>
      <w:pPr>
        <w:ind w:left="282" w:right="340" w:hanging="282"/>
        <w:spacing w:after="0" w:line="257"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213" w:lineRule="exact"/>
        <w:rPr>
          <w:rFonts w:ascii="Arial" w:cs="Arial" w:eastAsia="Arial" w:hAnsi="Arial"/>
          <w:sz w:val="16"/>
          <w:szCs w:val="16"/>
          <w:color w:val="auto"/>
        </w:rPr>
      </w:pPr>
    </w:p>
    <w:p>
      <w:pPr>
        <w:ind w:left="282" w:hanging="282"/>
        <w:spacing w:after="0"/>
        <w:tabs>
          <w:tab w:leader="none" w:pos="282" w:val="left"/>
        </w:tabs>
        <w:numPr>
          <w:ilvl w:val="0"/>
          <w:numId w:val="11"/>
        </w:numPr>
        <w:rPr>
          <w:rFonts w:ascii="Arial" w:cs="Arial" w:eastAsia="Arial" w:hAnsi="Arial"/>
          <w:sz w:val="14"/>
          <w:szCs w:val="14"/>
          <w:color w:val="auto"/>
        </w:rPr>
      </w:pPr>
      <w:r>
        <w:rPr>
          <w:rFonts w:ascii="Arial" w:cs="Arial" w:eastAsia="Arial" w:hAnsi="Arial"/>
          <w:sz w:val="14"/>
          <w:szCs w:val="14"/>
          <w:color w:val="auto"/>
        </w:rPr>
        <w:t>We depend on our intellectual property, and our future success is dependent on our ability to protect our intellectual property and not infringe on the rights of others.</w:t>
      </w:r>
    </w:p>
    <w:p>
      <w:pPr>
        <w:spacing w:after="0" w:line="264" w:lineRule="exact"/>
        <w:rPr>
          <w:rFonts w:ascii="Arial" w:cs="Arial" w:eastAsia="Arial" w:hAnsi="Arial"/>
          <w:sz w:val="14"/>
          <w:szCs w:val="14"/>
          <w:color w:val="auto"/>
        </w:rPr>
      </w:pPr>
    </w:p>
    <w:p>
      <w:pPr>
        <w:ind w:left="282" w:hanging="282"/>
        <w:spacing w:after="0"/>
        <w:tabs>
          <w:tab w:leader="none" w:pos="282" w:val="left"/>
        </w:tabs>
        <w:numPr>
          <w:ilvl w:val="0"/>
          <w:numId w:val="11"/>
        </w:numPr>
        <w:rPr>
          <w:rFonts w:ascii="Arial" w:cs="Arial" w:eastAsia="Arial" w:hAnsi="Arial"/>
          <w:sz w:val="15"/>
          <w:szCs w:val="15"/>
          <w:color w:val="auto"/>
        </w:rPr>
      </w:pPr>
      <w:r>
        <w:rPr>
          <w:rFonts w:ascii="Arial" w:cs="Arial" w:eastAsia="Arial" w:hAnsi="Arial"/>
          <w:sz w:val="15"/>
          <w:szCs w:val="15"/>
          <w:color w:val="auto"/>
        </w:rPr>
        <w:t>If we are unable to protect the confidentiality of our trade secrets or know-how, such proprietary information may be used by others to compete against us.</w:t>
      </w:r>
    </w:p>
    <w:p>
      <w:pPr>
        <w:spacing w:after="0" w:line="253" w:lineRule="exact"/>
        <w:rPr>
          <w:rFonts w:ascii="Arial" w:cs="Arial" w:eastAsia="Arial" w:hAnsi="Arial"/>
          <w:sz w:val="15"/>
          <w:szCs w:val="15"/>
          <w:color w:val="auto"/>
        </w:rPr>
      </w:pPr>
    </w:p>
    <w:p>
      <w:pPr>
        <w:ind w:left="282" w:hanging="282"/>
        <w:spacing w:after="0" w:line="268" w:lineRule="auto"/>
        <w:tabs>
          <w:tab w:leader="none" w:pos="282" w:val="left"/>
        </w:tabs>
        <w:numPr>
          <w:ilvl w:val="0"/>
          <w:numId w:val="11"/>
        </w:numPr>
        <w:rPr>
          <w:rFonts w:ascii="Arial" w:cs="Arial" w:eastAsia="Arial" w:hAnsi="Arial"/>
          <w:sz w:val="16"/>
          <w:szCs w:val="16"/>
          <w:color w:val="auto"/>
        </w:rPr>
      </w:pPr>
      <w:r>
        <w:rPr>
          <w:rFonts w:ascii="Arial" w:cs="Arial" w:eastAsia="Arial" w:hAnsi="Arial"/>
          <w:sz w:val="16"/>
          <w:szCs w:val="16"/>
          <w:color w:val="auto"/>
        </w:rPr>
        <w:t>If we are not able to retain our key management, or attract and retain qualified scientific, technical and business personnel, our ability to implement our business plan may be adversely affected.</w:t>
      </w:r>
    </w:p>
    <w:p>
      <w:pPr>
        <w:spacing w:after="0" w:line="351" w:lineRule="exact"/>
        <w:rPr>
          <w:sz w:val="20"/>
          <w:szCs w:val="20"/>
          <w:color w:val="auto"/>
        </w:rPr>
      </w:pPr>
    </w:p>
    <w:p>
      <w:pPr>
        <w:jc w:val="center"/>
        <w:ind w:right="298"/>
        <w:spacing w:after="0"/>
        <w:rPr>
          <w:sz w:val="20"/>
          <w:szCs w:val="20"/>
          <w:color w:val="auto"/>
        </w:rPr>
      </w:pPr>
      <w:r>
        <w:rPr>
          <w:rFonts w:ascii="Arial" w:cs="Arial" w:eastAsia="Arial" w:hAnsi="Arial"/>
          <w:sz w:val="19"/>
          <w:szCs w:val="19"/>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-179705</wp:posOffset>
            </wp:positionH>
            <wp:positionV relativeFrom="paragraph">
              <wp:posOffset>38735</wp:posOffset>
            </wp:positionV>
            <wp:extent cx="7149465" cy="152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0982"/>
          </w:cols>
          <w:pgMar w:left="598" w:top="127" w:right="319" w:bottom="1440" w:gutter="0" w:footer="0" w:header="0"/>
        </w:sectPr>
      </w:pPr>
    </w:p>
    <w:bookmarkStart w:id="8" w:name="page9"/>
    <w:bookmarkEnd w:id="8"/>
    <w:p>
      <w:pPr>
        <w:spacing w:after="0"/>
        <w:rPr>
          <w:sz w:val="20"/>
          <w:szCs w:val="20"/>
          <w:color w:val="auto"/>
        </w:rPr>
      </w:pPr>
      <w:r>
        <w:rPr>
          <w:rFonts w:ascii="Arial" w:cs="Arial" w:eastAsia="Arial" w:hAnsi="Arial"/>
          <w:sz w:val="19"/>
          <w:szCs w:val="19"/>
          <w:b w:val="1"/>
          <w:bCs w:val="1"/>
          <w:color w:val="auto"/>
        </w:rPr>
        <w:t>Risks Related to Our Business and Industry</w:t>
      </w:r>
    </w:p>
    <w:p>
      <w:pPr>
        <w:spacing w:after="0" w:line="261" w:lineRule="exact"/>
        <w:rPr>
          <w:sz w:val="20"/>
          <w:szCs w:val="20"/>
          <w:color w:val="auto"/>
        </w:rPr>
      </w:pPr>
    </w:p>
    <w:p>
      <w:pPr>
        <w:ind w:right="280"/>
        <w:spacing w:after="0" w:line="284" w:lineRule="auto"/>
        <w:rPr>
          <w:sz w:val="20"/>
          <w:szCs w:val="20"/>
          <w:color w:val="auto"/>
        </w:rPr>
      </w:pPr>
      <w:r>
        <w:rPr>
          <w:rFonts w:ascii="Arial" w:cs="Arial" w:eastAsia="Arial" w:hAnsi="Arial"/>
          <w:sz w:val="19"/>
          <w:szCs w:val="19"/>
          <w:b w:val="1"/>
          <w:bCs w:val="1"/>
          <w:i w:val="1"/>
          <w:iCs w:val="1"/>
          <w:color w:val="auto"/>
        </w:rPr>
        <w:t>We are a clinical-stage company and have incurred significant losses since our inception. We expect to incur losses for the foreseeable future and may never achieve or maintain profitability.</w:t>
      </w:r>
    </w:p>
    <w:p>
      <w:pPr>
        <w:spacing w:after="0" w:line="193"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We are a clinical-stage dermatology company with a limited operating history. We have incurred net losses since our formation in 1997. In particular, we incurred net losses of $32.2 million in 2018, $24.6 million in 2019, and $29.3 million in 2020. As of December 31, 2020, we had an accumulated deficit of $181.4 million. Our losses have resulted principally from expenses incurred in research and development of our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182" w:lineRule="exact"/>
        <w:rPr>
          <w:sz w:val="20"/>
          <w:szCs w:val="20"/>
          <w:color w:val="auto"/>
        </w:rPr>
      </w:pPr>
    </w:p>
    <w:p>
      <w:pPr>
        <w:ind w:left="740" w:hanging="426"/>
        <w:spacing w:after="0"/>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seek marketing approval and conduct pre-commercialization and launch activities for Twyneo® and Epsolay®;</w:t>
      </w:r>
    </w:p>
    <w:p>
      <w:pPr>
        <w:spacing w:after="0" w:line="241" w:lineRule="exact"/>
        <w:rPr>
          <w:rFonts w:ascii="Arial" w:cs="Arial" w:eastAsia="Arial" w:hAnsi="Arial"/>
          <w:sz w:val="16"/>
          <w:szCs w:val="16"/>
          <w:color w:val="auto"/>
        </w:rPr>
      </w:pPr>
    </w:p>
    <w:p>
      <w:pPr>
        <w:jc w:val="both"/>
        <w:ind w:left="740" w:right="20" w:hanging="426"/>
        <w:spacing w:after="0" w:line="257" w:lineRule="auto"/>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conduct Phase I proof of concept clinical studies of SGT-210, and continue the research and development of erlotinib, an epidermal growth factor receptor inhibitor, tapinarof, an investigational aryl hydrocarbon receptor modulator, and roflumilast, an investigational phosphodiesterase 4 inhibitor, and other future branded product candidates;</w:t>
      </w:r>
    </w:p>
    <w:p>
      <w:pPr>
        <w:spacing w:after="0" w:line="213" w:lineRule="exact"/>
        <w:rPr>
          <w:rFonts w:ascii="Arial" w:cs="Arial" w:eastAsia="Arial" w:hAnsi="Arial"/>
          <w:sz w:val="16"/>
          <w:szCs w:val="16"/>
          <w:color w:val="auto"/>
        </w:rPr>
      </w:pPr>
    </w:p>
    <w:p>
      <w:pPr>
        <w:ind w:left="740" w:hanging="426"/>
        <w:spacing w:after="0"/>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seek regulatory approvals for any product candidate that successfully completes clinical development;</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establish commercial manufacturing capabilities through one or more contract manufacturing organizations to commercialize any product candidates for which we may obtain regulatory approval;</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continue the development, bioequivalence and other studies required for abbreviated new drug application, or ANDA, submissions for our generic product candidates;</w:t>
      </w:r>
    </w:p>
    <w:p>
      <w:pPr>
        <w:spacing w:after="0" w:line="264" w:lineRule="exact"/>
        <w:rPr>
          <w:rFonts w:ascii="Arial" w:cs="Arial" w:eastAsia="Arial" w:hAnsi="Arial"/>
          <w:sz w:val="14"/>
          <w:szCs w:val="14"/>
          <w:color w:val="auto"/>
        </w:rPr>
      </w:pPr>
    </w:p>
    <w:p>
      <w:pPr>
        <w:ind w:left="740" w:hanging="426"/>
        <w:spacing w:after="0"/>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seek to enhance our technology platform;</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maintain, expand and protect our intellectual property portfolio;</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seek new drug candidates and expand our disease portfolio;</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add clinical, scientific, operational, financial and management information systems and personnel, including personnel to support our product development; and</w:t>
      </w:r>
    </w:p>
    <w:p>
      <w:pPr>
        <w:spacing w:after="0" w:line="264" w:lineRule="exact"/>
        <w:rPr>
          <w:rFonts w:ascii="Arial" w:cs="Arial" w:eastAsia="Arial" w:hAnsi="Arial"/>
          <w:sz w:val="14"/>
          <w:szCs w:val="14"/>
          <w:color w:val="auto"/>
        </w:rPr>
      </w:pPr>
    </w:p>
    <w:p>
      <w:pPr>
        <w:ind w:left="740" w:right="20" w:hanging="426"/>
        <w:spacing w:after="0" w:line="268" w:lineRule="auto"/>
        <w:tabs>
          <w:tab w:leader="none" w:pos="7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experience any delays or encounter any issues with any of the above, including but not limited to failed studies, complex results, safety issues or other regulatory challenges.</w:t>
      </w:r>
    </w:p>
    <w:p>
      <w:pPr>
        <w:spacing w:after="0" w:line="209" w:lineRule="exact"/>
        <w:rPr>
          <w:sz w:val="20"/>
          <w:szCs w:val="20"/>
          <w:color w:val="auto"/>
        </w:rPr>
      </w:pPr>
    </w:p>
    <w:p>
      <w:pPr>
        <w:jc w:val="both"/>
        <w:ind w:firstLine="568"/>
        <w:spacing w:after="0" w:line="247" w:lineRule="auto"/>
        <w:rPr>
          <w:sz w:val="20"/>
          <w:szCs w:val="20"/>
          <w:color w:val="auto"/>
        </w:rPr>
      </w:pPr>
      <w:r>
        <w:rPr>
          <w:rFonts w:ascii="Arial" w:cs="Arial" w:eastAsia="Arial" w:hAnsi="Arial"/>
          <w:sz w:val="18"/>
          <w:szCs w:val="18"/>
          <w:color w:val="auto"/>
        </w:rPr>
        <w:t>We have financed our operations primarily through public offerings in the U.S., private placements of equity securities and investments and loans from our controlling shareholder. To date, we have devoted a significant portion of our financial resources and efforts to developing the first generic version of Zovirax</w:t>
      </w:r>
      <w:r>
        <w:rPr>
          <w:rFonts w:ascii="Arial" w:cs="Arial" w:eastAsia="Arial" w:hAnsi="Arial"/>
          <w:sz w:val="30"/>
          <w:szCs w:val="30"/>
          <w:color w:val="auto"/>
          <w:vertAlign w:val="superscript"/>
        </w:rPr>
        <w:t>®</w:t>
      </w:r>
      <w:r>
        <w:rPr>
          <w:rFonts w:ascii="Arial" w:cs="Arial" w:eastAsia="Arial" w:hAnsi="Arial"/>
          <w:sz w:val="18"/>
          <w:szCs w:val="18"/>
          <w:color w:val="auto"/>
        </w:rPr>
        <w:t xml:space="preserve"> (acyclovir) cream, 5%, developing our product candidates and conducting pre-clinical studies and our clinical trials for Twyneo®, Epsolay®, ivermectin cream, 1% and 5-fluorouracil cream, 5%. Although we are anticipating decisions from the U.S. Food and Drug Administration, or FDA, with respect to our marketing applications for Twyneo®, Epsolay® in 2021, and we are expected to launch an additional generic product in 2021 in addition to the first generic version of Zovirax</w:t>
      </w:r>
      <w:r>
        <w:rPr>
          <w:rFonts w:ascii="Arial" w:cs="Arial" w:eastAsia="Arial" w:hAnsi="Arial"/>
          <w:sz w:val="30"/>
          <w:szCs w:val="30"/>
          <w:color w:val="auto"/>
          <w:vertAlign w:val="superscript"/>
        </w:rPr>
        <w:t>®</w:t>
      </w:r>
      <w:r>
        <w:rPr>
          <w:rFonts w:ascii="Arial" w:cs="Arial" w:eastAsia="Arial" w:hAnsi="Arial"/>
          <w:sz w:val="18"/>
          <w:szCs w:val="18"/>
          <w:color w:val="auto"/>
        </w:rPr>
        <w:t xml:space="preserve"> (acyclovir) cream .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9" w:name="page10"/>
    <w:bookmarkEnd w:id="9"/>
    <w:p>
      <w:pPr>
        <w:jc w:val="both"/>
        <w:ind w:right="20" w:firstLine="568"/>
        <w:spacing w:after="0" w:line="267" w:lineRule="auto"/>
        <w:rPr>
          <w:sz w:val="20"/>
          <w:szCs w:val="20"/>
          <w:color w:val="auto"/>
        </w:rPr>
      </w:pPr>
      <w:r>
        <w:rPr>
          <w:rFonts w:ascii="Arial" w:cs="Arial" w:eastAsia="Arial" w:hAnsi="Arial"/>
          <w:sz w:val="19"/>
          <w:szCs w:val="19"/>
          <w:color w:val="auto"/>
        </w:rPr>
        <w:t>Because of the numerous risks and uncertainties associated with pharmaceutical products, we are unable to accurately predict the timing or amount of increased expenses or when, or if, we will be able to achieve profitability. If we are required by the FDA or other regulatory authorities to perform studies in addition to those we currently anticipate, or if there are any delays in completing our clinical trials, our expenses could increase and revenue could be further delayed.</w:t>
      </w:r>
    </w:p>
    <w:p>
      <w:pPr>
        <w:spacing w:after="0" w:line="210"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210"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We may need substantial additional funding to pursue our business objectives. If we are unable to raise capital when needed, we could be forced to curtail our planned operations and the pursuit of our growth strategy.</w:t>
      </w:r>
    </w:p>
    <w:p>
      <w:pPr>
        <w:spacing w:after="0" w:line="193"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Conducting pre-clinical studies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seek marketing approval and conduct pre-commercialization and launch activities for Twyneo® and Epsolay®, conduct Phase I proof of concept clinical studies of SGT-210 and advance erlotinib, tapinarof, roflumilast and our other product candidates. In addition, our product candidates, if approved, may not achieve commercial success. Substantial revenue, if any, will be derived from sales of products that are not yet, and may never be, commercially available. We have based this estimate on assumptions that may prove to be wrong, and we could use our capital resources sooner than we currently expect. Our future capital requirements will depend on many factors, including:</w:t>
      </w:r>
    </w:p>
    <w:p>
      <w:pPr>
        <w:spacing w:after="0" w:line="208" w:lineRule="exact"/>
        <w:rPr>
          <w:sz w:val="20"/>
          <w:szCs w:val="20"/>
          <w:color w:val="auto"/>
        </w:rPr>
      </w:pPr>
    </w:p>
    <w:p>
      <w:pPr>
        <w:ind w:left="740" w:hanging="426"/>
        <w:spacing w:after="0"/>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timing and success for obtaining marketing approval for Twyneo® and Epsolay®;</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progress and results of our development activities for SGT-210, erlotinib, tapinarof and roflumilast;</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scope, progress, results and costs of development, laboratory testing and clinical trials for our generic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cost of manufacturing clinical supplies and exhibition batches of our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costs, timing and outcome of regulatory reviews of any of our product candidates;</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costs and timing of future commercialization activities, including manufacturing, marketing, sales and distribution, for any of our product candidates for which we receive marketing approval;</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0" w:name="page11"/>
    <w:bookmarkEnd w:id="10"/>
    <w:p>
      <w:pPr>
        <w:ind w:left="740" w:hanging="426"/>
        <w:spacing w:after="0"/>
        <w:tabs>
          <w:tab w:leader="none" w:pos="74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amount of revenue, if any, received from commercial sales of our product candidates for which we receive marketing approval; and</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extent to which we acquire or invest in businesses, product candidates and technologies, including entering into licensing or collaboration arrangements for any of our product candidates.</w:t>
      </w:r>
    </w:p>
    <w:p>
      <w:pPr>
        <w:spacing w:after="0" w:line="209"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In order to continue our future operations, we will need to raise additional capital until becoming profitable. If we are unable to raise sufficient additional capital, we could be forced to curtail our planned operations and the pursuit of our growth strategy.</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largely dependent on the success of our branded product candidates for the treatment of topical dermatological conditions.</w:t>
      </w:r>
    </w:p>
    <w:p>
      <w:pPr>
        <w:spacing w:after="0" w:line="266" w:lineRule="exact"/>
        <w:rPr>
          <w:sz w:val="20"/>
          <w:szCs w:val="20"/>
          <w:color w:val="auto"/>
        </w:rPr>
      </w:pPr>
    </w:p>
    <w:p>
      <w:pPr>
        <w:jc w:val="both"/>
        <w:spacing w:after="0" w:line="301" w:lineRule="auto"/>
        <w:rPr>
          <w:sz w:val="20"/>
          <w:szCs w:val="20"/>
          <w:color w:val="auto"/>
        </w:rPr>
      </w:pPr>
      <w:r>
        <w:rPr>
          <w:rFonts w:ascii="Arial" w:cs="Arial" w:eastAsia="Arial" w:hAnsi="Arial"/>
          <w:sz w:val="17"/>
          <w:szCs w:val="17"/>
          <w:color w:val="auto"/>
        </w:rPr>
        <w:t>We have invested a majority of our efforts and financial resources in the research and development of Twyneo® for the treatment of acne and Epsolay® for the treatment of papulopustular (subtype II) rosacea. If Twyneo® and Epsolay® receive regulatory approval from the FDA, we intend to market them in the United States through one or more third party collaborators that have direct sales forces and established distribution systems in lieu of our own sales force and distribution systems. We are currently engaged in the conduct of pre-commercialization and launch activities for Twyneo® and Epsolay®. The success of our business depends largely on our ability to fund, execute and complete the development of, obtain regulatory approval for and successfully commercialize our branded product candidates in the United States in a timely manner.</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have not obtained regulatory approval for most of our product candidates in the United States or any other country.</w:t>
      </w:r>
    </w:p>
    <w:p>
      <w:pPr>
        <w:spacing w:after="0" w:line="255"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Other than the first generic version of Zovirax® (acyclovir) cream, 5% for which Perrigo UK Finco Limited Partnership, or Perrigo, our collaborator, received final FDA approval in February 2019, we do not currently have any product candidates that have obtained regulatory approval for sale in the United States or any other country. Although we are expected to launch an additional generic product in 2021, we cannot guarantee that our other product candidates will ever obtain such approvals. Our business is substantially dependent on our ability to complete the development of, obtain regulatory approval for and successfully commercialize product candidates in a timely manner. We cannot commercialize our product candidates in the United States without first obtaining regulatory approval to market each product candidate from the FDA. Similarly, we cannot commercialize product candidates outside of the United States without obtaining regulatory approval from comparable foreign regulatory authorities.</w:t>
      </w:r>
    </w:p>
    <w:p>
      <w:pPr>
        <w:spacing w:after="0" w:line="213"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Before obtaining regulatory approvals for the commercial sale of any product candidate for a target indication, we must demonstrate in pre-clinical studies and well-controlled clinical trials that the product candidate is safe and effective for use for its target indication and that the related manufacturing facilities, processes and controls are adequate. In the United States, we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and, when subject to the requirements of section 505(b)(2) of the Federal Food, Drug and Cosmetic Act, or FDCA, will allow us to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manufacturing facilities to ensure that the facilities can manufacture each product candidate that is the subject of an NDA, in compliance with current good manufacturing practice, or cGMP requirements, and may inspect our clinical trial sites to ensure that the clinical trials conducted at the inspected site were performed in accordance with good clinical practices, or GCP, and our clinical protocols.</w:t>
      </w:r>
    </w:p>
    <w:p>
      <w:pPr>
        <w:spacing w:after="0" w:line="201" w:lineRule="exact"/>
        <w:rPr>
          <w:sz w:val="20"/>
          <w:szCs w:val="20"/>
          <w:color w:val="auto"/>
        </w:rPr>
      </w:pPr>
    </w:p>
    <w:p>
      <w:pPr>
        <w:jc w:val="both"/>
        <w:ind w:right="20" w:firstLine="568"/>
        <w:spacing w:after="0" w:line="282" w:lineRule="auto"/>
        <w:rPr>
          <w:sz w:val="20"/>
          <w:szCs w:val="20"/>
          <w:color w:val="auto"/>
        </w:rPr>
      </w:pPr>
      <w:r>
        <w:rPr>
          <w:rFonts w:ascii="Arial" w:cs="Arial" w:eastAsia="Arial" w:hAnsi="Arial"/>
          <w:sz w:val="18"/>
          <w:szCs w:val="18"/>
          <w:color w:val="auto"/>
        </w:rPr>
        <w:t>To date, we have submitted two NDAs that were accepted for filing by the FDA, one for Twyneo® with a Prescription Drug User Fee Act, or PDUFA, goal date assigned by the FDA of August 1, 2021 and one for Epsolay® with a PDUFA goal date assigned by the FDA of April 26, 2021. In addition, in July 2020, Perrigo filed first-to-file Paragraph IV Certification for a generic version of Duobrii® (halobetasol propionate and tazarotene) lotion, a product which is the subject of one of our collaboration agreements with Perrigo Israel, an affiliate of Perrigo Company plc. In August 2020, Bausch Health Companies, Inc. initiated a patent infringement action in the U.S. District Court for the District of New Jersey regarding Perrigo’s Abbreviated New Drug Application (ANDA) for this generic version of Duobrii® lotion.</w:t>
      </w: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1" w:name="page12"/>
    <w:bookmarkEnd w:id="11"/>
    <w:p>
      <w:pPr>
        <w:jc w:val="both"/>
        <w:ind w:firstLine="568"/>
        <w:spacing w:after="0" w:line="282" w:lineRule="auto"/>
        <w:rPr>
          <w:sz w:val="20"/>
          <w:szCs w:val="20"/>
          <w:color w:val="auto"/>
        </w:rPr>
      </w:pPr>
      <w:r>
        <w:rPr>
          <w:rFonts w:ascii="Arial" w:cs="Arial" w:eastAsia="Arial" w:hAnsi="Arial"/>
          <w:sz w:val="18"/>
          <w:szCs w:val="18"/>
          <w:color w:val="auto"/>
        </w:rPr>
        <w:t>Approval to market and distribute drugs that are shown to be equivalent to proprietary drugs previously approved by the FDA through its NDA process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w:t>
      </w:r>
    </w:p>
    <w:p>
      <w:pPr>
        <w:spacing w:after="0" w:line="196"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Obtaining approval of an NDA or an ANDA is a lengthy, expensive and uncertain process, and approval is never guaranteed. Upon submission of an NDA or ANDA,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approved, the FDA may require that we conduct additional clinical trials or pre-clinical studies or take other actions before it will reconsider our application. If the FDA requires us to provide additional studies or data to support such applications,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188"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200"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Our business will be highly dependent on market perception of us and the safety and quality of our product candidates. Our business or products could be subject to negative publicity, which could have a material adverse effect on our business.</w:t>
      </w:r>
    </w:p>
    <w:p>
      <w:pPr>
        <w:spacing w:after="0" w:line="19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Market perception of our business is very important, especially market perception of the safety and quality of our product candidates. If any of our product candidates, if approved, or similar products that other companies distribute, or third-party products from which our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195" w:lineRule="exact"/>
        <w:rPr>
          <w:sz w:val="20"/>
          <w:szCs w:val="20"/>
          <w:color w:val="auto"/>
        </w:rPr>
      </w:pPr>
    </w:p>
    <w:p>
      <w:pPr>
        <w:jc w:val="both"/>
        <w:ind w:right="20" w:firstLine="568"/>
        <w:spacing w:after="0" w:line="267" w:lineRule="auto"/>
        <w:rPr>
          <w:sz w:val="20"/>
          <w:szCs w:val="20"/>
          <w:color w:val="auto"/>
        </w:rPr>
      </w:pPr>
      <w:r>
        <w:rPr>
          <w:rFonts w:ascii="Arial" w:cs="Arial" w:eastAsia="Arial" w:hAnsi="Arial"/>
          <w:sz w:val="19"/>
          <w:szCs w:val="19"/>
          <w:color w:val="auto"/>
        </w:rPr>
        <w:t>Additionally, continuing and increasingly sophisticated studies of the proper utilization, safety and efficacy of pharmaceutical products are being conducted by the industry, government 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2" w:name="page13"/>
    <w:bookmarkEnd w:id="12"/>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We have a limited operating history in the dermatological prescription drug space which may make it difficult to evaluate the success of our business to date and to assess our future viability.</w:t>
      </w:r>
    </w:p>
    <w:p>
      <w:pPr>
        <w:spacing w:after="0" w:line="193"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We have a limited operating history in the dermatological prescription drug space and have focused much of our efforts, to date, on the research and development of our branded and generic product candidates, rather than commercialization. If Twyneo® and Epsolay® receive regulatory approval from the FDA, we intend to market them in the United States through one or more third party collaborators that have direct sales forces and established distribution systems in lieu of our own sales force and distribution systems. Due to these uncertainties,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211" w:lineRule="exact"/>
        <w:rPr>
          <w:sz w:val="20"/>
          <w:szCs w:val="20"/>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not have adequate financial or other resources;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not be able to manufacture our product candidates in commercial quantities, in an adequate quality or at an acceptable cost;</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not be able to establish adequate sales, marketing and distribution channels;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not be able to find suitable co-development, contract manufacturing or marketing partners;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healthcare professionals and patients may not accept our product candidates;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not be aware of possible complications from the continued use of our product candidates since we have limited clinical experience with respect to the actual use of our product candidates;</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changes in the market, new alliances between existing market participants and the entrance of new market participants may interfere with our market penetration efforts;</w:t>
      </w:r>
    </w:p>
    <w:p>
      <w:pPr>
        <w:spacing w:after="0" w:line="204"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third-party payors may not agree to reimburse patients for any or all of the purchase price of our product candidates, which may adversely affect patients’ willingness to purchase our product candidates;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uncertainty as to market demand may result in inefficient pricing of our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face third-party claims of intellectual property infringement;</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fail to obtain and maintain regulatory approvals for our product candidates in our target markets or may face adverse regulatory or legal actions relating to our product candidates even if regulatory approval is obtained;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are dependent upon the results of ongoing clinical trials relating to our product candidates and the products of our competitors;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we may become involved in lawsuits pertaining to our clinical trials.</w:t>
      </w:r>
    </w:p>
    <w:p>
      <w:pPr>
        <w:spacing w:after="0" w:line="247"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The occurrence of any one or more of these events may limit our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 w:name="page14"/>
    <w:bookmarkEnd w:id="13"/>
    <w:p>
      <w:pPr>
        <w:jc w:val="both"/>
        <w:spacing w:after="0" w:line="284" w:lineRule="auto"/>
        <w:rPr>
          <w:sz w:val="20"/>
          <w:szCs w:val="20"/>
          <w:color w:val="auto"/>
        </w:rPr>
      </w:pPr>
      <w:r>
        <w:rPr>
          <w:rFonts w:ascii="Arial" w:cs="Arial" w:eastAsia="Arial" w:hAnsi="Arial"/>
          <w:sz w:val="19"/>
          <w:szCs w:val="19"/>
          <w:b w:val="1"/>
          <w:bCs w:val="1"/>
          <w:i w:val="1"/>
          <w:iCs w:val="1"/>
          <w:color w:val="auto"/>
        </w:rPr>
        <w:t>Raising additional capital may cause dilution to our shareholders, restrict our operations or require us to relinquish rights to our technologies or product candidates.</w:t>
      </w:r>
    </w:p>
    <w:p>
      <w:pPr>
        <w:spacing w:after="0" w:line="193"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196"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Even if we are able to generate revenues from our operations in the future, our revenues and operating income could fluctuate significantly.</w:t>
      </w:r>
    </w:p>
    <w:p>
      <w:pPr>
        <w:spacing w:after="0" w:line="289"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Even if we are able to generate future revenues, our operating income, and results may vary significantly from year-to-year and quarter-to-quarter. Variations may result from, among other factors:</w:t>
      </w:r>
    </w:p>
    <w:p>
      <w:pPr>
        <w:spacing w:after="0" w:line="187" w:lineRule="exact"/>
        <w:rPr>
          <w:sz w:val="20"/>
          <w:szCs w:val="20"/>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timing of any FDA or other regulatory authority approvals;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timing of process validation for particular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timing of product launches and market acceptance of such products launched;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changes in the amount we spend to research, develop, acquire, license or promote new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outcome of our research, development and clinical trial programs;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serious or unexpected health or safety concerns related to our product candidates or the branded product candidates we have genericized;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introduction of new products by others that render our product candidates obsolete or noncompetitive;</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ability to maintain selling prices and gross margins on our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ability to comply with complex governmental regulations applicable to many aspects of our business;</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changes in coverage and reimbursement policies of health plans and other health insurers, including changes to Medicare, Medicaid and similar government healthcare programs;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increases in the cost of raw materials used to manufacture our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manufacturing and supply interruptions, including product rejections or recalls due to failure to comply with manufacturing specifications;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timing of revenue recognition related to our collaboration agreements;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4" w:name="page15"/>
    <w:bookmarkEnd w:id="14"/>
    <w:p>
      <w:pPr>
        <w:ind w:left="740" w:hanging="426"/>
        <w:spacing w:after="0"/>
        <w:tabs>
          <w:tab w:leader="none" w:pos="7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ability to protect our intellectual property and avoid infringing the intellectual property of others;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outcome and cost of possible litigation over patents with third parties.</w:t>
      </w:r>
    </w:p>
    <w:p>
      <w:pPr>
        <w:spacing w:after="0" w:line="24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Development and Clinical Testing of Our Product Candidates</w:t>
      </w:r>
    </w:p>
    <w:p>
      <w:pPr>
        <w:spacing w:after="0" w:line="261" w:lineRule="exact"/>
        <w:rPr>
          <w:sz w:val="20"/>
          <w:szCs w:val="20"/>
          <w:color w:val="auto"/>
        </w:rPr>
      </w:pPr>
    </w:p>
    <w:p>
      <w:pPr>
        <w:jc w:val="both"/>
        <w:spacing w:after="0" w:line="345" w:lineRule="auto"/>
        <w:rPr>
          <w:sz w:val="20"/>
          <w:szCs w:val="20"/>
          <w:color w:val="auto"/>
        </w:rPr>
      </w:pPr>
      <w:r>
        <w:rPr>
          <w:rFonts w:ascii="Arial" w:cs="Arial" w:eastAsia="Arial" w:hAnsi="Arial"/>
          <w:sz w:val="17"/>
          <w:szCs w:val="17"/>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148"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Clinical testing, of both innovative and generic products, and the submission of new drug applications under the Section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late-stage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w:t>
      </w:r>
    </w:p>
    <w:p>
      <w:pPr>
        <w:spacing w:after="0" w:line="188"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We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201" w:lineRule="exact"/>
        <w:rPr>
          <w:sz w:val="20"/>
          <w:szCs w:val="20"/>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inability to generate sufficient preclinical, toxicology, or other in vivo or in vitro data to support the initiation or continuation of clinical trials;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reaching a consensus with regulatory authorities on study design or implementation of clinical trials;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obtaining regulatory authorization to commence a trial;</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identifying, recruiting and training suitable clinical investigators;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obtaining institutional review board, or IRB, or ethics committee approval at each site;</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recruiting suitable patients to participate in a trial;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having patients complete a trial or return for post-treatment follow-up;</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8"/>
        </w:numPr>
        <w:rPr>
          <w:rFonts w:ascii="Arial" w:cs="Arial" w:eastAsia="Arial" w:hAnsi="Arial"/>
          <w:sz w:val="16"/>
          <w:szCs w:val="16"/>
          <w:color w:val="auto"/>
        </w:rPr>
      </w:pPr>
      <w:r>
        <w:rPr>
          <w:rFonts w:ascii="Arial" w:cs="Arial" w:eastAsia="Arial" w:hAnsi="Arial"/>
          <w:sz w:val="16"/>
          <w:szCs w:val="16"/>
          <w:color w:val="auto"/>
        </w:rPr>
        <w:t>clinical sites deviating from FDA regulations, including GCPs, or the study protocol, or dropping out of a trial;</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5" w:name="page16"/>
    <w:bookmarkEnd w:id="15"/>
    <w:p>
      <w:pPr>
        <w:ind w:left="740" w:hanging="426"/>
        <w:spacing w:after="0"/>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adding new clinical trial sites;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occurrence of adverse events associated with the product candidate that are viewed to outweigh its potential benefits, or occurrence of adverse events in trial of the same class of agents conducted by other companies;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cost of clinical trials of our product candidates being greater than we anticipate;</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transfer of manufacturing processes to larger-scale facilities operated by a contract manufacturing organization, or CMO, and delays or failure by our CMOs or us to make any necessary changes to such manufacturing process;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third parties being unwilling or unable to satisfy their contractual obligations to us;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manufacturing sufficient quantities of a product candidate for use in clinical trials;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9"/>
        </w:numPr>
        <w:rPr>
          <w:rFonts w:ascii="Arial" w:cs="Arial" w:eastAsia="Arial" w:hAnsi="Arial"/>
          <w:sz w:val="16"/>
          <w:szCs w:val="16"/>
          <w:color w:val="auto"/>
        </w:rPr>
      </w:pPr>
      <w:r>
        <w:rPr>
          <w:rFonts w:ascii="Arial" w:cs="Arial" w:eastAsia="Arial" w:hAnsi="Arial"/>
          <w:sz w:val="16"/>
          <w:szCs w:val="16"/>
          <w:color w:val="auto"/>
        </w:rPr>
        <w:t>damage to clinical supplies of a product candidate caused during storage and/or transportation.</w:t>
      </w:r>
    </w:p>
    <w:p>
      <w:pPr>
        <w:spacing w:after="0" w:line="247"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In addition, disruptions caused by the COVID-19 pandemic may increase the likelihood that we encounter such difficulties or delays in initiating, enrolling, conducting or completing our planned and ongoing clinical trials. We may also encounter delays if a clinical trial is suspended or terminated by us, by the IRBs of the institutions in which such trials are being conducted, by any Data Safety Monitoring Board for such trial,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204"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Moreover, changes in regulatory requirements and guidance or unanticipated events during our clinical trials may occur, as a result of which we may need to amend clinical trial protocols. Amendments may require us to resubmit our clinical trial protocols for review and approval, which may adversely affect the cost, timing and successful completion of a clinical trial. If we experience delays in the completion of, or if we terminate, any of our clinical trials, the commercial prospects for our affected product candidates would be harmed and our ability to generate product revenue would be delayed, possibly materially.</w:t>
      </w:r>
    </w:p>
    <w:p>
      <w:pPr>
        <w:spacing w:after="0" w:line="213" w:lineRule="exact"/>
        <w:rPr>
          <w:sz w:val="20"/>
          <w:szCs w:val="20"/>
          <w:color w:val="auto"/>
        </w:rPr>
      </w:pPr>
    </w:p>
    <w:p>
      <w:pPr>
        <w:jc w:val="both"/>
        <w:ind w:firstLine="568"/>
        <w:spacing w:after="0" w:line="287" w:lineRule="auto"/>
        <w:rPr>
          <w:sz w:val="20"/>
          <w:szCs w:val="20"/>
          <w:color w:val="auto"/>
        </w:rPr>
      </w:pPr>
      <w:r>
        <w:rPr>
          <w:rFonts w:ascii="Arial" w:cs="Arial" w:eastAsia="Arial" w:hAnsi="Arial"/>
          <w:sz w:val="18"/>
          <w:szCs w:val="18"/>
          <w:color w:val="auto"/>
        </w:rPr>
        <w:t>Any delays in completing our clinical trials will increase our costs, slow down our product candidates’ development and regulatory review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193" w:lineRule="exact"/>
        <w:rPr>
          <w:sz w:val="20"/>
          <w:szCs w:val="20"/>
          <w:color w:val="auto"/>
        </w:rPr>
      </w:pPr>
    </w:p>
    <w:p>
      <w:pPr>
        <w:jc w:val="both"/>
        <w:ind w:right="20"/>
        <w:spacing w:after="0" w:line="382" w:lineRule="auto"/>
        <w:rPr>
          <w:sz w:val="20"/>
          <w:szCs w:val="20"/>
          <w:color w:val="auto"/>
        </w:rPr>
      </w:pPr>
      <w:r>
        <w:rPr>
          <w:rFonts w:ascii="Arial" w:cs="Arial" w:eastAsia="Arial" w:hAnsi="Arial"/>
          <w:sz w:val="16"/>
          <w:szCs w:val="16"/>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124"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It is possible that none of our existing product candidates or any product candidates we may seek to develop in the future will ever obtain regulatory approval.</w:t>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6" w:name="page17"/>
    <w:bookmarkEnd w:id="16"/>
    <w:p>
      <w:pPr>
        <w:ind w:left="560"/>
        <w:spacing w:after="0"/>
        <w:rPr>
          <w:sz w:val="20"/>
          <w:szCs w:val="20"/>
          <w:color w:val="auto"/>
        </w:rPr>
      </w:pPr>
      <w:r>
        <w:rPr>
          <w:rFonts w:ascii="Arial" w:cs="Arial" w:eastAsia="Arial" w:hAnsi="Arial"/>
          <w:sz w:val="19"/>
          <w:szCs w:val="19"/>
          <w:color w:val="auto"/>
        </w:rPr>
        <w:t>Our product candidates could fail to receive regulatory approval for many reasons, including the following:</w:t>
      </w:r>
    </w:p>
    <w:p>
      <w:pPr>
        <w:spacing w:after="0" w:line="249" w:lineRule="exact"/>
        <w:rPr>
          <w:sz w:val="20"/>
          <w:szCs w:val="20"/>
          <w:color w:val="auto"/>
        </w:rPr>
      </w:pPr>
    </w:p>
    <w:p>
      <w:pPr>
        <w:ind w:left="740" w:hanging="426"/>
        <w:spacing w:after="0"/>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FDA or comparable foreign regulatory authorities may disagree with the design or implementation of our clinical trials;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we may be unable to demonstrate to the satisfaction of the FDA or comparable foreign regulatory authorities that a product candidate is safe and effective for its proposed indication;</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20"/>
        </w:numPr>
        <w:rPr>
          <w:rFonts w:ascii="Arial" w:cs="Arial" w:eastAsia="Arial" w:hAnsi="Arial"/>
          <w:sz w:val="15"/>
          <w:szCs w:val="15"/>
          <w:color w:val="auto"/>
        </w:rPr>
      </w:pPr>
      <w:r>
        <w:rPr>
          <w:rFonts w:ascii="Arial" w:cs="Arial" w:eastAsia="Arial" w:hAnsi="Arial"/>
          <w:sz w:val="15"/>
          <w:szCs w:val="15"/>
          <w:color w:val="auto"/>
        </w:rPr>
        <w:t>the results of clinical trials may not meet the level of statistical significance required by the FDA or comparable foreign regulatory authorities for approval;</w:t>
      </w:r>
    </w:p>
    <w:p>
      <w:pPr>
        <w:spacing w:after="0" w:line="253" w:lineRule="exact"/>
        <w:rPr>
          <w:rFonts w:ascii="Arial" w:cs="Arial" w:eastAsia="Arial" w:hAnsi="Arial"/>
          <w:sz w:val="15"/>
          <w:szCs w:val="15"/>
          <w:color w:val="auto"/>
        </w:rPr>
      </w:pPr>
    </w:p>
    <w:p>
      <w:pPr>
        <w:ind w:left="740" w:hanging="426"/>
        <w:spacing w:after="0"/>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we may be unable to demonstrate that a product candidate’s clinical and other benefits outweigh its safety risks;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FDA or comparable foreign regulatory authorities may disagree with our interpretation of data from pre-clinical studies or clinical trials;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data collected from clinical trials of our product candidates may not be sufficient to support the submission of an NDA or other submission or to obtain regulatory approval in the United States or elsewhere;</w:t>
      </w:r>
    </w:p>
    <w:p>
      <w:pPr>
        <w:spacing w:after="0" w:line="204"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FDA or comparable foreign regulatory authorities may fail to approve the manufacturing processes or facilities of third-party manufacturers with which we contract for clinical and commercial supplies; or</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approval policies or regulations of the FDA or comparable foreign regulatory authorities may significantly change in a manner rendering our clinical data insufficient for approval.</w:t>
      </w:r>
    </w:p>
    <w:p>
      <w:pPr>
        <w:spacing w:after="0" w:line="209" w:lineRule="exact"/>
        <w:rPr>
          <w:sz w:val="20"/>
          <w:szCs w:val="20"/>
          <w:color w:val="auto"/>
        </w:rPr>
      </w:pPr>
    </w:p>
    <w:p>
      <w:pPr>
        <w:jc w:val="both"/>
        <w:ind w:right="20" w:firstLine="568"/>
        <w:spacing w:after="0" w:line="313" w:lineRule="auto"/>
        <w:rPr>
          <w:sz w:val="20"/>
          <w:szCs w:val="20"/>
          <w:color w:val="auto"/>
        </w:rPr>
      </w:pPr>
      <w:r>
        <w:rPr>
          <w:rFonts w:ascii="Arial" w:cs="Arial" w:eastAsia="Arial" w:hAnsi="Arial"/>
          <w:sz w:val="18"/>
          <w:szCs w:val="18"/>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170"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213"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We have limited experience using the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Even if we successfully obtain regulatory approvals to market one or more of our product candidates, our revenue will be dependent, to a significant extent, upon the size of the markets in the territories for which we gain regulatory approval. If the markets for patients or indications that we are targeting are not as significant as we estimate, we may not generate significant revenue from sales of such products, if approved.</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7" w:name="page18"/>
    <w:bookmarkEnd w:id="17"/>
    <w:p>
      <w:pPr>
        <w:jc w:val="both"/>
        <w:ind w:right="20"/>
        <w:spacing w:after="0" w:line="271" w:lineRule="auto"/>
        <w:rPr>
          <w:sz w:val="20"/>
          <w:szCs w:val="20"/>
          <w:color w:val="auto"/>
        </w:rPr>
      </w:pPr>
      <w:r>
        <w:rPr>
          <w:rFonts w:ascii="Arial" w:cs="Arial" w:eastAsia="Arial" w:hAnsi="Arial"/>
          <w:sz w:val="19"/>
          <w:szCs w:val="19"/>
          <w:b w:val="1"/>
          <w:bCs w:val="1"/>
          <w:i w:val="1"/>
          <w:iCs w:val="1"/>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w:t>
      </w:r>
    </w:p>
    <w:p>
      <w:pPr>
        <w:spacing w:after="0" w:line="206" w:lineRule="exact"/>
        <w:rPr>
          <w:sz w:val="20"/>
          <w:szCs w:val="20"/>
          <w:color w:val="auto"/>
        </w:rPr>
      </w:pPr>
    </w:p>
    <w:p>
      <w:pPr>
        <w:jc w:val="both"/>
        <w:ind w:firstLine="568"/>
        <w:spacing w:after="0" w:line="259" w:lineRule="auto"/>
        <w:rPr>
          <w:sz w:val="20"/>
          <w:szCs w:val="20"/>
          <w:color w:val="auto"/>
        </w:rPr>
      </w:pPr>
      <w:r>
        <w:rPr>
          <w:rFonts w:ascii="Arial" w:cs="Arial" w:eastAsia="Arial" w:hAnsi="Arial"/>
          <w:sz w:val="18"/>
          <w:szCs w:val="18"/>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Twyneo® and Epsolay</w:t>
      </w:r>
      <w:r>
        <w:rPr>
          <w:rFonts w:ascii="Arial" w:cs="Arial" w:eastAsia="Arial" w:hAnsi="Arial"/>
          <w:sz w:val="30"/>
          <w:szCs w:val="30"/>
          <w:color w:val="auto"/>
          <w:vertAlign w:val="superscript"/>
        </w:rPr>
        <w:t>®</w:t>
      </w:r>
      <w:r>
        <w:rPr>
          <w:rFonts w:ascii="Arial" w:cs="Arial" w:eastAsia="Arial" w:hAnsi="Arial"/>
          <w:sz w:val="18"/>
          <w:szCs w:val="18"/>
          <w:color w:val="auto"/>
        </w:rPr>
        <w:t xml:space="preserve"> have experienced drug-related side effects including moderate local site irritation such as dryness, erythema, scaling, pruritus, itching, stinging and burning. Results of our clinical trials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elect or are required to delay, suspend or terminate any clinical trial for any 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219"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193" w:lineRule="exact"/>
        <w:rPr>
          <w:sz w:val="20"/>
          <w:szCs w:val="20"/>
          <w:color w:val="auto"/>
        </w:rPr>
      </w:pPr>
    </w:p>
    <w:p>
      <w:pPr>
        <w:ind w:left="1100" w:hanging="538"/>
        <w:spacing w:after="0"/>
        <w:tabs>
          <w:tab w:leader="none" w:pos="1100" w:val="left"/>
        </w:tabs>
        <w:numPr>
          <w:ilvl w:val="0"/>
          <w:numId w:val="21"/>
        </w:numPr>
        <w:rPr>
          <w:rFonts w:ascii="Arial" w:cs="Arial" w:eastAsia="Arial" w:hAnsi="Arial"/>
          <w:sz w:val="19"/>
          <w:szCs w:val="19"/>
          <w:color w:val="auto"/>
        </w:rPr>
      </w:pPr>
      <w:r>
        <w:rPr>
          <w:rFonts w:ascii="Arial" w:cs="Arial" w:eastAsia="Arial" w:hAnsi="Arial"/>
          <w:sz w:val="19"/>
          <w:szCs w:val="19"/>
          <w:color w:val="auto"/>
        </w:rPr>
        <w:t>regulatory authorities may withdraw approvals of such products;</w:t>
      </w:r>
    </w:p>
    <w:p>
      <w:pPr>
        <w:spacing w:after="0" w:line="254" w:lineRule="exact"/>
        <w:rPr>
          <w:rFonts w:ascii="Arial" w:cs="Arial" w:eastAsia="Arial" w:hAnsi="Arial"/>
          <w:sz w:val="19"/>
          <w:szCs w:val="19"/>
          <w:color w:val="auto"/>
        </w:rPr>
      </w:pPr>
    </w:p>
    <w:p>
      <w:pPr>
        <w:ind w:left="1100" w:hanging="538"/>
        <w:spacing w:after="0"/>
        <w:tabs>
          <w:tab w:leader="none" w:pos="1100" w:val="left"/>
        </w:tabs>
        <w:numPr>
          <w:ilvl w:val="0"/>
          <w:numId w:val="21"/>
        </w:numPr>
        <w:rPr>
          <w:rFonts w:ascii="Arial" w:cs="Arial" w:eastAsia="Arial" w:hAnsi="Arial"/>
          <w:sz w:val="19"/>
          <w:szCs w:val="19"/>
          <w:color w:val="auto"/>
        </w:rPr>
      </w:pPr>
      <w:r>
        <w:rPr>
          <w:rFonts w:ascii="Arial" w:cs="Arial" w:eastAsia="Arial" w:hAnsi="Arial"/>
          <w:sz w:val="19"/>
          <w:szCs w:val="19"/>
          <w:color w:val="auto"/>
        </w:rPr>
        <w:t>regulatory authorities may require additional warnings on the label;</w:t>
      </w:r>
    </w:p>
    <w:p>
      <w:pPr>
        <w:spacing w:after="0" w:line="254" w:lineRule="exact"/>
        <w:rPr>
          <w:rFonts w:ascii="Arial" w:cs="Arial" w:eastAsia="Arial" w:hAnsi="Arial"/>
          <w:sz w:val="19"/>
          <w:szCs w:val="19"/>
          <w:color w:val="auto"/>
        </w:rPr>
      </w:pPr>
    </w:p>
    <w:p>
      <w:pPr>
        <w:ind w:left="1100" w:hanging="538"/>
        <w:spacing w:after="0"/>
        <w:tabs>
          <w:tab w:leader="none" w:pos="1100" w:val="left"/>
        </w:tabs>
        <w:numPr>
          <w:ilvl w:val="0"/>
          <w:numId w:val="21"/>
        </w:numPr>
        <w:rPr>
          <w:rFonts w:ascii="Arial" w:cs="Arial" w:eastAsia="Arial" w:hAnsi="Arial"/>
          <w:sz w:val="19"/>
          <w:szCs w:val="19"/>
          <w:color w:val="auto"/>
        </w:rPr>
      </w:pPr>
      <w:r>
        <w:rPr>
          <w:rFonts w:ascii="Arial" w:cs="Arial" w:eastAsia="Arial" w:hAnsi="Arial"/>
          <w:sz w:val="19"/>
          <w:szCs w:val="19"/>
          <w:color w:val="auto"/>
        </w:rPr>
        <w:t>we may be required to create a medication guide outlining the risks of such side effects for distribution to patients;</w:t>
      </w:r>
    </w:p>
    <w:p>
      <w:pPr>
        <w:spacing w:after="0" w:line="254" w:lineRule="exact"/>
        <w:rPr>
          <w:rFonts w:ascii="Arial" w:cs="Arial" w:eastAsia="Arial" w:hAnsi="Arial"/>
          <w:sz w:val="19"/>
          <w:szCs w:val="19"/>
          <w:color w:val="auto"/>
        </w:rPr>
      </w:pPr>
    </w:p>
    <w:p>
      <w:pPr>
        <w:ind w:firstLine="562"/>
        <w:spacing w:after="0" w:line="313" w:lineRule="auto"/>
        <w:tabs>
          <w:tab w:leader="none" w:pos="1267"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may be required to implement a risk evaluation and mitigation strategy, or REMS, which may include a medication guide or patient package insert, a communication plan to educate healthcare providers of the drug’s risks, or other elements to assure safe use;</w:t>
      </w:r>
    </w:p>
    <w:p>
      <w:pPr>
        <w:spacing w:after="0" w:line="169" w:lineRule="exact"/>
        <w:rPr>
          <w:rFonts w:ascii="Arial" w:cs="Arial" w:eastAsia="Arial" w:hAnsi="Arial"/>
          <w:sz w:val="18"/>
          <w:szCs w:val="18"/>
          <w:color w:val="auto"/>
        </w:rPr>
      </w:pPr>
    </w:p>
    <w:p>
      <w:pPr>
        <w:ind w:left="1100" w:hanging="538"/>
        <w:spacing w:after="0"/>
        <w:tabs>
          <w:tab w:leader="none" w:pos="1100" w:val="left"/>
        </w:tabs>
        <w:numPr>
          <w:ilvl w:val="0"/>
          <w:numId w:val="21"/>
        </w:numPr>
        <w:rPr>
          <w:rFonts w:ascii="Arial" w:cs="Arial" w:eastAsia="Arial" w:hAnsi="Arial"/>
          <w:sz w:val="19"/>
          <w:szCs w:val="19"/>
          <w:color w:val="auto"/>
        </w:rPr>
      </w:pPr>
      <w:r>
        <w:rPr>
          <w:rFonts w:ascii="Arial" w:cs="Arial" w:eastAsia="Arial" w:hAnsi="Arial"/>
          <w:sz w:val="19"/>
          <w:szCs w:val="19"/>
          <w:color w:val="auto"/>
        </w:rPr>
        <w:t>we could be sued and held liable for harm caused to patients; and</w:t>
      </w:r>
    </w:p>
    <w:p>
      <w:pPr>
        <w:spacing w:after="0" w:line="254" w:lineRule="exact"/>
        <w:rPr>
          <w:rFonts w:ascii="Arial" w:cs="Arial" w:eastAsia="Arial" w:hAnsi="Arial"/>
          <w:sz w:val="19"/>
          <w:szCs w:val="19"/>
          <w:color w:val="auto"/>
        </w:rPr>
      </w:pPr>
    </w:p>
    <w:p>
      <w:pPr>
        <w:ind w:left="1100" w:hanging="538"/>
        <w:spacing w:after="0"/>
        <w:tabs>
          <w:tab w:leader="none" w:pos="1100" w:val="left"/>
        </w:tabs>
        <w:numPr>
          <w:ilvl w:val="0"/>
          <w:numId w:val="21"/>
        </w:numPr>
        <w:rPr>
          <w:rFonts w:ascii="Arial" w:cs="Arial" w:eastAsia="Arial" w:hAnsi="Arial"/>
          <w:sz w:val="19"/>
          <w:szCs w:val="19"/>
          <w:color w:val="auto"/>
        </w:rPr>
      </w:pPr>
      <w:r>
        <w:rPr>
          <w:rFonts w:ascii="Arial" w:cs="Arial" w:eastAsia="Arial" w:hAnsi="Arial"/>
          <w:sz w:val="19"/>
          <w:szCs w:val="19"/>
          <w:color w:val="auto"/>
        </w:rPr>
        <w:t>our reputation may suffer.</w:t>
      </w:r>
    </w:p>
    <w:p>
      <w:pPr>
        <w:spacing w:after="0" w:line="255" w:lineRule="exact"/>
        <w:rPr>
          <w:sz w:val="20"/>
          <w:szCs w:val="20"/>
          <w:color w:val="auto"/>
        </w:rPr>
      </w:pPr>
    </w:p>
    <w:p>
      <w:pPr>
        <w:jc w:val="both"/>
        <w:ind w:firstLine="568"/>
        <w:spacing w:after="0" w:line="345" w:lineRule="auto"/>
        <w:rPr>
          <w:sz w:val="20"/>
          <w:szCs w:val="20"/>
          <w:color w:val="auto"/>
        </w:rPr>
      </w:pPr>
      <w:r>
        <w:rPr>
          <w:rFonts w:ascii="Arial" w:cs="Arial" w:eastAsia="Arial" w:hAnsi="Arial"/>
          <w:sz w:val="17"/>
          <w:szCs w:val="17"/>
          <w:color w:val="auto"/>
        </w:rPr>
        <w:t>Any of these events could prevent us from achieving or maintaining market acceptance of the particular product candidate, if approved, and could significantly harm our business, results of operations and prospects. Our future clinical trial results may not be successful.</w:t>
      </w:r>
    </w:p>
    <w:p>
      <w:pPr>
        <w:spacing w:after="0" w:line="148"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We may find it difficult to enroll patients in our clinical trials, and patients could discontinue their participation in our clinical trials, which could delay or prevent clinical trials for our product candidates.</w:t>
      </w:r>
    </w:p>
    <w:p>
      <w:pPr>
        <w:spacing w:after="0" w:line="193"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Identifying and qualifying patients to participate in clinical trials for our product candidates is critical to our success. The timing of our clinical trials depends on the speed at which we can recruit patients to participate in testing our product candidates. If patients are unwilling to participate in our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potential product candidates may be delayed. These delays could result in increased costs, delays in advancing our product candidates development, delays in testing the effectiveness of our technology or termination of the clinical trials altogether.</w:t>
      </w: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8" w:name="page19"/>
    <w:bookmarkEnd w:id="18"/>
    <w:p>
      <w:pPr>
        <w:jc w:val="both"/>
        <w:ind w:firstLine="568"/>
        <w:spacing w:after="0" w:line="271" w:lineRule="auto"/>
        <w:rPr>
          <w:sz w:val="20"/>
          <w:szCs w:val="20"/>
          <w:color w:val="auto"/>
        </w:rPr>
      </w:pPr>
      <w:r>
        <w:rPr>
          <w:rFonts w:ascii="Arial" w:cs="Arial" w:eastAsia="Arial" w:hAnsi="Arial"/>
          <w:sz w:val="19"/>
          <w:szCs w:val="19"/>
          <w:color w:val="auto"/>
        </w:rPr>
        <w:t>Patient enrollment is a significant factor in the timing of clinical trials. We may not be able to recruit and enroll a sufficient number of patients, which would impact our ability to complete our clinical trials in a timely manner. Patient enrollment may be affected by numerous factors, including:</w:t>
      </w:r>
    </w:p>
    <w:p>
      <w:pPr>
        <w:spacing w:after="0" w:line="201" w:lineRule="exact"/>
        <w:rPr>
          <w:sz w:val="20"/>
          <w:szCs w:val="20"/>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severity of the disease under investigation;</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size and nature of the patient population;</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eligibility criteria for the trial;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design of the trial protocol;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perceived risks and benefits of the product candidate under study;</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proximity to and availability of clinical trial sites for prospective patients;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availability of competing therapies and clinical trials;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ability to monitor patients adequately during and after treatment;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effects of COVID-19</w:t>
      </w:r>
    </w:p>
    <w:p>
      <w:pPr>
        <w:spacing w:after="0" w:line="247"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We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104 patients, or 12.12% of patients enrolled in our Twyneo® Phase 3 clinical trial, did not complete the study protocol. The most common reasons for subjects not completing the study were the withdrawal of informed consent (41 subjects), loss to follow-up (36 subjects) and adverse events (16 subjects). The discontinuation of patients in any one of our trials may cause us to delay or abandon our clinical trial or cause the results from that trial not to be positive or sufficient to support a filing for regulatory approval of the applicable product candidate.</w:t>
      </w:r>
    </w:p>
    <w:p>
      <w:pPr>
        <w:spacing w:after="0" w:line="204"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193"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9" w:name="page20"/>
    <w:bookmarkEnd w:id="19"/>
    <w:p>
      <w:pPr>
        <w:jc w:val="both"/>
        <w:ind w:right="20"/>
        <w:spacing w:after="0" w:line="265" w:lineRule="auto"/>
        <w:rPr>
          <w:sz w:val="20"/>
          <w:szCs w:val="20"/>
          <w:color w:val="auto"/>
        </w:rPr>
      </w:pPr>
      <w:r>
        <w:rPr>
          <w:rFonts w:ascii="Arial" w:cs="Arial" w:eastAsia="Arial" w:hAnsi="Arial"/>
          <w:sz w:val="19"/>
          <w:szCs w:val="19"/>
          <w:b w:val="1"/>
          <w:bCs w:val="1"/>
          <w:i w:val="1"/>
          <w:iCs w:val="1"/>
          <w:color w:val="auto"/>
        </w:rPr>
        <w:t>If the FDA does not conclude that our product candidates for which we are seeking or intend to seek approval under Section 505(b)(2) of the Federal Food, Drug, and Cosmetic Act satisfy the requirements of the Section 505(b)(2) regulatory approval pathway, or if the requirements for such product candidates under Section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213"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We are developing product candidates for which we are seeking or intend to seek FDA approval through the Section 505(b)(2) regulatory pathway. The Drug Price Competition and Patent Term Restoration Act of 1984, also known as the Hatch-Waxman Amendments, added Section 505(b)(2) to the FDCA. Section 505(b)(2) permits the filing of an NDA where at least some of the information required for approval comes from studies that were not conducted by or for the applicant and for which the applicant has not obtained a right of reference. 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188" w:lineRule="exact"/>
        <w:rPr>
          <w:sz w:val="20"/>
          <w:szCs w:val="20"/>
          <w:color w:val="auto"/>
        </w:rPr>
      </w:pPr>
    </w:p>
    <w:p>
      <w:pPr>
        <w:jc w:val="both"/>
        <w:ind w:firstLine="568"/>
        <w:spacing w:after="0" w:line="290" w:lineRule="auto"/>
        <w:rPr>
          <w:sz w:val="20"/>
          <w:szCs w:val="20"/>
          <w:color w:val="auto"/>
        </w:rPr>
      </w:pPr>
      <w:r>
        <w:rPr>
          <w:rFonts w:ascii="Arial" w:cs="Arial" w:eastAsia="Arial" w:hAnsi="Arial"/>
          <w:sz w:val="17"/>
          <w:szCs w:val="17"/>
          <w:color w:val="auto"/>
        </w:rPr>
        <w:t>In addition, notwithstanding the approval of a number of products by the FDA under Section 505(b)(2) over the last few years, certain brand-name pharmaceutical companies and others have objected to the FDA’s interpretation of Section 505(b)(2). If the FDA’s interpretation of Section 505(b)(2) is successfully challenged, the FDA may change its 505(b)(2) policies and practices, which could delay or even prevent the FDA from approving any NDA that we submit under Section 505(b)(2). In addition, the pharmaceutical industry is highly competitive, and Section 505(b)(2) NDAs are subject to special requirements designed to protect the patent rights of sponsors of previously approved drugs that are referenced in a Section 505(b)(2) NDA. These requirements may give rise to patent litigation and mandatory delays in approval of our NDAs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 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w:t>
      </w:r>
    </w:p>
    <w:p>
      <w:pPr>
        <w:spacing w:after="0" w:line="7" w:lineRule="exact"/>
        <w:rPr>
          <w:sz w:val="20"/>
          <w:szCs w:val="20"/>
          <w:color w:val="auto"/>
        </w:rPr>
      </w:pPr>
    </w:p>
    <w:p>
      <w:pPr>
        <w:spacing w:after="0"/>
        <w:rPr>
          <w:sz w:val="20"/>
          <w:szCs w:val="20"/>
          <w:color w:val="auto"/>
        </w:rPr>
      </w:pPr>
      <w:r>
        <w:rPr>
          <w:rFonts w:ascii="Arial" w:cs="Arial" w:eastAsia="Arial" w:hAnsi="Arial"/>
          <w:sz w:val="19"/>
          <w:szCs w:val="19"/>
          <w:color w:val="auto"/>
        </w:rPr>
        <w:t>(2) regulatory pathway, there is no guarantee this would ultimately lead to accelerated product development or earlier approval.</w:t>
      </w:r>
    </w:p>
    <w:p>
      <w:pPr>
        <w:spacing w:after="0" w:line="251" w:lineRule="exact"/>
        <w:rPr>
          <w:sz w:val="20"/>
          <w:szCs w:val="20"/>
          <w:color w:val="auto"/>
        </w:rPr>
      </w:pPr>
    </w:p>
    <w:p>
      <w:pPr>
        <w:jc w:val="both"/>
        <w:ind w:right="20"/>
        <w:spacing w:after="0" w:line="345" w:lineRule="auto"/>
        <w:rPr>
          <w:sz w:val="20"/>
          <w:szCs w:val="20"/>
          <w:color w:val="auto"/>
        </w:rPr>
      </w:pPr>
      <w:r>
        <w:rPr>
          <w:rFonts w:ascii="Arial" w:cs="Arial" w:eastAsia="Arial" w:hAnsi="Arial"/>
          <w:sz w:val="17"/>
          <w:szCs w:val="17"/>
          <w:b w:val="1"/>
          <w:bCs w:val="1"/>
          <w:i w:val="1"/>
          <w:iCs w:val="1"/>
          <w:color w:val="auto"/>
        </w:rPr>
        <w:t>Even if our branded product candidates or our generic product candidates receive marketing approval, we may continue to face future developmental and regulatory difficulties. In addition, we will be subject to ongoing obligations and continued regulatory review.</w:t>
      </w:r>
    </w:p>
    <w:p>
      <w:pPr>
        <w:spacing w:after="0" w:line="148"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Even if we complete clinical testing and receive approval of any of our branded or generic product candidates, the FDA may grant approval contingent on the performance of additional post-approval clinical trials, risk mitigation requirements such as the implementation of a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213" w:lineRule="exact"/>
        <w:rPr>
          <w:sz w:val="20"/>
          <w:szCs w:val="20"/>
          <w:color w:val="auto"/>
        </w:rPr>
      </w:pPr>
    </w:p>
    <w:p>
      <w:pPr>
        <w:jc w:val="both"/>
        <w:ind w:firstLine="568"/>
        <w:spacing w:after="0" w:line="262" w:lineRule="auto"/>
        <w:rPr>
          <w:sz w:val="20"/>
          <w:szCs w:val="20"/>
          <w:color w:val="auto"/>
        </w:rPr>
      </w:pPr>
      <w:r>
        <w:rPr>
          <w:rFonts w:ascii="Arial" w:cs="Arial" w:eastAsia="Arial" w:hAnsi="Arial"/>
          <w:sz w:val="19"/>
          <w:szCs w:val="19"/>
          <w:color w:val="auto"/>
        </w:rPr>
        <w:t>The FDA also may approve branded product candidates or any of our generic product candidates for a more limited indication or a narrower patient population than we initially request, or may not approve the labeling that we believe is necessary or desirable for the successful commercialization of our product candidates. Furthermore,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0" w:name="page21"/>
    <w:bookmarkEnd w:id="20"/>
    <w:p>
      <w:pPr>
        <w:jc w:val="both"/>
        <w:ind w:firstLine="568"/>
        <w:spacing w:after="0" w:line="271" w:lineRule="auto"/>
        <w:rPr>
          <w:sz w:val="20"/>
          <w:szCs w:val="20"/>
          <w:color w:val="auto"/>
        </w:rPr>
      </w:pPr>
      <w:r>
        <w:rPr>
          <w:rFonts w:ascii="Arial" w:cs="Arial" w:eastAsia="Arial" w:hAnsi="Arial"/>
          <w:sz w:val="19"/>
          <w:szCs w:val="19"/>
          <w:color w:val="auto"/>
        </w:rPr>
        <w:t>If we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201" w:lineRule="exact"/>
        <w:rPr>
          <w:sz w:val="20"/>
          <w:szCs w:val="20"/>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suspend or impose restrictions on operations, including costly new manufacturing requirements;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refuse to approve pending applications or supplements to applications;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suspend any ongoing clinical trials;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suspend or withdraw marketing approval;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seek an injunction or impose civil or criminal penalties or monetary fines;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ban or restrict imports and exports;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could issue warning letters or untitled letters or similar enforcement actions alleging noncompliance with regulatory requirements; or</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209"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In addition, if our branded product candidates or any of our other product candidates are approved, our product labeling, advertising and promotional materials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If we receive marketing approval for any of our branded product candidates or any of our generic product candidates, physicians may nevertheless prescribe the products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201"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Moreover, the FDA’s policies may change and additional government regulations may be enacted that could prevent, limit or delay marketing approval, and the sale and promotion of our branded product candidates or any of our other product candidates, if approved. We also cannot predict the likelihood, nature or extent of government regulation that may arise from future legislation or administrative action, either in the United States or abroad. For example, the results of the 2020 U.S. Presidential Election may impact our business and industry. Namely, the Trump administration took several executive actions, including the issuance of a number of Executive Orders, that could impose significant burdens on, or otherwise materially delay, the FDA’s ability to engage in routine oversight activities such as implementing statutes through rulemaking, issuance of guidance, and review and approval of marketing applications. It is difficult to predict whether or how these orders will be implemented, or whether they will be rescinded and replaced under the Biden administration. The policies and priorities of the new administration are unknown and could materially impact the regulations governing our product candidates. If we are slow or unable to adapt to changes in existing requirements or the adoption of new requirements or policies, or if we are not able to maintain regulatory compliance, we may be subject to enforcement action and we may not achieve or sustain profitability</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1" w:name="page22"/>
    <w:bookmarkEnd w:id="21"/>
    <w:p>
      <w:pPr>
        <w:jc w:val="both"/>
        <w:spacing w:after="0" w:line="271" w:lineRule="auto"/>
        <w:rPr>
          <w:sz w:val="20"/>
          <w:szCs w:val="20"/>
          <w:color w:val="auto"/>
        </w:rPr>
      </w:pPr>
      <w:r>
        <w:rPr>
          <w:rFonts w:ascii="Arial" w:cs="Arial" w:eastAsia="Arial" w:hAnsi="Arial"/>
          <w:sz w:val="19"/>
          <w:szCs w:val="19"/>
          <w:b w:val="1"/>
          <w:bCs w:val="1"/>
          <w:i w:val="1"/>
          <w:iCs w:val="1"/>
          <w:color w:val="auto"/>
        </w:rPr>
        <w:t>Disruptions at the FDA and other government agencies caused by funding shortages or global health concerns could hinder their ability to hire, retain or deploy key leadership and other personnel, or otherwise prevent new or modified products from being developed, approved or commercialized in a timely manner or at all, which could negatively impact our business.</w:t>
      </w:r>
    </w:p>
    <w:p>
      <w:pPr>
        <w:spacing w:after="0" w:line="206" w:lineRule="exact"/>
        <w:rPr>
          <w:sz w:val="20"/>
          <w:szCs w:val="20"/>
          <w:color w:val="auto"/>
        </w:rPr>
      </w:pPr>
    </w:p>
    <w:p>
      <w:pPr>
        <w:jc w:val="both"/>
        <w:ind w:right="20" w:firstLine="566"/>
        <w:spacing w:after="0" w:line="298" w:lineRule="auto"/>
        <w:rPr>
          <w:sz w:val="20"/>
          <w:szCs w:val="20"/>
          <w:color w:val="auto"/>
        </w:rPr>
      </w:pPr>
      <w:r>
        <w:rPr>
          <w:rFonts w:ascii="Arial" w:cs="Arial" w:eastAsia="Arial" w:hAnsi="Arial"/>
          <w:sz w:val="17"/>
          <w:szCs w:val="17"/>
          <w:color w:val="auto"/>
        </w:rPr>
        <w:t>The ability of the FDA to review and approve new products can be affected by a variety of factors, including government budget and funding levels, statutory, regulatory, and policy changes, the FDA’s ability to hire and retain key personnel and accept the payment of user fees, and other events that may otherwise affect the FDA’s ability to perform routine functions. Average review times at the agency have fluctuated in recent years as a result. In addition, government funding of other government agencies that fund research and development activities is subject to the political process, which is inherently fluid and unpredictable. Disruptions at the FDA and other agencies may also slow the time necessary for new drugs or modifications to approved drugs to be reviewed and/or approved by necessary government agencies, which would adversely affect our business. For example, over the last several years, including for 35 days beginning on December 22, 2018, the U.S. government has shut down several times and certain regulatory agencies, such as the FDA, have had to furlough critical FDA employees and stop critical activities.</w:t>
      </w:r>
    </w:p>
    <w:p>
      <w:pPr>
        <w:spacing w:after="0" w:line="187" w:lineRule="exact"/>
        <w:rPr>
          <w:sz w:val="20"/>
          <w:szCs w:val="20"/>
          <w:color w:val="auto"/>
        </w:rPr>
      </w:pPr>
    </w:p>
    <w:p>
      <w:pPr>
        <w:jc w:val="both"/>
        <w:ind w:firstLine="564"/>
        <w:spacing w:after="0" w:line="279" w:lineRule="auto"/>
        <w:rPr>
          <w:sz w:val="20"/>
          <w:szCs w:val="20"/>
          <w:color w:val="auto"/>
        </w:rPr>
      </w:pPr>
      <w:r>
        <w:rPr>
          <w:rFonts w:ascii="Arial" w:cs="Arial" w:eastAsia="Arial" w:hAnsi="Arial"/>
          <w:sz w:val="18"/>
          <w:szCs w:val="18"/>
          <w:color w:val="auto"/>
        </w:rPr>
        <w:t>Separately, in response to the COVID-19 pandemic, on March 10, 2020 the FDA announced its intention to postpone most foreign inspections of manufacturing facilities, and subsequently, on March 18, 2020, the FDA temporarily postponed routine surveillance inspections of domestic manufacturing facilities and clinical trial sites. Subsequently, on July 10, 2020 the FDA announced its intention to resume certain on-site inspections of domestic manufacturing facilities and trial sites subject to a risk-based prioritization system. The FDA intends to use this risk-based assessment system to identify the categories of regulatory activity that can occur within a given geographic area, ranging from mission critical inspections to resumption of all regulatory activities. If a prolonged government shutdown occurs, or if global health concerns continue to prevent the FDA or other regulatory authorities from conducting their regular inspections, reviews, or other regulatory activities, it could significantly impact the ability of the FDA or other regulatory authorities to timely review and process our regulatory submissions, which could have a material adverse effect on our business.</w:t>
      </w:r>
    </w:p>
    <w:p>
      <w:pPr>
        <w:spacing w:after="0" w:line="200"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193"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Even if we obtain FDA approvals for our branded product candidates or any of our generic product candidates, the commercial success of such products will depend significantly on their broad adoption by dermatologists, pediatricians and other physicians for approved indications and other therapeutic or aesthetic indications that we may seek to pursue if approved.</w:t>
      </w:r>
    </w:p>
    <w:p>
      <w:pPr>
        <w:spacing w:after="0" w:line="206"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The degree and rate of physician and patient adoption of our branded product candidates and any of our generic product candidates, if approved, will depend on a number of factors, including:</w:t>
      </w:r>
    </w:p>
    <w:p>
      <w:pPr>
        <w:spacing w:after="0" w:line="187" w:lineRule="exact"/>
        <w:rPr>
          <w:sz w:val="20"/>
          <w:szCs w:val="20"/>
          <w:color w:val="auto"/>
        </w:rPr>
      </w:pPr>
    </w:p>
    <w:p>
      <w:pPr>
        <w:ind w:left="740" w:hanging="426"/>
        <w:spacing w:after="0"/>
        <w:tabs>
          <w:tab w:leader="none" w:pos="7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clinical indications for which the product is approved;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safety and efficacy of our product as compared to existing therapies for those indications;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prevalence and severity of adverse side effects;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patient satisfaction with the results and administration of our product and overall treatment experience, including relative convenience, ease of use and avoidance of, or reduction in, adverse side effects;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24"/>
        </w:numPr>
        <w:rPr>
          <w:rFonts w:ascii="Arial" w:cs="Arial" w:eastAsia="Arial" w:hAnsi="Arial"/>
          <w:sz w:val="16"/>
          <w:szCs w:val="16"/>
          <w:color w:val="auto"/>
        </w:rPr>
      </w:pPr>
      <w:r>
        <w:rPr>
          <w:rFonts w:ascii="Arial" w:cs="Arial" w:eastAsia="Arial" w:hAnsi="Arial"/>
          <w:sz w:val="16"/>
          <w:szCs w:val="16"/>
          <w:color w:val="auto"/>
        </w:rPr>
        <w:t>patient demand for the treatment of acne and rosacea or other indications;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2" w:name="page23"/>
    <w:bookmarkEnd w:id="22"/>
    <w:p>
      <w:pPr>
        <w:ind w:left="740" w:right="20" w:hanging="426"/>
        <w:spacing w:after="0" w:line="268" w:lineRule="auto"/>
        <w:tabs>
          <w:tab w:leader="none" w:pos="74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cost of treatment in relation to alternative treatments, the extent to which these costs are reimbursed by third-party payors, and patients’ willingness to pay for our product candidates; and</w:t>
      </w:r>
    </w:p>
    <w:p>
      <w:pPr>
        <w:spacing w:after="0" w:line="204" w:lineRule="exact"/>
        <w:rPr>
          <w:rFonts w:ascii="Arial" w:cs="Arial" w:eastAsia="Arial" w:hAnsi="Arial"/>
          <w:sz w:val="16"/>
          <w:szCs w:val="16"/>
          <w:color w:val="auto"/>
        </w:rPr>
      </w:pPr>
    </w:p>
    <w:p>
      <w:pPr>
        <w:ind w:left="740" w:right="20" w:hanging="426"/>
        <w:spacing w:after="0" w:line="302" w:lineRule="auto"/>
        <w:tabs>
          <w:tab w:leader="none" w:pos="740" w:val="left"/>
        </w:tabs>
        <w:numPr>
          <w:ilvl w:val="0"/>
          <w:numId w:val="25"/>
        </w:numPr>
        <w:rPr>
          <w:rFonts w:ascii="Arial" w:cs="Arial" w:eastAsia="Arial" w:hAnsi="Arial"/>
          <w:sz w:val="15"/>
          <w:szCs w:val="15"/>
          <w:color w:val="auto"/>
        </w:rPr>
      </w:pPr>
      <w:r>
        <w:rPr>
          <w:rFonts w:ascii="Arial" w:cs="Arial" w:eastAsia="Arial" w:hAnsi="Arial"/>
          <w:sz w:val="15"/>
          <w:szCs w:val="15"/>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186"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193"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We conduct research and development primarily to enable us to manufacture and market topical dermatological creams containing drugs in accordance with FDA regulations as well as other regulatory authorities. We spent approximately $28.1 million, $40.6 million and $27.9 million on research and development activities during the years ended December 31, 2018, 2019 and 2020, respectively. We are required to obtain FDA approval before marketing our product candidates in the United States. The FDA approval process is costly, time consuming and inherently risky.</w:t>
      </w:r>
    </w:p>
    <w:p>
      <w:pPr>
        <w:spacing w:after="0" w:line="179"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206" w:lineRule="exact"/>
        <w:rPr>
          <w:sz w:val="20"/>
          <w:szCs w:val="20"/>
          <w:color w:val="auto"/>
        </w:rPr>
      </w:pPr>
    </w:p>
    <w:p>
      <w:pPr>
        <w:jc w:val="both"/>
        <w:ind w:right="20"/>
        <w:spacing w:after="0" w:line="271" w:lineRule="auto"/>
        <w:rPr>
          <w:sz w:val="20"/>
          <w:szCs w:val="20"/>
          <w:color w:val="auto"/>
        </w:rPr>
      </w:pPr>
      <w:r>
        <w:rPr>
          <w:rFonts w:ascii="Arial" w:cs="Arial" w:eastAsia="Arial" w:hAnsi="Arial"/>
          <w:sz w:val="19"/>
          <w:szCs w:val="19"/>
          <w:b w:val="1"/>
          <w:bCs w:val="1"/>
          <w:i w:val="1"/>
          <w:iCs w:val="1"/>
          <w:color w:val="auto"/>
        </w:rPr>
        <w:t>Our clinical trials for our branded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206"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Our clinical trials for branded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 with our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195" w:lineRule="exact"/>
        <w:rPr>
          <w:sz w:val="20"/>
          <w:szCs w:val="20"/>
          <w:color w:val="auto"/>
        </w:rPr>
      </w:pPr>
    </w:p>
    <w:p>
      <w:pPr>
        <w:jc w:val="both"/>
        <w:ind w:firstLine="568"/>
        <w:spacing w:after="0" w:line="298" w:lineRule="auto"/>
        <w:rPr>
          <w:sz w:val="20"/>
          <w:szCs w:val="20"/>
          <w:color w:val="auto"/>
        </w:rPr>
      </w:pPr>
      <w:r>
        <w:rPr>
          <w:rFonts w:ascii="Arial" w:cs="Arial" w:eastAsia="Arial" w:hAnsi="Arial"/>
          <w:sz w:val="17"/>
          <w:szCs w:val="17"/>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our branded product candidates,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our product candidates, if approved.</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may be subject to risk as a result of international manufacturing operations</w:t>
      </w:r>
      <w:r>
        <w:rPr>
          <w:rFonts w:ascii="Arial" w:cs="Arial" w:eastAsia="Arial" w:hAnsi="Arial"/>
          <w:sz w:val="19"/>
          <w:szCs w:val="19"/>
          <w:color w:val="auto"/>
        </w:rPr>
        <w:t>.</w:t>
      </w:r>
    </w:p>
    <w:p>
      <w:pPr>
        <w:spacing w:after="0" w:line="255" w:lineRule="exact"/>
        <w:rPr>
          <w:sz w:val="20"/>
          <w:szCs w:val="20"/>
          <w:color w:val="auto"/>
        </w:rPr>
      </w:pPr>
    </w:p>
    <w:p>
      <w:pPr>
        <w:jc w:val="both"/>
        <w:ind w:firstLine="566"/>
        <w:spacing w:after="0" w:line="304" w:lineRule="auto"/>
        <w:rPr>
          <w:sz w:val="20"/>
          <w:szCs w:val="20"/>
          <w:color w:val="auto"/>
        </w:rPr>
      </w:pPr>
      <w:r>
        <w:rPr>
          <w:rFonts w:ascii="Arial" w:cs="Arial" w:eastAsia="Arial" w:hAnsi="Arial"/>
          <w:sz w:val="17"/>
          <w:szCs w:val="17"/>
          <w:color w:val="auto"/>
        </w:rPr>
        <w:t>Certain of our product candidates may be manufactured, warehoused and/or tested at third-party facilities located in the U.S., Canada, New Zealand, and India, in addition to our facility in Israel, and therefore our operations are subject to risks inherent in doing business internationally. Such risks include the adverse effects on operations from corruption, war, public health crises, such as pandemics and epidemics, international terrorism, civil disturbances, political instability, governmental activities, deprivation of contract and property rights and currency valuation changes. Any of these changes could have a material adverse effect on our reputation, business, financial condition or results of operations.</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23" w:name="page24"/>
    <w:bookmarkEnd w:id="23"/>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The third-party logistics providers we will rely on may be unable to warehouse, label and/or supply our products in a timely and efficient manner, which can adversely affect our relationship with our customers..</w:t>
      </w:r>
    </w:p>
    <w:p>
      <w:pPr>
        <w:spacing w:after="0" w:line="193" w:lineRule="exact"/>
        <w:rPr>
          <w:sz w:val="20"/>
          <w:szCs w:val="20"/>
          <w:color w:val="auto"/>
        </w:rPr>
      </w:pPr>
    </w:p>
    <w:p>
      <w:pPr>
        <w:jc w:val="both"/>
        <w:ind w:firstLine="566"/>
        <w:spacing w:after="0" w:line="265" w:lineRule="auto"/>
        <w:rPr>
          <w:sz w:val="20"/>
          <w:szCs w:val="20"/>
          <w:color w:val="auto"/>
        </w:rPr>
      </w:pPr>
      <w:r>
        <w:rPr>
          <w:rFonts w:ascii="Arial" w:cs="Arial" w:eastAsia="Arial" w:hAnsi="Arial"/>
          <w:sz w:val="19"/>
          <w:szCs w:val="19"/>
          <w:color w:val="auto"/>
        </w:rPr>
        <w:t>Our ability to timely supply our products will be dependent on the uninterrupted and efficient operations of our third-party logistics, warehousing, labeling and packaging providers in La Vergne, Tennessee. If for any reason such providers fail to securely warehouse, label and supply our products, our relationships with our customers could be disrupted, which could adversely our business, financial condition or results of operations. Further, we will rely on commercial transportation for the distribution of our products which may be negatively impacted by natural disasters or security threats.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ongoing COVID-19 pandemic may adversely affect our business, revenues, results of operations and financial condition</w:t>
      </w:r>
      <w:r>
        <w:rPr>
          <w:rFonts w:ascii="Arial" w:cs="Arial" w:eastAsia="Arial" w:hAnsi="Arial"/>
          <w:sz w:val="18"/>
          <w:szCs w:val="18"/>
          <w:color w:val="auto"/>
        </w:rPr>
        <w:t>.</w:t>
      </w:r>
    </w:p>
    <w:p>
      <w:pPr>
        <w:spacing w:after="0" w:line="266" w:lineRule="exact"/>
        <w:rPr>
          <w:sz w:val="20"/>
          <w:szCs w:val="20"/>
          <w:color w:val="auto"/>
        </w:rPr>
      </w:pPr>
    </w:p>
    <w:p>
      <w:pPr>
        <w:jc w:val="both"/>
        <w:ind w:firstLine="566"/>
        <w:spacing w:after="0" w:line="263" w:lineRule="auto"/>
        <w:rPr>
          <w:sz w:val="20"/>
          <w:szCs w:val="20"/>
          <w:color w:val="auto"/>
        </w:rPr>
      </w:pPr>
      <w:r>
        <w:rPr>
          <w:rFonts w:ascii="Arial" w:cs="Arial" w:eastAsia="Arial" w:hAnsi="Arial"/>
          <w:sz w:val="19"/>
          <w:szCs w:val="19"/>
          <w:color w:val="auto"/>
        </w:rPr>
        <w:t>Outbreaks of epidemic, pandemic or contagious diseases, such as SARS-CoV-2, may adversely affect our business, financial condition and results of operations. The global spread of the SARS-CoV-2 has resulted in government-imposed quarantines, travel restrictions, stay-at-home-orders and other public health safety measures in the United States, Israel, and other affected countries. These precautionary measures have and may continue to have an adverse effect on the global markets and its economy and demand for pharmaceutical products, including on the availability and pricing of employees, resources, materials, manufacturing and delivery efforts and other aspects of the global economy. In addition, conducting clinical trials during the COVID-19 pandemic requires the adoption of special procedures and in general slows down participant enrollment. The spread of this pandemic has caused significant volatility and uncertainty in U.S. and international markets and has resulted in increased risks to our operations.</w:t>
      </w:r>
    </w:p>
    <w:p>
      <w:pPr>
        <w:spacing w:after="0" w:line="213" w:lineRule="exact"/>
        <w:rPr>
          <w:sz w:val="20"/>
          <w:szCs w:val="20"/>
          <w:color w:val="auto"/>
        </w:rPr>
      </w:pPr>
    </w:p>
    <w:p>
      <w:pPr>
        <w:jc w:val="both"/>
        <w:ind w:firstLine="564"/>
        <w:spacing w:after="0" w:line="239" w:lineRule="auto"/>
        <w:rPr>
          <w:sz w:val="20"/>
          <w:szCs w:val="20"/>
          <w:color w:val="auto"/>
        </w:rPr>
      </w:pPr>
      <w:r>
        <w:rPr>
          <w:rFonts w:ascii="Arial" w:cs="Arial" w:eastAsia="Arial" w:hAnsi="Arial"/>
          <w:sz w:val="18"/>
          <w:szCs w:val="18"/>
          <w:color w:val="auto"/>
        </w:rPr>
        <w:t>Specifically, we are monitoring several risks that have or may affect our business related to this pandemic. For example, the COVID-19 pandemic has reduced the revenue from sales of a generic product from the collaboration with Perrigo due to travel restrictions and stay-at-home-orders. In addition, the COVID-19 pandemic has adversely affected and may continue to adversely affect our ability to manufacture Twyneo</w:t>
      </w:r>
      <w:r>
        <w:rPr>
          <w:rFonts w:ascii="Arial" w:cs="Arial" w:eastAsia="Arial" w:hAnsi="Arial"/>
          <w:sz w:val="30"/>
          <w:szCs w:val="30"/>
          <w:color w:val="auto"/>
          <w:vertAlign w:val="superscript"/>
        </w:rPr>
        <w:t>®</w:t>
      </w:r>
      <w:r>
        <w:rPr>
          <w:rFonts w:ascii="Arial" w:cs="Arial" w:eastAsia="Arial" w:hAnsi="Arial"/>
          <w:sz w:val="18"/>
          <w:szCs w:val="18"/>
          <w:color w:val="auto"/>
        </w:rPr>
        <w:t xml:space="preserve"> and Epsolay</w:t>
      </w:r>
      <w:r>
        <w:rPr>
          <w:rFonts w:ascii="Arial" w:cs="Arial" w:eastAsia="Arial" w:hAnsi="Arial"/>
          <w:sz w:val="30"/>
          <w:szCs w:val="30"/>
          <w:color w:val="auto"/>
          <w:vertAlign w:val="superscript"/>
        </w:rPr>
        <w:t>®</w:t>
      </w:r>
      <w:r>
        <w:rPr>
          <w:rFonts w:ascii="Arial" w:cs="Arial" w:eastAsia="Arial" w:hAnsi="Arial"/>
          <w:sz w:val="18"/>
          <w:szCs w:val="18"/>
          <w:color w:val="auto"/>
        </w:rPr>
        <w:t xml:space="preserve"> at the times we planned to do so. An extended duration of this pandemic could adversely affect the ability of the FDA to conduct a pre-approval inspection and possibly delay the timely approval of Twyneo</w:t>
      </w:r>
      <w:r>
        <w:rPr>
          <w:rFonts w:ascii="Arial" w:cs="Arial" w:eastAsia="Arial" w:hAnsi="Arial"/>
          <w:sz w:val="30"/>
          <w:szCs w:val="30"/>
          <w:color w:val="auto"/>
          <w:vertAlign w:val="superscript"/>
        </w:rPr>
        <w:t>®</w:t>
      </w:r>
      <w:r>
        <w:rPr>
          <w:rFonts w:ascii="Arial" w:cs="Arial" w:eastAsia="Arial" w:hAnsi="Arial"/>
          <w:sz w:val="18"/>
          <w:szCs w:val="18"/>
          <w:color w:val="auto"/>
        </w:rPr>
        <w:t xml:space="preserve"> and/or Epsolay</w:t>
      </w:r>
      <w:r>
        <w:rPr>
          <w:rFonts w:ascii="Arial" w:cs="Arial" w:eastAsia="Arial" w:hAnsi="Arial"/>
          <w:sz w:val="30"/>
          <w:szCs w:val="30"/>
          <w:color w:val="auto"/>
          <w:vertAlign w:val="superscript"/>
        </w:rPr>
        <w:t>®</w:t>
      </w:r>
      <w:r>
        <w:rPr>
          <w:rFonts w:ascii="Arial" w:cs="Arial" w:eastAsia="Arial" w:hAnsi="Arial"/>
          <w:sz w:val="18"/>
          <w:szCs w:val="18"/>
          <w:color w:val="auto"/>
        </w:rPr>
        <w:t>. Moreover, quarantines, shelter-in-place and similar government orders, travel restrictions, stay-at-home-orders and health impacts of the COVID-19 pandemic have and in the future could impact the availability or productivity of personnel at third-party manufacturers, distributors, freight carriers and other necessary components of our supply chain. In addition, there may be unfavorable changes in the availability or cost of raw materials, intermediates and other materials necessary for production, which may result in disruptions in our supply chain.</w:t>
      </w:r>
    </w:p>
    <w:p>
      <w:pPr>
        <w:spacing w:after="0" w:line="235" w:lineRule="exact"/>
        <w:rPr>
          <w:sz w:val="20"/>
          <w:szCs w:val="20"/>
          <w:color w:val="auto"/>
        </w:rPr>
      </w:pPr>
    </w:p>
    <w:p>
      <w:pPr>
        <w:jc w:val="both"/>
        <w:ind w:right="20" w:firstLine="566"/>
        <w:spacing w:after="0" w:line="284" w:lineRule="auto"/>
        <w:rPr>
          <w:sz w:val="20"/>
          <w:szCs w:val="20"/>
          <w:color w:val="auto"/>
        </w:rPr>
      </w:pPr>
      <w:r>
        <w:rPr>
          <w:rFonts w:ascii="Arial" w:cs="Arial" w:eastAsia="Arial" w:hAnsi="Arial"/>
          <w:sz w:val="19"/>
          <w:szCs w:val="19"/>
          <w:color w:val="auto"/>
        </w:rPr>
        <w:t>As COVID-19 continues to spread in the United States and elsewhere, we may experience disruptions that could severely impact our preclinical studies and clinical trials, including:</w:t>
      </w:r>
    </w:p>
    <w:p>
      <w:pPr>
        <w:spacing w:after="0" w:line="187" w:lineRule="exact"/>
        <w:rPr>
          <w:sz w:val="20"/>
          <w:szCs w:val="20"/>
          <w:color w:val="auto"/>
        </w:rPr>
      </w:pPr>
    </w:p>
    <w:p>
      <w:pPr>
        <w:ind w:left="560" w:hanging="282"/>
        <w:spacing w:after="0"/>
        <w:tabs>
          <w:tab w:leader="none" w:pos="5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delays or difficulties in enrolling patients in our clinical trials;</w:t>
      </w:r>
    </w:p>
    <w:p>
      <w:pPr>
        <w:spacing w:after="0" w:line="241" w:lineRule="exact"/>
        <w:rPr>
          <w:rFonts w:ascii="Arial" w:cs="Arial" w:eastAsia="Arial" w:hAnsi="Arial"/>
          <w:sz w:val="16"/>
          <w:szCs w:val="16"/>
          <w:color w:val="auto"/>
        </w:rPr>
      </w:pPr>
    </w:p>
    <w:p>
      <w:pPr>
        <w:ind w:left="560" w:hanging="282"/>
        <w:spacing w:after="0" w:line="268" w:lineRule="auto"/>
        <w:tabs>
          <w:tab w:leader="none" w:pos="5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delays or difficulties in initiating or expanding clinical trials, including delays or difficulties with clinical site initiation and recruiting clinical site investigators and clinical site staff;</w:t>
      </w:r>
    </w:p>
    <w:p>
      <w:pPr>
        <w:spacing w:after="0" w:line="204" w:lineRule="exact"/>
        <w:rPr>
          <w:rFonts w:ascii="Arial" w:cs="Arial" w:eastAsia="Arial" w:hAnsi="Arial"/>
          <w:sz w:val="16"/>
          <w:szCs w:val="16"/>
          <w:color w:val="auto"/>
        </w:rPr>
      </w:pPr>
    </w:p>
    <w:p>
      <w:pPr>
        <w:ind w:left="560" w:hanging="282"/>
        <w:spacing w:after="0" w:line="268" w:lineRule="auto"/>
        <w:tabs>
          <w:tab w:leader="none" w:pos="5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increased rates of patients withdrawing from our clinical trials following enrollment as a result of contracting COVID-19 or other health conditions or being forced to quarantine;</w:t>
      </w:r>
    </w:p>
    <w:p>
      <w:pPr>
        <w:spacing w:after="0" w:line="204" w:lineRule="exact"/>
        <w:rPr>
          <w:rFonts w:ascii="Arial" w:cs="Arial" w:eastAsia="Arial" w:hAnsi="Arial"/>
          <w:sz w:val="16"/>
          <w:szCs w:val="16"/>
          <w:color w:val="auto"/>
        </w:rPr>
      </w:pPr>
    </w:p>
    <w:p>
      <w:pPr>
        <w:jc w:val="both"/>
        <w:ind w:left="560" w:right="20" w:hanging="282"/>
        <w:spacing w:after="0" w:line="257" w:lineRule="auto"/>
        <w:tabs>
          <w:tab w:leader="none" w:pos="5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interruption of key clinical trial activities, such as clinical trial site data monitoring and efficacy and safety data collection, processing and analyses, due to limitations on travel imposed or recommended by federal, state or local governments, employers and others or interruption of clinical trial subject visits, which may impact the collection and integrity of subject data and clinical study endpoints;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4" w:name="page25"/>
    <w:bookmarkEnd w:id="24"/>
    <w:p>
      <w:pPr>
        <w:ind w:left="560" w:right="20" w:hanging="282"/>
        <w:spacing w:after="0" w:line="268" w:lineRule="auto"/>
        <w:tabs>
          <w:tab w:leader="none" w:pos="5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diversion of healthcare resources away from the conduct of clinical trials, including the diversion of hospitals serving as our clinical trial sites and hospital staff supporting the conduct of our clinical trials;</w:t>
      </w:r>
    </w:p>
    <w:p>
      <w:pPr>
        <w:spacing w:after="0" w:line="204" w:lineRule="exact"/>
        <w:rPr>
          <w:rFonts w:ascii="Arial" w:cs="Arial" w:eastAsia="Arial" w:hAnsi="Arial"/>
          <w:sz w:val="16"/>
          <w:szCs w:val="16"/>
          <w:color w:val="auto"/>
        </w:rPr>
      </w:pPr>
    </w:p>
    <w:p>
      <w:pPr>
        <w:ind w:left="580" w:hanging="290"/>
        <w:spacing w:after="0" w:line="268" w:lineRule="auto"/>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delays or disruptions in preclinical experiments and IND-enabling studies due to restrictions of on-site staff and unforeseen circumstances at contract research organizations, or CROs, and vendors;</w:t>
      </w:r>
    </w:p>
    <w:p>
      <w:pPr>
        <w:spacing w:after="0" w:line="204" w:lineRule="exact"/>
        <w:rPr>
          <w:rFonts w:ascii="Arial" w:cs="Arial" w:eastAsia="Arial" w:hAnsi="Arial"/>
          <w:sz w:val="16"/>
          <w:szCs w:val="16"/>
          <w:color w:val="auto"/>
        </w:rPr>
      </w:pPr>
    </w:p>
    <w:p>
      <w:pPr>
        <w:ind w:left="580" w:hanging="290"/>
        <w:spacing w:after="0"/>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interruption or delays in the operations of the FDA and comparable foreign regulatory agencies;</w:t>
      </w:r>
    </w:p>
    <w:p>
      <w:pPr>
        <w:spacing w:after="0" w:line="241" w:lineRule="exact"/>
        <w:rPr>
          <w:rFonts w:ascii="Arial" w:cs="Arial" w:eastAsia="Arial" w:hAnsi="Arial"/>
          <w:sz w:val="16"/>
          <w:szCs w:val="16"/>
          <w:color w:val="auto"/>
        </w:rPr>
      </w:pPr>
    </w:p>
    <w:p>
      <w:pPr>
        <w:ind w:left="580" w:right="20" w:hanging="290"/>
        <w:spacing w:after="0" w:line="268" w:lineRule="auto"/>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interruption of, or delays in receiving, supplies of our product candidates from our contract manufacturing organizations due to staffing shortages, production slowdowns or stoppages and disruptions in delivery systems;</w:t>
      </w:r>
    </w:p>
    <w:p>
      <w:pPr>
        <w:spacing w:after="0" w:line="204" w:lineRule="exact"/>
        <w:rPr>
          <w:rFonts w:ascii="Arial" w:cs="Arial" w:eastAsia="Arial" w:hAnsi="Arial"/>
          <w:sz w:val="16"/>
          <w:szCs w:val="16"/>
          <w:color w:val="auto"/>
        </w:rPr>
      </w:pPr>
    </w:p>
    <w:p>
      <w:pPr>
        <w:ind w:left="580" w:hanging="290"/>
        <w:spacing w:after="0"/>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delays in receiving authorization from local regulatory authorities to initiate our planned clinical trials;</w:t>
      </w:r>
    </w:p>
    <w:p>
      <w:pPr>
        <w:spacing w:after="0" w:line="241" w:lineRule="exact"/>
        <w:rPr>
          <w:rFonts w:ascii="Arial" w:cs="Arial" w:eastAsia="Arial" w:hAnsi="Arial"/>
          <w:sz w:val="16"/>
          <w:szCs w:val="16"/>
          <w:color w:val="auto"/>
        </w:rPr>
      </w:pPr>
    </w:p>
    <w:p>
      <w:pPr>
        <w:jc w:val="both"/>
        <w:ind w:left="580" w:hanging="290"/>
        <w:spacing w:after="0" w:line="257" w:lineRule="auto"/>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limitations on employee or other resources that would otherwise be focused on the conduct of our clinical trials and pre-clinical work, including because of sickness of employees or their families, the desire of employees to avoid travel or contact with large groups of people, an increased reliance on working from home, school closures or mass transit disruptions;</w:t>
      </w:r>
    </w:p>
    <w:p>
      <w:pPr>
        <w:spacing w:after="0" w:line="213" w:lineRule="exact"/>
        <w:rPr>
          <w:rFonts w:ascii="Arial" w:cs="Arial" w:eastAsia="Arial" w:hAnsi="Arial"/>
          <w:sz w:val="16"/>
          <w:szCs w:val="16"/>
          <w:color w:val="auto"/>
        </w:rPr>
      </w:pPr>
    </w:p>
    <w:p>
      <w:pPr>
        <w:ind w:left="580" w:right="20" w:hanging="290"/>
        <w:spacing w:after="0" w:line="268" w:lineRule="auto"/>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changes in regulations as part of a response to the COVID-19 pandemic which may require us to change the ways in which our clinical trials are conducted, which may result in unexpected costs, or to discontinue such clinical trials altogether;</w:t>
      </w:r>
    </w:p>
    <w:p>
      <w:pPr>
        <w:spacing w:after="0" w:line="204" w:lineRule="exact"/>
        <w:rPr>
          <w:rFonts w:ascii="Arial" w:cs="Arial" w:eastAsia="Arial" w:hAnsi="Arial"/>
          <w:sz w:val="16"/>
          <w:szCs w:val="16"/>
          <w:color w:val="auto"/>
        </w:rPr>
      </w:pPr>
    </w:p>
    <w:p>
      <w:pPr>
        <w:ind w:left="580" w:right="20" w:hanging="290"/>
        <w:spacing w:after="0" w:line="268" w:lineRule="auto"/>
        <w:tabs>
          <w:tab w:leader="none" w:pos="580" w:val="left"/>
        </w:tabs>
        <w:numPr>
          <w:ilvl w:val="1"/>
          <w:numId w:val="27"/>
        </w:numPr>
        <w:rPr>
          <w:rFonts w:ascii="Arial" w:cs="Arial" w:eastAsia="Arial" w:hAnsi="Arial"/>
          <w:sz w:val="16"/>
          <w:szCs w:val="16"/>
          <w:color w:val="auto"/>
        </w:rPr>
      </w:pPr>
      <w:r>
        <w:rPr>
          <w:rFonts w:ascii="Arial" w:cs="Arial" w:eastAsia="Arial" w:hAnsi="Arial"/>
          <w:sz w:val="16"/>
          <w:szCs w:val="16"/>
          <w:color w:val="auto"/>
        </w:rPr>
        <w:t>delays in necessary interactions with regulators, ethics committees and other important agencies and contractors due to limitations in employee resources or forced furlough of government or contractor personnel; and</w:t>
      </w:r>
    </w:p>
    <w:p>
      <w:pPr>
        <w:spacing w:after="0" w:line="204" w:lineRule="exact"/>
        <w:rPr>
          <w:rFonts w:ascii="Arial" w:cs="Arial" w:eastAsia="Arial" w:hAnsi="Arial"/>
          <w:sz w:val="16"/>
          <w:szCs w:val="16"/>
          <w:color w:val="auto"/>
        </w:rPr>
      </w:pPr>
    </w:p>
    <w:p>
      <w:pPr>
        <w:ind w:left="580" w:hanging="278"/>
        <w:spacing w:after="0"/>
        <w:tabs>
          <w:tab w:leader="none" w:pos="580" w:val="left"/>
        </w:tabs>
        <w:numPr>
          <w:ilvl w:val="2"/>
          <w:numId w:val="27"/>
        </w:numPr>
        <w:rPr>
          <w:rFonts w:ascii="Arial" w:cs="Arial" w:eastAsia="Arial" w:hAnsi="Arial"/>
          <w:sz w:val="16"/>
          <w:szCs w:val="16"/>
          <w:color w:val="auto"/>
        </w:rPr>
      </w:pPr>
      <w:r>
        <w:rPr>
          <w:rFonts w:ascii="Arial" w:cs="Arial" w:eastAsia="Arial" w:hAnsi="Arial"/>
          <w:sz w:val="16"/>
          <w:szCs w:val="16"/>
          <w:color w:val="auto"/>
        </w:rPr>
        <w:t>refusal of the FDA to accept data from clinical trials in affected geographies outside the United States.</w:t>
      </w:r>
    </w:p>
    <w:p>
      <w:pPr>
        <w:spacing w:after="0" w:line="247" w:lineRule="exact"/>
        <w:rPr>
          <w:sz w:val="20"/>
          <w:szCs w:val="20"/>
          <w:color w:val="auto"/>
        </w:rPr>
      </w:pPr>
    </w:p>
    <w:p>
      <w:pPr>
        <w:jc w:val="both"/>
        <w:ind w:right="20" w:firstLine="566"/>
        <w:spacing w:after="0" w:line="284" w:lineRule="auto"/>
        <w:rPr>
          <w:sz w:val="20"/>
          <w:szCs w:val="20"/>
          <w:color w:val="auto"/>
        </w:rPr>
      </w:pPr>
      <w:r>
        <w:rPr>
          <w:rFonts w:ascii="Arial" w:cs="Arial" w:eastAsia="Arial" w:hAnsi="Arial"/>
          <w:sz w:val="19"/>
          <w:szCs w:val="19"/>
          <w:color w:val="auto"/>
        </w:rPr>
        <w:t>Additionally, because our corporate headquarters are in Israel while our CMOs are located in other countries, there is additional risk in our ability as a company to control, assist and supervise such CMOs activities.</w:t>
      </w:r>
    </w:p>
    <w:p>
      <w:pPr>
        <w:spacing w:after="0" w:line="193" w:lineRule="exact"/>
        <w:rPr>
          <w:sz w:val="20"/>
          <w:szCs w:val="20"/>
          <w:color w:val="auto"/>
        </w:rPr>
      </w:pPr>
    </w:p>
    <w:p>
      <w:pPr>
        <w:jc w:val="both"/>
        <w:ind w:firstLine="566"/>
        <w:spacing w:after="0" w:line="284" w:lineRule="auto"/>
        <w:rPr>
          <w:sz w:val="20"/>
          <w:szCs w:val="20"/>
          <w:color w:val="auto"/>
        </w:rPr>
      </w:pPr>
      <w:r>
        <w:rPr>
          <w:rFonts w:ascii="Arial" w:cs="Arial" w:eastAsia="Arial" w:hAnsi="Arial"/>
          <w:sz w:val="18"/>
          <w:szCs w:val="18"/>
          <w:color w:val="auto"/>
        </w:rPr>
        <w:t>The COVID-19 outbreak continues to rapidly evolve, and its ultimate scope, duration and effects are unknown. The extent of the impact of the disruptions to our business, including commercial sales and clinical development, as a result of the pandemic, will depend on future developments, which are highly uncertain and cannot be predicted with confidence. The continuation of the COVID-19 pandemic could materially disrupt our business and operations, hamper our ability to raise additional funds or sell or securities, continue to slow down the overall economy, curtail consumer spending, interrupt our sources of supply, and make it hard to adequately staff our operations.</w:t>
      </w:r>
    </w:p>
    <w:p>
      <w:pPr>
        <w:spacing w:after="0" w:line="195"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193"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In the future, we may acquire or in-license additional product candidates and technologies. Any product candidate or technologies we in-license or acquire will likely require additional development efforts prior to commercial sale, including extensive pre-clinical studies, clinical trials, or both, and approval by the FDA or other applicable foreign regulatory authorities, if any. All product candidates are prone to risks of failure inherent in pharmaceutical product development, including the possibility that the product candidate, or product developed based on in-licensed technology, will not be shown to be sufficiently safe and effective for approval by regulatory authorities. If intellectual property related to product candidates or technologies we in-license or our own know-how is not adequate, we may not be able to commercialize the affected product candidates even after expending resources on their development. In addition, we may not be able to manufacture economically or successfully commercialize any product candidate that we develop based on acquired or in-licensed technology that is granted regulatory approval, and such product candidates may not gain wide acceptance or be competitive in the marketplace. Moreover, integrating any newly acquired or in-licensed product candidates could be expensive and time-consuming. If we cannot effectively manage these aspects of our business strategy, our business may not succeed.</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25" w:name="page26"/>
    <w:bookmarkEnd w:id="25"/>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The time necessary to develop generic API or drug products may adversely affect whether, and the extent to which, we receive a return on our capital.</w:t>
      </w:r>
    </w:p>
    <w:p>
      <w:pPr>
        <w:spacing w:after="0" w:line="193" w:lineRule="exact"/>
        <w:rPr>
          <w:sz w:val="20"/>
          <w:szCs w:val="20"/>
          <w:color w:val="auto"/>
        </w:rPr>
      </w:pPr>
    </w:p>
    <w:p>
      <w:pPr>
        <w:jc w:val="both"/>
        <w:ind w:firstLine="568"/>
        <w:spacing w:after="0" w:line="262" w:lineRule="auto"/>
        <w:rPr>
          <w:sz w:val="20"/>
          <w:szCs w:val="20"/>
          <w:color w:val="auto"/>
        </w:rPr>
      </w:pPr>
      <w:r>
        <w:rPr>
          <w:rFonts w:ascii="Arial" w:cs="Arial" w:eastAsia="Arial" w:hAnsi="Arial"/>
          <w:sz w:val="19"/>
          <w:szCs w:val="19"/>
          <w:color w:val="auto"/>
        </w:rPr>
        <w:t>The development process, including drug formulation where applicable, testing, and FDA review and approval for generic drug products often takes 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 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Regulatory Matters</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Healthcare reform in the United States may harm our future business.</w:t>
      </w:r>
    </w:p>
    <w:p>
      <w:pPr>
        <w:spacing w:after="0" w:line="255" w:lineRule="exact"/>
        <w:rPr>
          <w:sz w:val="20"/>
          <w:szCs w:val="20"/>
          <w:color w:val="auto"/>
        </w:rPr>
      </w:pPr>
    </w:p>
    <w:p>
      <w:pPr>
        <w:jc w:val="both"/>
        <w:ind w:right="20" w:firstLine="568"/>
        <w:spacing w:after="0" w:line="304" w:lineRule="auto"/>
        <w:rPr>
          <w:sz w:val="20"/>
          <w:szCs w:val="20"/>
          <w:color w:val="auto"/>
        </w:rPr>
      </w:pPr>
      <w:r>
        <w:rPr>
          <w:rFonts w:ascii="Arial" w:cs="Arial" w:eastAsia="Arial" w:hAnsi="Arial"/>
          <w:sz w:val="17"/>
          <w:szCs w:val="17"/>
          <w:color w:val="auto"/>
        </w:rPr>
        <w:t>Healthcare costs in the United States have risen significantly over the past decade. In March 2010, the Patient Protection and Affordable Care Act, as amended by the Health Care and Education Reconciliation Act, collectively referred to as the Affordable Care Act,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Affordable Care Act also included a number of changes which may impact our product candidates:</w:t>
      </w:r>
    </w:p>
    <w:p>
      <w:pPr>
        <w:spacing w:after="0" w:line="176" w:lineRule="exact"/>
        <w:rPr>
          <w:sz w:val="20"/>
          <w:szCs w:val="20"/>
          <w:color w:val="auto"/>
        </w:rPr>
      </w:pPr>
    </w:p>
    <w:p>
      <w:pPr>
        <w:jc w:val="both"/>
        <w:ind w:left="740" w:right="20" w:hanging="426"/>
        <w:spacing w:after="0" w:line="257" w:lineRule="auto"/>
        <w:tabs>
          <w:tab w:leader="none" w:pos="7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213"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imposition of annual fees upon manufacturers or importers of branded prescription drugs, which fees will be in amounts determined by the Secretary of Treasury based upon market share and other data;</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providing a discount on brand-name prescriptions filled in the Medicare Part D coverage gap as a condition for the manufacturers’ outpatient drugs to be covered under Medicare Part 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imposing increased penalties for the violation of fraud and abuse laws and funding for anti-fraud activities; and</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28"/>
        </w:numPr>
        <w:rPr>
          <w:rFonts w:ascii="Arial" w:cs="Arial" w:eastAsia="Arial" w:hAnsi="Arial"/>
          <w:sz w:val="16"/>
          <w:szCs w:val="16"/>
          <w:color w:val="auto"/>
        </w:rPr>
      </w:pPr>
      <w:r>
        <w:rPr>
          <w:rFonts w:ascii="Arial" w:cs="Arial" w:eastAsia="Arial" w:hAnsi="Arial"/>
          <w:sz w:val="16"/>
          <w:szCs w:val="16"/>
          <w:color w:val="auto"/>
        </w:rPr>
        <w:t>expanding the definition of “covered entities” that purchase certain outpatient drugs in the 340B Drug Pricing Program of Section 340B of the Public Health Service Act.</w:t>
      </w:r>
    </w:p>
    <w:p>
      <w:pPr>
        <w:spacing w:after="0" w:line="209"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While the Affordable Care Act may have increased the number of patients who have insurance coverage for our product candidates, if approved by the FDA, the Affordable Care Act also restructured payments to Medicare managed care plans and reduced reimbursement to many institutional providers. Accordingly, the change in the Medicaid rebate levels, the additional fees imposed upon us if we market branded drugs, other compliance obligations, and the reduced reimbursement levels to institutional providers may result in a loss of revenue and could adversely affect our business. In addition, the Affordable Care Act contemplates the promulgation of significant future regulatory action which may also further affect our business.</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6" w:name="page27"/>
    <w:bookmarkEnd w:id="26"/>
    <w:p>
      <w:pPr>
        <w:jc w:val="both"/>
        <w:ind w:firstLine="568"/>
        <w:spacing w:after="0" w:line="257" w:lineRule="auto"/>
        <w:rPr>
          <w:sz w:val="20"/>
          <w:szCs w:val="20"/>
          <w:color w:val="auto"/>
        </w:rPr>
      </w:pPr>
      <w:r>
        <w:rPr>
          <w:rFonts w:ascii="Arial" w:cs="Arial" w:eastAsia="Arial" w:hAnsi="Arial"/>
          <w:sz w:val="18"/>
          <w:szCs w:val="18"/>
          <w:color w:val="auto"/>
        </w:rPr>
        <w:t>Since its enactment, there have been judicial, executive and Congressional challenges to certain aspects of the Affordable Care Act. By way of example, the Tax Cuts and Jobs Act, or the Tax Act, was enacted, which, among other things, removed penalties for not complying with the Affordable Care Act’s individual mandate to carry health insurance. On December 14, 2018, a U.S. District Court Judge in the Northern District of Texas, ruled that the individual mandate is a critical and inseverable feature of the Affordable Care Act, and therefore, because it was repealed as part of the Tax Act, the remaining provisions of the Affordable Care Act are invalid as well. On December 18, 2019, the U.S. Court of Appeals for the 5</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Circuit upheld the District Court’s decision that the individual mandate was unconstitutional but remanded the case back to the District Court to determine whether the remaining provisions of the Affordable Care Act are invalid as well. The U.S. Supreme Court is currently reviewing the case, although it is unclear how the Supreme Court will rule. It is also unclear how other efforts, if any, to challenge, repeal or replace the Affordable Care Act will impact the law, our business or financial condition.</w:t>
      </w:r>
    </w:p>
    <w:p>
      <w:pPr>
        <w:spacing w:after="0" w:line="223"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Moreover, other legislative changes have been proposed and adopted since the Affordable Care Act was enacted. For example, the Budget Control Act of 2011 resulted in aggregate reductions to Medicare payments to providers of 2% per fiscal year, which went into effect on April 1, 2013, and will remain in effect through 2030, with the exception of a temporary suspension from May 1, 2020 through March 31, 2021,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w:t>
      </w:r>
    </w:p>
    <w:p>
      <w:pPr>
        <w:spacing w:after="0" w:line="18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Recently there has also been heightened governmental scrutiny over the manner in which manufacturers set prices for their marketed products, which has resulted in several Congressional inquiries and proposed and enacted legislation designed to, among other things, bring more transparency to product pricing, review the relationship between pricing and manufacturer patient programs and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if approved, or additional pricing pressure.</w:t>
      </w:r>
    </w:p>
    <w:p>
      <w:pPr>
        <w:spacing w:after="0" w:line="194"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Commercialization of Our Product Candidates</w:t>
      </w:r>
    </w:p>
    <w:p>
      <w:pPr>
        <w:spacing w:after="0" w:line="26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continued growth is dependent on our ability to successfully develop and commercialize new product candidates in a timely manner.</w:t>
      </w:r>
    </w:p>
    <w:p>
      <w:pPr>
        <w:spacing w:after="0" w:line="278" w:lineRule="exact"/>
        <w:rPr>
          <w:sz w:val="20"/>
          <w:szCs w:val="20"/>
          <w:color w:val="auto"/>
        </w:rPr>
      </w:pPr>
    </w:p>
    <w:p>
      <w:pPr>
        <w:jc w:val="both"/>
        <w:ind w:right="20" w:firstLine="568"/>
        <w:spacing w:after="0" w:line="267" w:lineRule="auto"/>
        <w:rPr>
          <w:sz w:val="20"/>
          <w:szCs w:val="20"/>
          <w:color w:val="auto"/>
        </w:rPr>
      </w:pPr>
      <w:r>
        <w:rPr>
          <w:rFonts w:ascii="Arial" w:cs="Arial" w:eastAsia="Arial" w:hAnsi="Arial"/>
          <w:sz w:val="19"/>
          <w:szCs w:val="19"/>
          <w:color w:val="auto"/>
        </w:rPr>
        <w:t>Our financial results depend upon our ability to introduce and commercialize additional product candidates in a timely manner. Generally, revenue from new products is highest immediately following launch and then declines over time, as new competitors enter the market. Furthermore, the greatest revenue is generally experienced by the company that is able to bring its product to the market first. Our growth is therefore dependent upon our ability to successfully introduce and commercialize new product candidates.</w:t>
      </w:r>
    </w:p>
    <w:p>
      <w:pPr>
        <w:spacing w:after="0" w:line="210"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The FDA and other regulatory authorities may not approve our product applications at all or in a timely fashion for our product candidates under development. Additionally, we may not successfully complete our development efforts for other reasons, such as poor results in clinical trials or a lack of funding to complete the required trials. Even if the FDA approves our product candidates, we may not be able to market them successfully or profitably. Our future results of operations will depend significantly upon our ability to timely develop, receive FDA approval for, and market new pharmaceutical product candidates or otherwise develop new product candidates or acquire the rights to other products.</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7" w:name="page28"/>
    <w:bookmarkEnd w:id="27"/>
    <w:p>
      <w:pPr>
        <w:jc w:val="both"/>
        <w:spacing w:after="0" w:line="284" w:lineRule="auto"/>
        <w:rPr>
          <w:sz w:val="20"/>
          <w:szCs w:val="20"/>
          <w:color w:val="auto"/>
        </w:rPr>
      </w:pPr>
      <w:r>
        <w:rPr>
          <w:rFonts w:ascii="Arial" w:cs="Arial" w:eastAsia="Arial" w:hAnsi="Arial"/>
          <w:sz w:val="19"/>
          <w:szCs w:val="19"/>
          <w:b w:val="1"/>
          <w:bCs w:val="1"/>
          <w:i w:val="1"/>
          <w:iCs w:val="1"/>
          <w:color w:val="auto"/>
        </w:rPr>
        <w:t>Our product candidates, if approved, will face significant competition and our failure to compete effectively may prevent us from achieving significant market penetration and expansion.</w:t>
      </w:r>
    </w:p>
    <w:p>
      <w:pPr>
        <w:spacing w:after="0" w:line="193"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Twyneo® and Epsolay®, if approved, will face significant competition from other approved products, including topical drugs, topical anti-acne drugs such as Acanya, Ziana, Epiduo, Epiduo Forte, Benzaclin, Aczone, Onexton, Differin, Arazlo, Aklief and Amzeeq, and topical drugs for the treatment of rosacea such as Metrogel, Finacea, Soolantra, Finacea and Zilxi, oral drugs such as Solodyn, Doryx, Dynacin, Oracea and Minocin. If approved, Twyneo® and Epsolay® may also compete with non-prescription anti-acne products, as well as unapproved and off-label treatments. In addition, if approved, Twyneo®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195"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pacing w:after="0" w:line="210"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In addition, even if we are able to commercialize our product candidates, we may not be able to price them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product candidates successfully.</w:t>
      </w:r>
    </w:p>
    <w:p>
      <w:pPr>
        <w:spacing w:after="0" w:line="179"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We believe that our principal competitors are Bausch Health Companies, Inc., Galderma S.A., Almirall, LLC, LEO Pharma A/S, VYNE Therapeutics Inc. (formerly Menlo Therapeutics Inc.), Dermavant Sciences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213"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In addition to the above listed competitors, some of our product candidates might face internal competition with other product candidates of ours, for the same markets and patient populations, due to overlap in the required treatment and/or symptoms. For example, Epsolay® may compete with ivermectin cream, 1%, for treatment of rosacea.</w:t>
      </w:r>
    </w:p>
    <w:p>
      <w:pPr>
        <w:spacing w:after="0" w:line="206" w:lineRule="exact"/>
        <w:rPr>
          <w:sz w:val="20"/>
          <w:szCs w:val="20"/>
          <w:color w:val="auto"/>
        </w:rPr>
      </w:pPr>
    </w:p>
    <w:p>
      <w:pPr>
        <w:jc w:val="both"/>
        <w:ind w:firstLine="613"/>
        <w:spacing w:after="0" w:line="277" w:lineRule="auto"/>
        <w:rPr>
          <w:sz w:val="20"/>
          <w:szCs w:val="20"/>
          <w:color w:val="auto"/>
        </w:rPr>
      </w:pPr>
      <w:r>
        <w:rPr>
          <w:rFonts w:ascii="Arial" w:cs="Arial" w:eastAsia="Arial" w:hAnsi="Arial"/>
          <w:sz w:val="18"/>
          <w:szCs w:val="18"/>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For example, on December 30, 2016, Actavis Ltd. submitted an ANDA for ivermectin, 1%, cream, and, as a potential “first applicant,” may qualify for 180-day generic marketing exclusivity. The ANDA of Actavis Ltd. was tentatively approved, and as a result the FDA may be prohibited from approving any other generic ivermectin, 1%, cream product for 180 days from the date of the Actavis Ltd. ANDA approval, such that we would not be able to commercialize this product until after Actavis Ltd.’s exclusivity period expires. Thus, we expect, in accordance with the standard practices in the industry, to face immediate competition when we introduce a generic product into the market.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first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8" w:name="page29"/>
    <w:bookmarkEnd w:id="28"/>
    <w:p>
      <w:pPr>
        <w:jc w:val="both"/>
        <w:ind w:firstLine="568"/>
        <w:spacing w:after="0" w:line="279" w:lineRule="auto"/>
        <w:rPr>
          <w:sz w:val="20"/>
          <w:szCs w:val="20"/>
          <w:color w:val="auto"/>
        </w:rPr>
      </w:pPr>
      <w:r>
        <w:rPr>
          <w:rFonts w:ascii="Arial" w:cs="Arial" w:eastAsia="Arial" w:hAnsi="Arial"/>
          <w:sz w:val="18"/>
          <w:szCs w:val="18"/>
          <w:color w:val="auto"/>
        </w:rPr>
        <w:t>In addition to the competition we face from other generic manufacturers, we face competition from brand-name manufacturers related to our generic product candidates. Branded pharmaceutical companies may sell their branded products as “authorized generics,” where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ANDAs or reduce generic competition by, for example, obtaining new patents on drugs whose original patent protection is about to expire, filing patent infringement suits that could delay FDA approval of generics, developing new versions of their products to obtain FDA market exclusivity, filing citizen petitions contesting FDA approvals of generics such as on alleged health and safety grounds, developing “next generation” versions of products that reduce demand for the generic versions we are developing, changing product claims and labeling, and seeking approval to market as OTC branded products.</w:t>
      </w:r>
    </w:p>
    <w:p>
      <w:pPr>
        <w:spacing w:after="0" w:line="200"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three-year period of exclusivity. Recent litigation against the FDA has affirmed the FDA’s interpretation of the scope of three-year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three-year exclusivity.</w:t>
      </w:r>
    </w:p>
    <w:p>
      <w:pPr>
        <w:spacing w:after="0" w:line="201"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Other pharmaceutical companies may develop competing products for acne, rosacea and other indications we are pursuing and enter the market ahead of us.</w:t>
      </w:r>
    </w:p>
    <w:p>
      <w:pPr>
        <w:spacing w:after="0" w:line="193" w:lineRule="exact"/>
        <w:rPr>
          <w:sz w:val="20"/>
          <w:szCs w:val="20"/>
          <w:color w:val="auto"/>
        </w:rPr>
      </w:pPr>
    </w:p>
    <w:p>
      <w:pPr>
        <w:jc w:val="both"/>
        <w:ind w:right="20" w:firstLine="568"/>
        <w:spacing w:after="0" w:line="308" w:lineRule="auto"/>
        <w:rPr>
          <w:sz w:val="20"/>
          <w:szCs w:val="20"/>
          <w:color w:val="auto"/>
        </w:rPr>
      </w:pPr>
      <w:r>
        <w:rPr>
          <w:rFonts w:ascii="Arial" w:cs="Arial" w:eastAsia="Arial" w:hAnsi="Arial"/>
          <w:sz w:val="17"/>
          <w:szCs w:val="17"/>
          <w:color w:val="auto"/>
        </w:rPr>
        <w:t>Other pharmaceutical companies are engaged in developing, patenting, manufacturing and marketing healthcare products that compete with those that we are developing. These potential 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79"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29" w:name="page30"/>
    <w:bookmarkEnd w:id="29"/>
    <w:p>
      <w:pPr>
        <w:jc w:val="both"/>
        <w:ind w:firstLine="568"/>
        <w:spacing w:after="0" w:line="271" w:lineRule="auto"/>
        <w:rPr>
          <w:sz w:val="20"/>
          <w:szCs w:val="20"/>
          <w:color w:val="auto"/>
        </w:rPr>
      </w:pPr>
      <w:r>
        <w:rPr>
          <w:rFonts w:ascii="Arial" w:cs="Arial" w:eastAsia="Arial" w:hAnsi="Arial"/>
          <w:sz w:val="19"/>
          <w:szCs w:val="19"/>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206" w:lineRule="exact"/>
        <w:rPr>
          <w:sz w:val="20"/>
          <w:szCs w:val="20"/>
          <w:color w:val="auto"/>
        </w:rPr>
      </w:pPr>
    </w:p>
    <w:p>
      <w:pPr>
        <w:jc w:val="both"/>
        <w:spacing w:after="0" w:line="333" w:lineRule="auto"/>
        <w:rPr>
          <w:sz w:val="20"/>
          <w:szCs w:val="20"/>
          <w:color w:val="auto"/>
        </w:rPr>
      </w:pPr>
      <w:r>
        <w:rPr>
          <w:rFonts w:ascii="Arial" w:cs="Arial" w:eastAsia="Arial" w:hAnsi="Arial"/>
          <w:sz w:val="16"/>
          <w:szCs w:val="16"/>
          <w:b w:val="1"/>
          <w:bCs w:val="1"/>
          <w:i w:val="1"/>
          <w:iCs w:val="1"/>
          <w:color w:val="auto"/>
        </w:rPr>
        <w:t>We currently have limited marketing capabilities. If we are unable to establish adequate sales and marketing capabilities through third parties, we may be required to establish sales and marketing capabilities on our own, or we may be unable to successfully commercialize Twyneo®, Epsolay® or any other of our other product candidates, if approved, or generate product revenues. In addition, establishing our own sales and marketing capabilities would significantly increase our expenses and require us to raise additional capital sooner that an anticipated.</w:t>
      </w:r>
    </w:p>
    <w:p>
      <w:pPr>
        <w:spacing w:after="0" w:line="162"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We currently have limited marketing capabilities. In preparation for commercial launch of our proprietary products, we have opened a U.S. headquarters in Whippany, New Jersey. To commercialize Twyneo®, Epsolay® or any other of our other product candidates, if approved, in the United States and other jurisdictions, we expect to establish adequate sales and marketing capabilities through third parties and intend to enter into arrangements with third parties to perform these services and other non-technical services. For instance, if Twyneo® and Epsolay® receive regulatory approval from the FDA we intend to market them in the United States through one or more third party collaborators that have direct sales forces and established distribution systems in lieu of our own sales force and distribution systems. We are in discussions with potential partners regarding the commercialization of Twyneo® and Epsolay®. If we are unable to enter into such arrangements on acceptable terms or at all, we may be required to establish sales and marketing capabilities on our own or we may be unable to successfully commercialize Twyneo®, Epsolay® or any other of our other product candidates or generate product revenues. In addition, establishing our own sales and marketing capabilities would significantly increase our expenses and require us to raise additional capital sooner that an anticipated.</w:t>
      </w:r>
    </w:p>
    <w:p>
      <w:pPr>
        <w:spacing w:after="0" w:line="191" w:lineRule="exact"/>
        <w:rPr>
          <w:sz w:val="20"/>
          <w:szCs w:val="20"/>
          <w:color w:val="auto"/>
        </w:rPr>
      </w:pPr>
    </w:p>
    <w:p>
      <w:pPr>
        <w:jc w:val="both"/>
        <w:ind w:firstLine="568"/>
        <w:spacing w:after="0" w:line="345" w:lineRule="auto"/>
        <w:rPr>
          <w:sz w:val="20"/>
          <w:szCs w:val="20"/>
          <w:color w:val="auto"/>
        </w:rPr>
      </w:pPr>
      <w:r>
        <w:rPr>
          <w:rFonts w:ascii="Arial" w:cs="Arial" w:eastAsia="Arial" w:hAnsi="Arial"/>
          <w:sz w:val="17"/>
          <w:szCs w:val="17"/>
          <w:color w:val="auto"/>
        </w:rPr>
        <w:t>If we are not successful in establishing sufficient sales and marketing capabilities to commercialize Twyneo®, Epsolay® or any of our other product candidates, through collaborations with one or more third parties, our revenues will suffer and we will incur significant additional losses.</w:t>
      </w:r>
    </w:p>
    <w:p>
      <w:pPr>
        <w:spacing w:after="0" w:line="148"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Third-party payor coverage and adequate reimbursement may not be available for our product candidates, if approved, which could make it difficult for us to sell them profitably.</w:t>
      </w:r>
    </w:p>
    <w:p>
      <w:pPr>
        <w:spacing w:after="0" w:line="193"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Sales of our product candidates, if approved, will depend, in part, on the extent to which the costs of our product candidates will be covered by third-party payors, such as government health programs, private health insurers and managed care organizations. Third-party payors generally 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our product candidates, and any future product candidates, will therefore depend substantially on the extent to which the costs of our product candidates, and any future product candidates, will be paid by third-party payors. Additionally, the market for our product candidates, and any future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0" w:name="page31"/>
    <w:bookmarkEnd w:id="30"/>
    <w:p>
      <w:pPr>
        <w:jc w:val="both"/>
        <w:ind w:firstLine="568"/>
        <w:spacing w:after="0" w:line="295" w:lineRule="auto"/>
        <w:rPr>
          <w:sz w:val="20"/>
          <w:szCs w:val="20"/>
          <w:color w:val="auto"/>
        </w:rPr>
      </w:pPr>
      <w:r>
        <w:rPr>
          <w:rFonts w:ascii="Arial" w:cs="Arial" w:eastAsia="Arial" w:hAnsi="Arial"/>
          <w:sz w:val="17"/>
          <w:szCs w:val="17"/>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our product candidates to be cost-effective compared to other therapies, they may not cover our product candidates once approved as a benefit under their plans or, if they do, the level of reimbursement may not be sufficient to allow us to sell our product candidates on a profitable basis. Decreases in third-party reimbursement for our product candidates once approved or a decision by a third-party payor to not cover our product candidates could reduce or eliminate utilization of our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our product candidates once approved or additional pricing pressures.</w:t>
      </w:r>
    </w:p>
    <w:p>
      <w:pPr>
        <w:spacing w:after="0" w:line="188"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Outside the United States, sales of any approved products are generally subject to extensive governmental price controls and other market regulations, and we believe the increasing emphasis on cost-containment initiatives in Europe and other countries has and will continue to put pressure on the pricing and usage of our products, if any. In many countries, the prices of medical products are subject to varying price control mechanisms as part of national health systems. Other countries allow companies to fix their own prices for medical products but monitor and control company profits. Additional foreign price controls or other changes in pricing regulation could restrict the amount that we are able to charge for our products. Accordingly, in markets outside the United States, the reimbursement for our products may be reduced compared with the United States and may be insufficient to generate commercially reasonable revenue and profits.</w:t>
      </w:r>
    </w:p>
    <w:p>
      <w:pPr>
        <w:spacing w:after="0" w:line="202"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Our current and future relationships with investigators, health care professionals, consultants, third-party payors, and customers will be subject to applicable healthcare regulatory laws, which could expose us to penalties .</w:t>
      </w:r>
    </w:p>
    <w:p>
      <w:pPr>
        <w:spacing w:after="0" w:line="193"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conduct our operations, including how we research, market, sell and distribute our product candidates for which we obtain marketing approval. Such laws include:</w:t>
      </w:r>
    </w:p>
    <w:p>
      <w:pPr>
        <w:spacing w:after="0" w:line="205" w:lineRule="exact"/>
        <w:rPr>
          <w:sz w:val="20"/>
          <w:szCs w:val="20"/>
          <w:color w:val="auto"/>
        </w:rPr>
      </w:pPr>
    </w:p>
    <w:p>
      <w:pPr>
        <w:jc w:val="both"/>
        <w:ind w:left="740" w:right="20" w:hanging="426"/>
        <w:spacing w:after="0" w:line="252" w:lineRule="auto"/>
        <w:tabs>
          <w:tab w:leader="none" w:pos="74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 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w:t>
      </w:r>
    </w:p>
    <w:p>
      <w:pPr>
        <w:spacing w:after="0" w:line="216" w:lineRule="exact"/>
        <w:rPr>
          <w:rFonts w:ascii="Arial" w:cs="Arial" w:eastAsia="Arial" w:hAnsi="Arial"/>
          <w:sz w:val="16"/>
          <w:szCs w:val="16"/>
          <w:color w:val="auto"/>
        </w:rPr>
      </w:pPr>
    </w:p>
    <w:p>
      <w:pPr>
        <w:jc w:val="both"/>
        <w:ind w:left="740" w:hanging="426"/>
        <w:spacing w:after="0" w:line="296" w:lineRule="auto"/>
        <w:tabs>
          <w:tab w:leader="none" w:pos="7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1" w:name="page32"/>
    <w:bookmarkEnd w:id="31"/>
    <w:p>
      <w:pPr>
        <w:jc w:val="both"/>
        <w:ind w:left="426" w:hanging="426"/>
        <w:spacing w:after="0" w:line="253" w:lineRule="auto"/>
        <w:tabs>
          <w:tab w:leader="none" w:pos="426"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217" w:lineRule="exact"/>
        <w:rPr>
          <w:rFonts w:ascii="Arial" w:cs="Arial" w:eastAsia="Arial" w:hAnsi="Arial"/>
          <w:sz w:val="16"/>
          <w:szCs w:val="16"/>
          <w:color w:val="auto"/>
        </w:rPr>
      </w:pPr>
    </w:p>
    <w:p>
      <w:pPr>
        <w:jc w:val="both"/>
        <w:ind w:left="426" w:right="20" w:hanging="426"/>
        <w:spacing w:after="0" w:line="340" w:lineRule="auto"/>
        <w:tabs>
          <w:tab w:leader="none" w:pos="426" w:val="left"/>
        </w:tabs>
        <w:numPr>
          <w:ilvl w:val="0"/>
          <w:numId w:val="30"/>
        </w:numPr>
        <w:rPr>
          <w:rFonts w:ascii="Arial" w:cs="Arial" w:eastAsia="Arial" w:hAnsi="Arial"/>
          <w:sz w:val="14"/>
          <w:szCs w:val="14"/>
          <w:color w:val="auto"/>
        </w:rPr>
      </w:pPr>
      <w:r>
        <w:rPr>
          <w:rFonts w:ascii="Arial" w:cs="Arial" w:eastAsia="Arial" w:hAnsi="Arial"/>
          <w:sz w:val="14"/>
          <w:szCs w:val="14"/>
          <w:color w:val="auto"/>
        </w:rPr>
        <w:t>HIPAA, as amended by the Health Information Technology for Economic and Clinical Health Act, or HITECH, and its implementing regulations, also imposes obligations, including mandatory contractual terms, with respect to safeguarding the privacy, security and transmission of individually identifiable health information;</w:t>
      </w:r>
    </w:p>
    <w:p>
      <w:pPr>
        <w:spacing w:after="0" w:line="158" w:lineRule="exact"/>
        <w:rPr>
          <w:rFonts w:ascii="Arial" w:cs="Arial" w:eastAsia="Arial" w:hAnsi="Arial"/>
          <w:sz w:val="14"/>
          <w:szCs w:val="14"/>
          <w:color w:val="auto"/>
        </w:rPr>
      </w:pPr>
    </w:p>
    <w:p>
      <w:pPr>
        <w:jc w:val="both"/>
        <w:ind w:left="426" w:hanging="426"/>
        <w:spacing w:after="0" w:line="295" w:lineRule="auto"/>
        <w:tabs>
          <w:tab w:leader="none" w:pos="426"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certain other health care providers beginning in 2022,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w:t>
      </w:r>
      <w:r>
        <w:rPr>
          <w:rFonts w:ascii="Arial" w:cs="Arial" w:eastAsia="Arial" w:hAnsi="Arial"/>
          <w:sz w:val="23"/>
          <w:szCs w:val="23"/>
          <w:color w:val="auto"/>
          <w:vertAlign w:val="superscript"/>
        </w:rPr>
        <w:t>th</w:t>
      </w:r>
      <w:r>
        <w:rPr>
          <w:rFonts w:ascii="Arial" w:cs="Arial" w:eastAsia="Arial" w:hAnsi="Arial"/>
          <w:sz w:val="14"/>
          <w:szCs w:val="14"/>
          <w:color w:val="auto"/>
        </w:rPr>
        <w:t xml:space="preserve"> day of each calendar year;</w:t>
      </w:r>
    </w:p>
    <w:p>
      <w:pPr>
        <w:spacing w:after="0" w:line="57" w:lineRule="exact"/>
        <w:rPr>
          <w:rFonts w:ascii="Arial" w:cs="Arial" w:eastAsia="Arial" w:hAnsi="Arial"/>
          <w:sz w:val="14"/>
          <w:szCs w:val="14"/>
          <w:color w:val="auto"/>
        </w:rPr>
      </w:pPr>
    </w:p>
    <w:p>
      <w:pPr>
        <w:ind w:left="426" w:hanging="426"/>
        <w:spacing w:after="0"/>
        <w:tabs>
          <w:tab w:leader="none" w:pos="426" w:val="left"/>
        </w:tabs>
        <w:numPr>
          <w:ilvl w:val="0"/>
          <w:numId w:val="30"/>
        </w:numPr>
        <w:rPr>
          <w:rFonts w:ascii="Arial" w:cs="Arial" w:eastAsia="Arial" w:hAnsi="Arial"/>
          <w:sz w:val="15"/>
          <w:szCs w:val="15"/>
          <w:color w:val="auto"/>
        </w:rPr>
      </w:pPr>
      <w:r>
        <w:rPr>
          <w:rFonts w:ascii="Arial" w:cs="Arial" w:eastAsia="Arial" w:hAnsi="Arial"/>
          <w:sz w:val="15"/>
          <w:szCs w:val="15"/>
          <w:color w:val="auto"/>
        </w:rPr>
        <w:t>federal consumer protection and unfair competition laws, which broadly regulate marketplace activities and activities that potentially harm consumers;</w:t>
      </w:r>
    </w:p>
    <w:p>
      <w:pPr>
        <w:spacing w:after="0" w:line="253" w:lineRule="exact"/>
        <w:rPr>
          <w:rFonts w:ascii="Arial" w:cs="Arial" w:eastAsia="Arial" w:hAnsi="Arial"/>
          <w:sz w:val="15"/>
          <w:szCs w:val="15"/>
          <w:color w:val="auto"/>
        </w:rPr>
      </w:pPr>
    </w:p>
    <w:p>
      <w:pPr>
        <w:jc w:val="both"/>
        <w:ind w:left="426" w:hanging="426"/>
        <w:spacing w:after="0" w:line="288" w:lineRule="auto"/>
        <w:tabs>
          <w:tab w:leader="none" w:pos="426" w:val="left"/>
        </w:tabs>
        <w:numPr>
          <w:ilvl w:val="0"/>
          <w:numId w:val="30"/>
        </w:numPr>
        <w:rPr>
          <w:rFonts w:ascii="Arial" w:cs="Arial" w:eastAsia="Arial" w:hAnsi="Arial"/>
          <w:sz w:val="14"/>
          <w:szCs w:val="14"/>
          <w:color w:val="auto"/>
        </w:rPr>
      </w:pPr>
      <w:r>
        <w:rPr>
          <w:rFonts w:ascii="Arial" w:cs="Arial" w:eastAsia="Arial" w:hAnsi="Arial"/>
          <w:sz w:val="14"/>
          <w:szCs w:val="14"/>
          <w:color w:val="auto"/>
        </w:rPr>
        <w:t>analogous state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state laws that require drug manufacturers to report information related to payments and other transfers of value to physicians and other healthcare providers or that require the reporting of pricing information and marketing expenditures; and state laws governing the privacy and security of health information in some circumstances, many of which differ from each other in significant ways and often are not preempted by HIPAA, thus complicating compliance efforts. For example, the California Consumer Privacy Act, or the CCPA, which went into effect on January 1, 2020, gives California residents expanded rights to access and delete their personal information, opt out of certain personal information sharing, and receive detailed information about how their personal information is used. The CCPA provides for civil penalties for violations, as well as a private right of action for data breaches that is expected to increase data breach litigation; and</w:t>
      </w:r>
    </w:p>
    <w:p>
      <w:pPr>
        <w:spacing w:after="0" w:line="196" w:lineRule="exact"/>
        <w:rPr>
          <w:rFonts w:ascii="Arial" w:cs="Arial" w:eastAsia="Arial" w:hAnsi="Arial"/>
          <w:sz w:val="14"/>
          <w:szCs w:val="14"/>
          <w:color w:val="auto"/>
        </w:rPr>
      </w:pPr>
    </w:p>
    <w:p>
      <w:pPr>
        <w:jc w:val="both"/>
        <w:ind w:left="426" w:right="20" w:hanging="426"/>
        <w:spacing w:after="0" w:line="301" w:lineRule="auto"/>
        <w:tabs>
          <w:tab w:leader="none" w:pos="426" w:val="left"/>
        </w:tabs>
        <w:numPr>
          <w:ilvl w:val="0"/>
          <w:numId w:val="30"/>
        </w:numPr>
        <w:rPr>
          <w:rFonts w:ascii="Arial" w:cs="Arial" w:eastAsia="Arial" w:hAnsi="Arial"/>
          <w:sz w:val="14"/>
          <w:szCs w:val="14"/>
          <w:color w:val="auto"/>
        </w:rPr>
      </w:pPr>
      <w:r>
        <w:rPr>
          <w:rFonts w:ascii="Arial" w:cs="Arial" w:eastAsia="Arial" w:hAnsi="Arial"/>
          <w:sz w:val="14"/>
          <w:szCs w:val="14"/>
          <w:color w:val="auto"/>
        </w:rPr>
        <w:t>similar healthcare laws and regulations in the European Union and other non-U.S. jurisdictions, including reporting requirements detailing interactions with and payments to healthcare providers and laws governing the privacy and security of certain protected information, such as the General Data Protection Regulation, or GDPR, which imposes obligations and restrictions on the collection and use of personal data relating to individuals located in the EU (including health data) and the United Kingdom until the end of the transition period on 31 December 2020 provided for in the Withdrawal Agreement between the EU and the U.K.</w:t>
      </w:r>
    </w:p>
    <w:p>
      <w:pPr>
        <w:spacing w:after="0" w:line="333" w:lineRule="exact"/>
        <w:rPr>
          <w:sz w:val="20"/>
          <w:szCs w:val="20"/>
          <w:color w:val="auto"/>
        </w:rPr>
      </w:pPr>
    </w:p>
    <w:p>
      <w:pPr>
        <w:jc w:val="center"/>
        <w:ind w:right="314"/>
        <w:spacing w:after="0"/>
        <w:rPr>
          <w:sz w:val="20"/>
          <w:szCs w:val="20"/>
          <w:color w:val="auto"/>
        </w:rPr>
      </w:pPr>
      <w:r>
        <w:rPr>
          <w:rFonts w:ascii="Arial" w:cs="Arial" w:eastAsia="Arial" w:hAnsi="Arial"/>
          <w:sz w:val="19"/>
          <w:szCs w:val="19"/>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-201930</wp:posOffset>
            </wp:positionH>
            <wp:positionV relativeFrom="paragraph">
              <wp:posOffset>38735</wp:posOffset>
            </wp:positionV>
            <wp:extent cx="7149465" cy="152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0946"/>
          </w:cols>
          <w:pgMar w:left="634" w:top="127" w:right="319" w:bottom="1440" w:gutter="0" w:footer="0" w:header="0"/>
        </w:sectPr>
      </w:pPr>
    </w:p>
    <w:bookmarkStart w:id="32" w:name="page33"/>
    <w:bookmarkEnd w:id="32"/>
    <w:p>
      <w:pPr>
        <w:jc w:val="both"/>
        <w:ind w:firstLine="661"/>
        <w:spacing w:after="0" w:line="296" w:lineRule="auto"/>
        <w:rPr>
          <w:sz w:val="20"/>
          <w:szCs w:val="20"/>
          <w:color w:val="auto"/>
        </w:rPr>
      </w:pPr>
      <w:r>
        <w:rPr>
          <w:rFonts w:ascii="Arial" w:cs="Arial" w:eastAsia="Arial" w:hAnsi="Arial"/>
          <w:sz w:val="17"/>
          <w:szCs w:val="17"/>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integrity oversight and reporting obligations to resolve allegations of non-compliance,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191" w:lineRule="exact"/>
        <w:rPr>
          <w:sz w:val="20"/>
          <w:szCs w:val="20"/>
          <w:color w:val="auto"/>
        </w:rPr>
      </w:pPr>
    </w:p>
    <w:p>
      <w:pPr>
        <w:jc w:val="both"/>
        <w:ind w:right="20"/>
        <w:spacing w:after="0" w:line="313" w:lineRule="auto"/>
        <w:rPr>
          <w:sz w:val="20"/>
          <w:szCs w:val="20"/>
          <w:color w:val="auto"/>
        </w:rPr>
      </w:pPr>
      <w:r>
        <w:rPr>
          <w:rFonts w:ascii="Arial" w:cs="Arial" w:eastAsia="Arial" w:hAnsi="Arial"/>
          <w:sz w:val="18"/>
          <w:szCs w:val="18"/>
          <w:b w:val="1"/>
          <w:bCs w:val="1"/>
          <w:i w:val="1"/>
          <w:iCs w:val="1"/>
          <w:color w:val="auto"/>
        </w:rPr>
        <w:t>The illegal distribution and sale by third parties of counterfeit versions of our product candidates or of stolen products could have a negative impact on our reputation and a material adverse effect on our business, results of operations and financial condition.</w:t>
      </w:r>
    </w:p>
    <w:p>
      <w:pPr>
        <w:spacing w:after="0" w:line="170" w:lineRule="exact"/>
        <w:rPr>
          <w:sz w:val="20"/>
          <w:szCs w:val="20"/>
          <w:color w:val="auto"/>
        </w:rPr>
      </w:pPr>
    </w:p>
    <w:p>
      <w:pPr>
        <w:jc w:val="both"/>
        <w:ind w:right="20" w:firstLine="568"/>
        <w:spacing w:after="0" w:line="308" w:lineRule="auto"/>
        <w:rPr>
          <w:sz w:val="20"/>
          <w:szCs w:val="20"/>
          <w:color w:val="auto"/>
        </w:rPr>
      </w:pPr>
      <w:r>
        <w:rPr>
          <w:rFonts w:ascii="Arial" w:cs="Arial" w:eastAsia="Arial" w:hAnsi="Arial"/>
          <w:sz w:val="17"/>
          <w:szCs w:val="17"/>
          <w:color w:val="auto"/>
        </w:rPr>
        <w:t>Third parties could illegally distribute and sell counterfeit versions of our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179"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Reports of adverse reactions to counterfeit drugs similar to our product candidates or increased levels of counterfeiting such products could materially affect physician and patient confidence in our authentic product candidates. It is possible that adverse events caused by unsafe counterfeit products will mistakenly be attributed to our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21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Public loss of confidence in the integrity of our pharmaceutical products as a result of counterfeiting or theft could have a material adverse effect on our business, financial position and results of operations.</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Dependence on Third Parties</w:t>
      </w:r>
    </w:p>
    <w:p>
      <w:pPr>
        <w:spacing w:after="0" w:line="261" w:lineRule="exact"/>
        <w:rPr>
          <w:sz w:val="20"/>
          <w:szCs w:val="20"/>
          <w:color w:val="auto"/>
        </w:rPr>
      </w:pPr>
    </w:p>
    <w:p>
      <w:pPr>
        <w:jc w:val="both"/>
        <w:ind w:right="20"/>
        <w:spacing w:after="0" w:line="265" w:lineRule="auto"/>
        <w:rPr>
          <w:sz w:val="20"/>
          <w:szCs w:val="20"/>
          <w:color w:val="auto"/>
        </w:rPr>
      </w:pPr>
      <w:r>
        <w:rPr>
          <w:rFonts w:ascii="Arial" w:cs="Arial" w:eastAsia="Arial" w:hAnsi="Arial"/>
          <w:sz w:val="19"/>
          <w:szCs w:val="19"/>
          <w:b w:val="1"/>
          <w:bCs w:val="1"/>
          <w:i w:val="1"/>
          <w:iCs w:val="1"/>
          <w:color w:val="auto"/>
        </w:rPr>
        <w:t>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213" w:lineRule="exact"/>
        <w:rPr>
          <w:sz w:val="20"/>
          <w:szCs w:val="20"/>
          <w:color w:val="auto"/>
        </w:rPr>
      </w:pPr>
    </w:p>
    <w:p>
      <w:pPr>
        <w:jc w:val="both"/>
        <w:ind w:firstLine="568"/>
        <w:spacing w:after="0" w:line="298" w:lineRule="auto"/>
        <w:rPr>
          <w:sz w:val="20"/>
          <w:szCs w:val="20"/>
          <w:color w:val="auto"/>
        </w:rPr>
      </w:pPr>
      <w:r>
        <w:rPr>
          <w:rFonts w:ascii="Arial" w:cs="Arial" w:eastAsia="Arial" w:hAnsi="Arial"/>
          <w:sz w:val="17"/>
          <w:szCs w:val="17"/>
          <w:color w:val="auto"/>
        </w:rPr>
        <w:t>We are currently party to collaborative arrangements with respect to the development, manufacture, study and commercialization of certain of our product candidates with Perrigo. In addition, if Twyneo® and Epsolay® receive regulatory approval from the FDA, we intend to market them in the United States through one or more third party collaborators that have direct sales forces and established distribution systems in lieu of our own sales force and distribution systems. We are in discussions with potential partners regarding the commercialization of Twyneo® and Epsolay®. Any current or future potential collaborative arrangements may require us to rely on external consultants, advisors, and experts for assistance in several key functions, including clinical development, manufacturing, regulatory, intellectual property and sales and marketing. We cannot and will not control these third parties, but we may rely on them to achieve results, which may be significant to us. Relying upon collaborative arrangements to develop and commercialize our product candidates subjects us to a number of risks, including:</w:t>
      </w:r>
    </w:p>
    <w:p>
      <w:pPr>
        <w:spacing w:after="0" w:line="182" w:lineRule="exact"/>
        <w:rPr>
          <w:sz w:val="20"/>
          <w:szCs w:val="20"/>
          <w:color w:val="auto"/>
        </w:rPr>
      </w:pPr>
    </w:p>
    <w:p>
      <w:pPr>
        <w:ind w:left="740" w:hanging="426"/>
        <w:spacing w:after="0"/>
        <w:tabs>
          <w:tab w:leader="none" w:pos="740" w:val="left"/>
        </w:tabs>
        <w:numPr>
          <w:ilvl w:val="0"/>
          <w:numId w:val="31"/>
        </w:numPr>
        <w:rPr>
          <w:rFonts w:ascii="Arial" w:cs="Arial" w:eastAsia="Arial" w:hAnsi="Arial"/>
          <w:sz w:val="16"/>
          <w:szCs w:val="16"/>
          <w:color w:val="auto"/>
        </w:rPr>
      </w:pPr>
      <w:r>
        <w:rPr>
          <w:rFonts w:ascii="Arial" w:cs="Arial" w:eastAsia="Arial" w:hAnsi="Arial"/>
          <w:sz w:val="16"/>
          <w:szCs w:val="16"/>
          <w:color w:val="auto"/>
        </w:rPr>
        <w:t>we may not be able to control the amount and timing of resources that our collaborators may devote to our product candidates;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3" w:name="page34"/>
    <w:bookmarkEnd w:id="33"/>
    <w:p>
      <w:pPr>
        <w:ind w:left="740" w:hanging="426"/>
        <w:spacing w:after="0"/>
        <w:tabs>
          <w:tab w:leader="none" w:pos="740" w:val="left"/>
        </w:tabs>
        <w:numPr>
          <w:ilvl w:val="0"/>
          <w:numId w:val="32"/>
        </w:numPr>
        <w:rPr>
          <w:rFonts w:ascii="Arial" w:cs="Arial" w:eastAsia="Arial" w:hAnsi="Arial"/>
          <w:sz w:val="15"/>
          <w:szCs w:val="15"/>
          <w:color w:val="auto"/>
        </w:rPr>
      </w:pPr>
      <w:r>
        <w:rPr>
          <w:rFonts w:ascii="Arial" w:cs="Arial" w:eastAsia="Arial" w:hAnsi="Arial"/>
          <w:sz w:val="15"/>
          <w:szCs w:val="15"/>
          <w:color w:val="auto"/>
        </w:rPr>
        <w:t>should a collaborator fail to comply with applicable laws, rules, or regulations when performing services for us, we could be held liable for such violations;</w:t>
      </w:r>
    </w:p>
    <w:p>
      <w:pPr>
        <w:spacing w:after="0" w:line="253" w:lineRule="exact"/>
        <w:rPr>
          <w:rFonts w:ascii="Arial" w:cs="Arial" w:eastAsia="Arial" w:hAnsi="Arial"/>
          <w:sz w:val="15"/>
          <w:szCs w:val="15"/>
          <w:color w:val="auto"/>
        </w:rPr>
      </w:pPr>
    </w:p>
    <w:p>
      <w:pPr>
        <w:ind w:left="740" w:right="20" w:hanging="426"/>
        <w:spacing w:after="0" w:line="268" w:lineRule="auto"/>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our current or future collaborators may fail to comply with local or any foreign health authorities’ laws and regulations, and as a result, the receipt of a site manufacturing, export or import license may be delayed or withheld for an undefined period;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our current or future collaborators may experience financial difficulties or changes in business focus;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2"/>
        </w:numPr>
        <w:rPr>
          <w:rFonts w:ascii="Arial" w:cs="Arial" w:eastAsia="Arial" w:hAnsi="Arial"/>
          <w:sz w:val="15"/>
          <w:szCs w:val="15"/>
          <w:color w:val="auto"/>
        </w:rPr>
      </w:pPr>
      <w:r>
        <w:rPr>
          <w:rFonts w:ascii="Arial" w:cs="Arial" w:eastAsia="Arial" w:hAnsi="Arial"/>
          <w:sz w:val="15"/>
          <w:szCs w:val="15"/>
          <w:color w:val="auto"/>
        </w:rPr>
        <w:t>our current or future collaborators’ partners may fail to secure adequate commercial supplies of our product candidates upon marketing approval, if at all;</w:t>
      </w:r>
    </w:p>
    <w:p>
      <w:pPr>
        <w:spacing w:after="0" w:line="253" w:lineRule="exact"/>
        <w:rPr>
          <w:rFonts w:ascii="Arial" w:cs="Arial" w:eastAsia="Arial" w:hAnsi="Arial"/>
          <w:sz w:val="15"/>
          <w:szCs w:val="15"/>
          <w:color w:val="auto"/>
        </w:rPr>
      </w:pPr>
    </w:p>
    <w:p>
      <w:pPr>
        <w:ind w:left="740" w:hanging="426"/>
        <w:spacing w:after="0"/>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our current or future collaborators’ partners may have a shortage of qualified personnel;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we may be required to relinquish important rights, such as marketing and distribution rights;</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business combinations or significant changes in a collaborator’s business strategy may adversely affect a collaborator’s willingness or ability to complete its obligations under any arrangement;</w:t>
      </w:r>
    </w:p>
    <w:p>
      <w:pPr>
        <w:spacing w:after="0" w:line="204"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under certain circumstances, a collaborator could move forward with a competing product developed either independently or in collaboration with others, including our competitors;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our current or future collaborators may utilize our proprietary information in a way that could expose us to competitive harm; and</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collaborative arrangements are often terminated or allowed to expire, which could delay the development and may increase the cost of developing our product candidates.</w:t>
      </w:r>
    </w:p>
    <w:p>
      <w:pPr>
        <w:spacing w:after="0" w:line="209"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In addition, if disputes arise between us and our collaborators, it could result in the delay or termination of the development, manufacturing or commercialization of our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21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If any of these scenarios materialize, they could have an adverse effect on our business, financial condition or results of operations.</w:t>
      </w:r>
    </w:p>
    <w:p>
      <w:pPr>
        <w:spacing w:after="0" w:line="266"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We also may have other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product candidates and increase the costs of development and commercialization of such product candidates.</w:t>
      </w: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34" w:name="page35"/>
    <w:bookmarkEnd w:id="34"/>
    <w:p>
      <w:pPr>
        <w:jc w:val="both"/>
        <w:ind w:right="20"/>
        <w:spacing w:after="0" w:line="308" w:lineRule="auto"/>
        <w:rPr>
          <w:sz w:val="20"/>
          <w:szCs w:val="20"/>
          <w:color w:val="auto"/>
        </w:rPr>
      </w:pPr>
      <w:r>
        <w:rPr>
          <w:rFonts w:ascii="Arial" w:cs="Arial" w:eastAsia="Arial" w:hAnsi="Arial"/>
          <w:sz w:val="17"/>
          <w:szCs w:val="17"/>
          <w:b w:val="1"/>
          <w:bCs w:val="1"/>
          <w:i w:val="1"/>
          <w:iCs w:val="1"/>
          <w:color w:val="auto"/>
        </w:rPr>
        <w:t>We currently contract with third-party manufacturers and suppliers for certain compounds and components necessary to produce our product candidates for clinical trials and expect to continue to do so to support commercial scale production if any of our product candidates is approved. This increases the risk that if any of our product candidates is approved, we may not have access to sufficient quantities or such quantities at an acceptable cost, which could delay, prevent or impair our development or commercialization efforts.</w:t>
      </w:r>
    </w:p>
    <w:p>
      <w:pPr>
        <w:spacing w:after="0" w:line="179"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We currently rely on third parties for the manufacture and supply of certain compounds and components necessary to produce our product candidates for our clinical trials, including API’s such as benzoyl peroxide and tretinoin and other active ingredients and excipients used in the formulation of our various product candidates, as well as primary and secondary packaging and labeling materials. We lack the resources and the capability to manufacture any of our product candidates on a clinical or commercial scale, and we expect to continue to rely on third parties to support our commercial requirements if any of our product candidates is approved for marketing by the FDA or other foreign regulatory authorities.</w:t>
      </w:r>
    </w:p>
    <w:p>
      <w:pPr>
        <w:spacing w:after="0" w:line="181"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204"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our product candidates, if approved.</w:t>
      </w:r>
    </w:p>
    <w:p>
      <w:pPr>
        <w:spacing w:after="0" w:line="185"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any of our product candidates could delay, prevent or impair our clinical development or commercialization efforts.</w:t>
      </w:r>
    </w:p>
    <w:p>
      <w:pPr>
        <w:spacing w:after="0" w:line="195" w:lineRule="exact"/>
        <w:rPr>
          <w:sz w:val="20"/>
          <w:szCs w:val="20"/>
          <w:color w:val="auto"/>
        </w:rPr>
      </w:pPr>
    </w:p>
    <w:p>
      <w:pPr>
        <w:jc w:val="both"/>
        <w:spacing w:after="0" w:line="271" w:lineRule="auto"/>
        <w:rPr>
          <w:sz w:val="20"/>
          <w:szCs w:val="20"/>
          <w:color w:val="auto"/>
        </w:rPr>
      </w:pPr>
      <w:r>
        <w:rPr>
          <w:rFonts w:ascii="Arial" w:cs="Arial" w:eastAsia="Arial" w:hAnsi="Arial"/>
          <w:sz w:val="19"/>
          <w:szCs w:val="19"/>
          <w:b w:val="1"/>
          <w:bCs w:val="1"/>
          <w:i w:val="1"/>
          <w:iCs w:val="1"/>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206" w:lineRule="exact"/>
        <w:rPr>
          <w:sz w:val="20"/>
          <w:szCs w:val="20"/>
          <w:color w:val="auto"/>
        </w:rPr>
      </w:pPr>
    </w:p>
    <w:p>
      <w:pPr>
        <w:jc w:val="both"/>
        <w:ind w:right="20" w:firstLine="568"/>
        <w:spacing w:after="0" w:line="304" w:lineRule="auto"/>
        <w:rPr>
          <w:sz w:val="20"/>
          <w:szCs w:val="20"/>
          <w:color w:val="auto"/>
        </w:rPr>
      </w:pPr>
      <w:r>
        <w:rPr>
          <w:rFonts w:ascii="Arial" w:cs="Arial" w:eastAsia="Arial" w:hAnsi="Arial"/>
          <w:sz w:val="17"/>
          <w:szCs w:val="17"/>
          <w:color w:val="auto"/>
        </w:rPr>
        <w:t>We do not have the ability to independently perform all aspects of our anticipated pre-clinical studies and clinical trials. We rely on medical institutions, clinical investigators, contract laboratories, collaborative partners and other third parties to assist us in conducting our clinical trials and studies for our product candidates. The third parties with whom we contract for execution of our clinical trials play a significant role in the conduct of these trials and the subsequent collection and analysis of data. However, these third parties are not employees, and except for contractual duties and obligations, we have limited ability to control the amount or timing of resources that they devote to our programs.</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5" w:name="page36"/>
    <w:bookmarkEnd w:id="35"/>
    <w:p>
      <w:pPr>
        <w:jc w:val="both"/>
        <w:ind w:right="20" w:firstLine="568"/>
        <w:spacing w:after="0" w:line="284" w:lineRule="auto"/>
        <w:rPr>
          <w:sz w:val="20"/>
          <w:szCs w:val="20"/>
          <w:color w:val="auto"/>
        </w:rPr>
      </w:pPr>
      <w:r>
        <w:rPr>
          <w:rFonts w:ascii="Arial" w:cs="Arial" w:eastAsia="Arial" w:hAnsi="Arial"/>
          <w:sz w:val="18"/>
          <w:szCs w:val="18"/>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agreement with these third parties may inevitably enable them to terminate such agreements upon reasonable prior written notice under certain circumstances.</w:t>
      </w:r>
    </w:p>
    <w:p>
      <w:pPr>
        <w:spacing w:after="0" w:line="195"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Although we rely on these third parties to conduct certain aspects of our clinical trials and other studies and clinical trials, we remain responsible for ensuring that each of our studies is conducted in accordance with the applicable protocol, legal, regulatory and scientific standards, and our reliance on these third parties does not relieve us of our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also rely on our consultants to assist us in the execution, including data collection and analysis of our clinical trials. If we or any of our third-party contractors fail to comply with applicable GCPs, the clinical data generated in our clinical trials may be deemed unreliable and the FDA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regulations. Our failure to comply with these regulations may require us to repeat clinical trials, which would delay the regulatory approval process.</w:t>
      </w:r>
    </w:p>
    <w:p>
      <w:pPr>
        <w:spacing w:after="0" w:line="195"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If the third parties or consultants that assist us in conducting our clinical trials do not perform their contractual duties or obligations, experience work stoppages, do not meet expected deadlines, terminate their agreements with us or need to be replaced, or if the quality or accuracy of the clinical data they obtain is compromised due to the failure to adhere to our clinical trial protocols, regulatory requirements or GCPs, or for any other reason, we may need to conduct additional clinical trials or enter into new arrangements with alternative third parties, which could be difficult, costly or impossible, and our clinical trials may be extended, delayed or terminated or may need to be repeated. If any of the foregoing were to occur, we may not be able to obtain, or may be delayed in obtaining, regulatory approval for the product candidates being tested in such trials, and will not be able to, or may be delayed in our efforts to, successfully commercialize these product candidates.</w:t>
      </w:r>
    </w:p>
    <w:p>
      <w:pPr>
        <w:spacing w:after="0" w:line="188" w:lineRule="exact"/>
        <w:rPr>
          <w:sz w:val="20"/>
          <w:szCs w:val="20"/>
          <w:color w:val="auto"/>
        </w:rPr>
      </w:pPr>
    </w:p>
    <w:p>
      <w:pPr>
        <w:jc w:val="both"/>
        <w:ind w:right="20"/>
        <w:spacing w:after="0" w:line="318" w:lineRule="auto"/>
        <w:rPr>
          <w:sz w:val="20"/>
          <w:szCs w:val="20"/>
          <w:color w:val="auto"/>
        </w:rPr>
      </w:pPr>
      <w:r>
        <w:rPr>
          <w:rFonts w:ascii="Arial" w:cs="Arial" w:eastAsia="Arial" w:hAnsi="Arial"/>
          <w:sz w:val="17"/>
          <w:szCs w:val="17"/>
          <w:b w:val="1"/>
          <w:bCs w:val="1"/>
          <w:i w:val="1"/>
          <w:iCs w:val="1"/>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169"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The manufacture of pharmaceutical products is complex and requires significant expertise and capital investment, including the development of advanced manufacturing techniques and process controls. We and our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213"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We cannot assure you that any stability or other issues relating to the manufacture of any of our product candidates will not occur in the future. Additionally, we and our third-party manufacturers may experience manufacturing difficulties due to resource constraints or as a result of labor disputes or unstable political environments. If we or our third-party manufacturers were to encounter any of these difficulties, our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 depending upon the period of delay, require us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6" w:name="page37"/>
    <w:bookmarkEnd w:id="36"/>
    <w:p>
      <w:pPr>
        <w:spacing w:after="0"/>
        <w:rPr>
          <w:sz w:val="20"/>
          <w:szCs w:val="20"/>
          <w:color w:val="auto"/>
        </w:rPr>
      </w:pPr>
      <w:r>
        <w:rPr>
          <w:rFonts w:ascii="Arial" w:cs="Arial" w:eastAsia="Arial" w:hAnsi="Arial"/>
          <w:sz w:val="19"/>
          <w:szCs w:val="19"/>
          <w:b w:val="1"/>
          <w:bCs w:val="1"/>
          <w:color w:val="auto"/>
        </w:rPr>
        <w:t>Risks Related to Our Intellectual Property</w:t>
      </w:r>
    </w:p>
    <w:p>
      <w:pPr>
        <w:spacing w:after="0" w:line="261"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We depend on our intellectual property, and our future success is dependent on our ability to protect our intellectual property and not infringe on the rights of others.</w:t>
      </w:r>
    </w:p>
    <w:p>
      <w:pPr>
        <w:spacing w:after="0" w:line="193" w:lineRule="exact"/>
        <w:rPr>
          <w:sz w:val="20"/>
          <w:szCs w:val="20"/>
          <w:color w:val="auto"/>
        </w:rPr>
      </w:pPr>
    </w:p>
    <w:p>
      <w:pPr>
        <w:jc w:val="both"/>
        <w:ind w:right="20" w:firstLine="568"/>
        <w:spacing w:after="0" w:line="280" w:lineRule="auto"/>
        <w:rPr>
          <w:sz w:val="20"/>
          <w:szCs w:val="20"/>
          <w:color w:val="auto"/>
        </w:rPr>
      </w:pPr>
      <w:r>
        <w:rPr>
          <w:rFonts w:ascii="Arial" w:cs="Arial" w:eastAsia="Arial" w:hAnsi="Arial"/>
          <w:sz w:val="18"/>
          <w:szCs w:val="18"/>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197" w:lineRule="exact"/>
        <w:rPr>
          <w:sz w:val="20"/>
          <w:szCs w:val="20"/>
          <w:color w:val="auto"/>
        </w:rPr>
      </w:pPr>
    </w:p>
    <w:p>
      <w:pPr>
        <w:ind w:left="740" w:hanging="426"/>
        <w:spacing w:after="0"/>
        <w:tabs>
          <w:tab w:leader="none" w:pos="7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any of our future processes or product candidates will be patentable;</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our processes or product candidates will not infringe upon the patents of third parties; or</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209"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191"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 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37" w:name="page38"/>
    <w:bookmarkEnd w:id="37"/>
    <w:p>
      <w:pPr>
        <w:jc w:val="both"/>
        <w:ind w:firstLine="568"/>
        <w:spacing w:after="0" w:line="267" w:lineRule="auto"/>
        <w:rPr>
          <w:sz w:val="20"/>
          <w:szCs w:val="20"/>
          <w:color w:val="auto"/>
        </w:rPr>
      </w:pPr>
      <w:r>
        <w:rPr>
          <w:rFonts w:ascii="Arial" w:cs="Arial" w:eastAsia="Arial" w:hAnsi="Arial"/>
          <w:sz w:val="19"/>
          <w:szCs w:val="19"/>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210"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210"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We have granted, and may in the future grant, to third parties licenses to use our intellectual property. Generally,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Twyneo® for the treatment of acne . As part of this assignment agreement, we granted to Medicis a non-exclusive, transferable, sub-licensable, royalty-free, perpetual, license to practice the inventions claimed under the patent.</w:t>
      </w:r>
    </w:p>
    <w:p>
      <w:pPr>
        <w:spacing w:after="0" w:line="185"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pacing w:after="0" w:line="210"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If we are unable to protect the confidentiality of our trade secrets or know-how, such proprietary information may be used by others to compete against us.</w:t>
      </w:r>
    </w:p>
    <w:p>
      <w:pPr>
        <w:spacing w:after="0" w:line="193"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201"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 information. If a dispute arises with respect to any proprietary right, enforcement of our rights can be costly and unpredictable, and a court may determine that the right belongs to a third party.</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8" w:name="page39"/>
    <w:bookmarkEnd w:id="38"/>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193"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to cease making, licensing or using products that incorporate the challenged intellectual property; require us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will be able to manufacture, use, offer for sale, sell or import our product candidates in the event of an infringement action.</w:t>
      </w:r>
    </w:p>
    <w:p>
      <w:pPr>
        <w:spacing w:after="0" w:line="193" w:lineRule="exact"/>
        <w:rPr>
          <w:sz w:val="20"/>
          <w:szCs w:val="20"/>
          <w:color w:val="auto"/>
        </w:rPr>
      </w:pPr>
    </w:p>
    <w:p>
      <w:pPr>
        <w:jc w:val="both"/>
        <w:ind w:right="20" w:firstLine="568"/>
        <w:spacing w:after="0" w:line="264" w:lineRule="auto"/>
        <w:rPr>
          <w:sz w:val="20"/>
          <w:szCs w:val="20"/>
          <w:color w:val="auto"/>
        </w:rPr>
      </w:pPr>
      <w:r>
        <w:rPr>
          <w:rFonts w:ascii="Arial" w:cs="Arial" w:eastAsia="Arial" w:hAnsi="Arial"/>
          <w:sz w:val="19"/>
          <w:szCs w:val="19"/>
          <w:color w:val="auto"/>
        </w:rPr>
        <w:t>In the event of patent infringement claims, or to avoid potential claims, we may choose or be required to seek a license from a third party and would most likely be required to pay license fees or royalties or both. These licenses may not be available on acceptable terms, or at all. Even if we were able to obtain a license, the rights may be non-exclusive, which could potentially limit our competitive advantage. Ultimately, we could be prevented from commercializing a product or be forced to cease some aspect of our business operations if, as a result of actual or threatened patent infringement or other claims, we are unable to enter into licenses on acceptable terms. This inability to enter into licenses could harm our business significantly.</w:t>
      </w:r>
    </w:p>
    <w:p>
      <w:pPr>
        <w:spacing w:after="0" w:line="214"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193" w:lineRule="exact"/>
        <w:rPr>
          <w:sz w:val="20"/>
          <w:szCs w:val="20"/>
          <w:color w:val="auto"/>
        </w:rPr>
      </w:pPr>
    </w:p>
    <w:p>
      <w:pPr>
        <w:jc w:val="both"/>
        <w:ind w:right="20"/>
        <w:spacing w:after="0" w:line="345" w:lineRule="auto"/>
        <w:rPr>
          <w:sz w:val="20"/>
          <w:szCs w:val="20"/>
          <w:color w:val="auto"/>
        </w:rPr>
      </w:pPr>
      <w:r>
        <w:rPr>
          <w:rFonts w:ascii="Arial" w:cs="Arial" w:eastAsia="Arial" w:hAnsi="Arial"/>
          <w:sz w:val="17"/>
          <w:szCs w:val="17"/>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148"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any of our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39" w:name="page40"/>
    <w:bookmarkEnd w:id="39"/>
    <w:p>
      <w:pPr>
        <w:jc w:val="both"/>
        <w:ind w:firstLine="568"/>
        <w:spacing w:after="0" w:line="279" w:lineRule="auto"/>
        <w:rPr>
          <w:sz w:val="20"/>
          <w:szCs w:val="20"/>
          <w:color w:val="auto"/>
        </w:rPr>
      </w:pPr>
      <w:r>
        <w:rPr>
          <w:rFonts w:ascii="Arial" w:cs="Arial" w:eastAsia="Arial" w:hAnsi="Arial"/>
          <w:sz w:val="18"/>
          <w:szCs w:val="18"/>
          <w:color w:val="auto"/>
        </w:rPr>
        <w:t>Although we believe that we take reasonable steps to protect our intellectual property, including the use of agreements relating to the non-disclosure of confidential information to third parties, as well as agreements that purport to require the disclosure and assignment to us of the rights to the ideas, developments, discoveries and inventions of our employees and consultants while we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194" w:lineRule="exact"/>
        <w:rPr>
          <w:sz w:val="20"/>
          <w:szCs w:val="20"/>
          <w:color w:val="auto"/>
        </w:rPr>
      </w:pPr>
    </w:p>
    <w:p>
      <w:pPr>
        <w:ind w:left="740" w:hanging="426"/>
        <w:spacing w:after="0"/>
        <w:tabs>
          <w:tab w:leader="none" w:pos="7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these agreements may be breached;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these agreements may not provide adequate remedies for the applicable type of breach;</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our trade secrets or proprietary know-how will otherwise become known; or</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our competitors will independently develop similar technology or proprietary information.</w:t>
      </w:r>
    </w:p>
    <w:p>
      <w:pPr>
        <w:spacing w:after="0" w:line="247"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193" w:lineRule="exact"/>
        <w:rPr>
          <w:sz w:val="20"/>
          <w:szCs w:val="20"/>
          <w:color w:val="auto"/>
        </w:rPr>
      </w:pPr>
    </w:p>
    <w:p>
      <w:pPr>
        <w:jc w:val="both"/>
        <w:ind w:right="20" w:firstLine="568"/>
        <w:spacing w:after="0" w:line="264" w:lineRule="auto"/>
        <w:rPr>
          <w:sz w:val="20"/>
          <w:szCs w:val="20"/>
          <w:color w:val="auto"/>
        </w:rPr>
      </w:pPr>
      <w:r>
        <w:rPr>
          <w:rFonts w:ascii="Arial" w:cs="Arial" w:eastAsia="Arial" w:hAnsi="Arial"/>
          <w:sz w:val="19"/>
          <w:szCs w:val="19"/>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214"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193"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8"/>
          <w:szCs w:val="18"/>
          <w:color w:val="auto"/>
        </w:rPr>
        <w:t>In the United States, we have filed and may in the future file NDAs for our product candidates for approval under Section 505(b)(2) of the FDCA. Section 505(b)(2) permits the submission of an NDA where at least some of the information required for approval comes from studies that were not conducted by, or for, the applicant and on which the applicant has not obtained a right of reference. To date we have filed two NDAs for our products candidates under this section. In October 2020, we submitted an NDA for marketing approval for Twyneo, and in June 2020, we submitted an NDA for marketing approval for Epsolay. Both of these NDA’s have been accepted for filing by the FDA.</w:t>
      </w:r>
    </w:p>
    <w:p>
      <w:pPr>
        <w:spacing w:after="0" w:line="195" w:lineRule="exact"/>
        <w:rPr>
          <w:sz w:val="20"/>
          <w:szCs w:val="20"/>
          <w:color w:val="auto"/>
        </w:rPr>
      </w:pPr>
    </w:p>
    <w:p>
      <w:pPr>
        <w:jc w:val="both"/>
        <w:ind w:firstLine="568"/>
        <w:spacing w:after="0" w:line="298" w:lineRule="auto"/>
        <w:rPr>
          <w:sz w:val="20"/>
          <w:szCs w:val="20"/>
          <w:color w:val="auto"/>
        </w:rPr>
      </w:pPr>
      <w:r>
        <w:rPr>
          <w:rFonts w:ascii="Arial" w:cs="Arial" w:eastAsia="Arial" w:hAnsi="Arial"/>
          <w:sz w:val="17"/>
          <w:szCs w:val="17"/>
          <w:color w:val="auto"/>
        </w:rPr>
        <w:t>A 505(b)(2) application enables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Patent and Exclusivity Information Addendum of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 Applicants must also notify the holder of the approved NDA for any product referenced in the 505(b)(2) application, along with all patent owners, regarding submission of a paragraph IV certification with respect to applicable patents listed in the Orange Book.</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0" w:name="page41"/>
    <w:bookmarkEnd w:id="40"/>
    <w:p>
      <w:pPr>
        <w:jc w:val="both"/>
        <w:ind w:firstLine="568"/>
        <w:spacing w:after="0" w:line="295" w:lineRule="auto"/>
        <w:rPr>
          <w:sz w:val="20"/>
          <w:szCs w:val="20"/>
          <w:color w:val="auto"/>
        </w:rPr>
      </w:pPr>
      <w:r>
        <w:rPr>
          <w:rFonts w:ascii="Arial" w:cs="Arial" w:eastAsia="Arial" w:hAnsi="Arial"/>
          <w:sz w:val="17"/>
          <w:szCs w:val="17"/>
          <w:color w:val="auto"/>
        </w:rPr>
        <w:t>Under the Hatch-Waxman Act, the NDA holder and patent owner(s) may file a patent infringement lawsuit after receiving notice of the paragraph IV certification. Filing of a patent infringement lawsuit against the filer of the 505(b)(2) application within 45 days of the patent owner’s receipt of notice triggers a one-time, automatic, 30-month stay of the FDA’s ability to approve the 505(b)(2) NDA, unless patent litigation is resolved in the favor of the paragraph IV filer or the patent expires before that time. Accordingly, we may invest a significant amount of time and expense in the development of one or more product candidates only to be subject to significant delay and patent litigation before such product candidates may be commercialized, if at all. In addition, a 505(b)(2) application will not be approved until any non-patent exclusivity, such as exclusivity for obtaining approval of a new chemical entity, or NCE, listed in the Orange Book for the referenced product has expired. The FDA may also require us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to file such submissions under Section 505(b)(1) of the FDCA, which would require us to provide extensive data to establish safety and effectiveness of the drug for the proposed use and could cause delay and be considerably more expensive and time consuming. These factors, among others, may limit our ability to successfully commercialize our product candidates.</w:t>
      </w:r>
    </w:p>
    <w:p>
      <w:pPr>
        <w:spacing w:after="0" w:line="192" w:lineRule="exact"/>
        <w:rPr>
          <w:sz w:val="20"/>
          <w:szCs w:val="20"/>
          <w:color w:val="auto"/>
        </w:rPr>
      </w:pPr>
    </w:p>
    <w:p>
      <w:pPr>
        <w:jc w:val="both"/>
        <w:ind w:right="20" w:firstLine="568"/>
        <w:spacing w:after="0" w:line="308" w:lineRule="auto"/>
        <w:rPr>
          <w:sz w:val="20"/>
          <w:szCs w:val="20"/>
          <w:color w:val="auto"/>
        </w:rPr>
      </w:pPr>
      <w:r>
        <w:rPr>
          <w:rFonts w:ascii="Arial" w:cs="Arial" w:eastAsia="Arial" w:hAnsi="Arial"/>
          <w:sz w:val="17"/>
          <w:szCs w:val="17"/>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179"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would, unless we could obtain a license from the patent holder, be required to cease selling in that jurisdiction and may need to relinquish or destroy existing stock in that jurisdiction. There may also be situations where we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bioequivalent and, to a lesser extent, 505(b)(2), products, patented branded products generally realize a substantially higher profit margin than bioequivalent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Our Operations in Israel</w:t>
      </w:r>
    </w:p>
    <w:p>
      <w:pPr>
        <w:spacing w:after="0" w:line="261"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193" w:lineRule="exact"/>
        <w:rPr>
          <w:sz w:val="20"/>
          <w:szCs w:val="20"/>
          <w:color w:val="auto"/>
        </w:rPr>
      </w:pPr>
    </w:p>
    <w:p>
      <w:pPr>
        <w:jc w:val="both"/>
        <w:ind w:firstLine="568"/>
        <w:spacing w:after="0" w:line="277" w:lineRule="auto"/>
        <w:rPr>
          <w:sz w:val="20"/>
          <w:szCs w:val="20"/>
          <w:color w:val="auto"/>
        </w:rPr>
      </w:pPr>
      <w:r>
        <w:rPr>
          <w:rFonts w:ascii="Arial" w:cs="Arial" w:eastAsia="Arial" w:hAnsi="Arial"/>
          <w:sz w:val="18"/>
          <w:szCs w:val="18"/>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Since the establishment of the State of Israel in 1948, a number of armed conflicts have taken place between Israel and its Arab neighbors, including Hezbollah in Lebanon (and Syria) and Hamas in the Gaza Strip, both of which involved missile strikes in various parts of Israel causing the disruption of economic activities. Our principal offices are located within the range of rockets that could be fired from Lebanon, Syria or the Gaza Strip into Israel. In addition, Israel faces many threats from more distant neighbors, in particular, Iran. Parties with whom we do business have sometimes declined to travel to Israel during periods of heightened unrest or tension, forcing us to make alternative arrangements when necessary. In addition, the political and security situation in Israel may result in parties with whom we have agreements involving performance in Israel claiming that they are not obligated to perform their commitments under those agreements pursuant to force majeure provisions in such agreements. Any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1" w:name="page42"/>
    <w:bookmarkEnd w:id="41"/>
    <w:p>
      <w:pPr>
        <w:jc w:val="both"/>
        <w:ind w:firstLine="568"/>
        <w:spacing w:after="0" w:line="263" w:lineRule="auto"/>
        <w:rPr>
          <w:sz w:val="20"/>
          <w:szCs w:val="20"/>
          <w:color w:val="auto"/>
        </w:rPr>
      </w:pPr>
      <w:r>
        <w:rPr>
          <w:rFonts w:ascii="Arial" w:cs="Arial" w:eastAsia="Arial" w:hAnsi="Arial"/>
          <w:sz w:val="19"/>
          <w:szCs w:val="19"/>
          <w:color w:val="auto"/>
        </w:rPr>
        <w:t>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216"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213"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Exchange rate fluctuations between the U.S. dollar, the New Israeli Shekel and other foreign currencies, may negatively affect our future revenues.</w:t>
      </w:r>
    </w:p>
    <w:p>
      <w:pPr>
        <w:spacing w:after="0" w:line="193" w:lineRule="exact"/>
        <w:rPr>
          <w:sz w:val="20"/>
          <w:szCs w:val="20"/>
          <w:color w:val="auto"/>
        </w:rPr>
      </w:pPr>
    </w:p>
    <w:p>
      <w:pPr>
        <w:jc w:val="both"/>
        <w:ind w:firstLine="568"/>
        <w:spacing w:after="0" w:line="287" w:lineRule="auto"/>
        <w:rPr>
          <w:sz w:val="20"/>
          <w:szCs w:val="20"/>
          <w:color w:val="auto"/>
        </w:rPr>
      </w:pPr>
      <w:r>
        <w:rPr>
          <w:rFonts w:ascii="Arial" w:cs="Arial" w:eastAsia="Arial" w:hAnsi="Arial"/>
          <w:sz w:val="18"/>
          <w:szCs w:val="18"/>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Our operations may be affected by negative labor conditions in Israel.</w:t>
      </w:r>
    </w:p>
    <w:p>
      <w:pPr>
        <w:spacing w:after="0" w:line="255" w:lineRule="exact"/>
        <w:rPr>
          <w:sz w:val="20"/>
          <w:szCs w:val="20"/>
          <w:color w:val="auto"/>
        </w:rPr>
      </w:pPr>
    </w:p>
    <w:p>
      <w:pPr>
        <w:jc w:val="both"/>
        <w:ind w:firstLine="568"/>
        <w:spacing w:after="0" w:line="293" w:lineRule="auto"/>
        <w:rPr>
          <w:sz w:val="20"/>
          <w:szCs w:val="20"/>
          <w:color w:val="auto"/>
        </w:rPr>
      </w:pPr>
      <w:r>
        <w:rPr>
          <w:rFonts w:ascii="Arial" w:cs="Arial" w:eastAsia="Arial" w:hAnsi="Arial"/>
          <w:sz w:val="18"/>
          <w:szCs w:val="18"/>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188"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Our operations could be disrupted as a result of the obligation of our personnel to perform military service.</w:t>
      </w:r>
    </w:p>
    <w:p>
      <w:pPr>
        <w:spacing w:after="0" w:line="255"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Most of our executive officers and key employees reside in Israel and, although most of them are no longer required to perform reserve duty, some may be required to perform annual military 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2" w:name="page43"/>
    <w:bookmarkEnd w:id="42"/>
    <w:p>
      <w:pPr>
        <w:spacing w:after="0" w:line="284" w:lineRule="auto"/>
        <w:rPr>
          <w:sz w:val="20"/>
          <w:szCs w:val="20"/>
          <w:color w:val="auto"/>
        </w:rPr>
      </w:pPr>
      <w:r>
        <w:rPr>
          <w:rFonts w:ascii="Arial" w:cs="Arial" w:eastAsia="Arial" w:hAnsi="Arial"/>
          <w:sz w:val="19"/>
          <w:szCs w:val="19"/>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193" w:lineRule="exact"/>
        <w:rPr>
          <w:sz w:val="20"/>
          <w:szCs w:val="20"/>
          <w:color w:val="auto"/>
        </w:rPr>
      </w:pPr>
    </w:p>
    <w:p>
      <w:pPr>
        <w:ind w:right="100" w:firstLine="568"/>
        <w:spacing w:after="0" w:line="282" w:lineRule="auto"/>
        <w:rPr>
          <w:sz w:val="20"/>
          <w:szCs w:val="20"/>
          <w:color w:val="auto"/>
        </w:rPr>
      </w:pPr>
      <w:r>
        <w:rPr>
          <w:rFonts w:ascii="Arial" w:cs="Arial" w:eastAsia="Arial" w:hAnsi="Arial"/>
          <w:sz w:val="18"/>
          <w:szCs w:val="18"/>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196" w:lineRule="exact"/>
        <w:rPr>
          <w:sz w:val="20"/>
          <w:szCs w:val="20"/>
          <w:color w:val="auto"/>
        </w:rPr>
      </w:pPr>
    </w:p>
    <w:p>
      <w:pPr>
        <w:jc w:val="both"/>
        <w:ind w:right="20"/>
        <w:spacing w:after="0" w:line="345" w:lineRule="auto"/>
        <w:rPr>
          <w:sz w:val="20"/>
          <w:szCs w:val="20"/>
          <w:color w:val="auto"/>
        </w:rPr>
      </w:pPr>
      <w:r>
        <w:rPr>
          <w:rFonts w:ascii="Arial" w:cs="Arial" w:eastAsia="Arial" w:hAnsi="Arial"/>
          <w:sz w:val="17"/>
          <w:szCs w:val="17"/>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w:t>
      </w:r>
    </w:p>
    <w:p>
      <w:pPr>
        <w:spacing w:after="0" w:line="148" w:lineRule="exact"/>
        <w:rPr>
          <w:sz w:val="20"/>
          <w:szCs w:val="20"/>
          <w:color w:val="auto"/>
        </w:rPr>
      </w:pPr>
    </w:p>
    <w:p>
      <w:pPr>
        <w:jc w:val="both"/>
        <w:ind w:firstLine="568"/>
        <w:spacing w:after="0" w:line="293" w:lineRule="auto"/>
        <w:rPr>
          <w:sz w:val="20"/>
          <w:szCs w:val="20"/>
          <w:color w:val="auto"/>
        </w:rPr>
      </w:pPr>
      <w:r>
        <w:rPr>
          <w:rFonts w:ascii="Arial" w:cs="Arial" w:eastAsia="Arial" w:hAnsi="Arial"/>
          <w:sz w:val="17"/>
          <w:szCs w:val="17"/>
          <w:color w:val="auto"/>
        </w:rPr>
        <w:t>We have received royalty-bearing grants from the government of Israel through the National Authority for Technological Innovation, or the Israel Innovation Authority, also known as the IIA (formerly known as the Office of the Chief Scientist of the Ministry of Economy and Industry, or the OCS), for the financing of a portion of our research and development expenditures in Israel. These IIA grants relate to a peripheral line of product candidates which forms a negligible part of our activities. We are required to pay the IIA royalties from the revenues generated from the sale of products (and related services) or services developed (in all or in part) according to, or as a result of, a research and development program funded by the IIA (at rates which are determined under the Encouragement of Research, Development and Technological Innovation in the Industry Law 5744-1984, or the Innovation Law, and related rules and regulations), up to the aggregate amount of the total grants received by the IIA, plus annual interest at an annual rate based on LIBOR. When know-how is developed using IIA grants, the Innovation Law, the IIA’s rules and guidelines as well as the terms of these grants, restrict our ability to manufacture product candidates and transfer know-how developed as a result of the IIA’s funded R&amp;D outside of Israel. Transfer of the IIA funded know-how outside of Israel where the transferring company remains an operating Israeli entity or where the transferring company ceases to exist as an Israeli entity, requires pre-approval by the IIA, which may, at its sole discretion, grant such approval and impose certain conditions, including payment of a redemption fee calculated according to the formulas provided in the IIA’s rules and guidelines, or Redemption Fee, which takes into account the consideration for such know-how paid to the transferring company in the transaction in which the know-how is transferred. The IIA’s rules and guidelines establish a maximum payment of the Redemption Fee under the formulas provided in the IIA’s rules and guidelines and differentiates between certain situations, as further detailed in such rules and guidelines (while in any event the Redemption Fee will not exceed six times the grants received). In addition, the product candidates may be manufactured outside of Israel by us or by another entity only if prior approval is received from the IIA (such approval is not required for the transfer of less than 10% of the manufacturing capacity in the aggregate). In addition to the obligation to receive prior approval to manufacture outside Israel, in general, a company that transfers manufacturing rights abroad will be required to pay royalties at an accelerated rate and will be required to pay increased royalties, as defined under the IIA’s rules and guidelines. The total amount of the increased royalties to be repaid to the IIA shall not exceed, in the aggregate, 300% of the amount of the grant received (dollar linked), plus interest at annual rate based on LIBOR, depending on the manufacturing volume that is performed outside Israel less royalties already paid to the IIA.</w:t>
      </w:r>
    </w:p>
    <w:p>
      <w:pPr>
        <w:spacing w:after="0" w:line="190"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A company also has the option of declaring in its IIA grant application its intention to exercise a portion of the manufacturing capacity abroad, thus avoiding the need to obtain additional approval following the receipt of the grant and avoiding the need to pay increased royalties to the IIA.</w:t>
      </w:r>
    </w:p>
    <w:p>
      <w:pPr>
        <w:spacing w:after="0" w:line="206"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The IIA has published certain rules and guidelines with respect to the grant to a foreign entity of the right to use know-how that was developed using the IIA’s grants, or Funded Know-How. According to these rules, the grant to a foreign entity of a right to use the Funded Know-How (which does not entirely prevent the IIA funded company from using the Funded Know-How) is subject to receipt of the IIA’s prior approval. This approval is subject to payment to the IIA in accordance with the formulas stipulated in these rules.</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3" w:name="page44"/>
    <w:bookmarkEnd w:id="43"/>
    <w:p>
      <w:pPr>
        <w:jc w:val="both"/>
        <w:ind w:firstLine="568"/>
        <w:spacing w:after="0" w:line="267" w:lineRule="auto"/>
        <w:rPr>
          <w:sz w:val="20"/>
          <w:szCs w:val="20"/>
          <w:color w:val="auto"/>
        </w:rPr>
      </w:pPr>
      <w:r>
        <w:rPr>
          <w:rFonts w:ascii="Arial" w:cs="Arial" w:eastAsia="Arial" w:hAnsi="Arial"/>
          <w:sz w:val="19"/>
          <w:szCs w:val="19"/>
          <w:color w:val="auto"/>
        </w:rPr>
        <w:t>The abovementioned rules include a mechanism with respect to the grant of a license by a company (which is part of a multinational corporation) that received grants from the IIA to its group entities to use its funded Know-How. Such license is subject to the IIA’s prior approval and to the payment of 5% royalties from the income deriving from such license. Such mechanism includes certain restrictions which must be met in order to be able to enjoy such lower royalty payment.</w:t>
      </w:r>
    </w:p>
    <w:p>
      <w:pPr>
        <w:spacing w:after="0" w:line="210"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Subject to prior consent of the IIA, we may transfer Funded Know-How to another Israeli company, provided that the acquiring company assumes all of our responsibilities toward the IIA. In addition, such transfer will not be subject to the payment of the Redemption Fee, but there will be an obligation to pay royalties to the IIA from the income of such sale transaction as part of the royalty payment obligation.</w:t>
      </w:r>
    </w:p>
    <w:p>
      <w:pPr>
        <w:spacing w:after="0" w:line="169"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The restrictions under the IIA’s rules and guidelines continue to apply even after payment of the full amount of royalties payable pursuant to the grants. In addition, the government of the State of Israel may from time to time audit sales of products which it claims incorporate Funded Know-How and this may lead to additional royalties being payable on additional product candidates. Following an audit conducted by the IIA, the IIA confirmed to us that products based on encapsulation technology of solid material are exempt from royalty payment obligations to the IIA. Our product candidates Twyneo® and Epsolay® fall within the category of products based on encapsulation technology of solid material. However, there can be no guarantee that the IIA will not in the future attempt to claim royalties with respect to these products, or that future products will not be subject to royalties.</w:t>
      </w:r>
    </w:p>
    <w:p>
      <w:pPr>
        <w:spacing w:after="0" w:line="216"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These restrictions may impair our ability to enter into agreements for Funded Know-How product candidates or technologies without the approval of the IIA. We cannot be certain that any approval of the IIA will be obtained on terms that are acceptable to us, or at all. Furthermore, in the event that we undertake a transaction involving the transfer to a non-Israeli entity of Funded Know-How pursuant to a merger or similar transaction, or in the event we undertake a transaction involving the licensing of Funded Know-How, the consideration available to our shareholders may be reduced by the amounts we are required to pay to the IIA. Any approval, if given, will generally be subject to additional financial obligations. Failure to comply with the requirements under the IIA’s rules and guidelines and the Innovation Law may subject us to financial sanctions, to mandatory repayment of grants received by us (together with interest and penalties), as well as expose us to criminal proceedings.</w:t>
      </w:r>
    </w:p>
    <w:p>
      <w:pPr>
        <w:spacing w:after="0" w:line="188"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 xml:space="preserve">In August 2015, an amendment to the Innovation Law was enacted, or Amendment No. 7, which came into effect on January 1, 2016. Since Amendment No. 7 has entered into force, the IIA was appointed to act as the entity which is responsible for the activity which was previously under the OCS’ responsibility. The IIA was granted wide freedom of action, and among other things, the authority to amend the requirements and restrictions which were specified in the Innovation Law before Amendment No. 7 became effective with respect to the ownership of Funded Know-How (including with respect to the restrictions on transfer of the Funded Know-How and manufacturing activities outside of Israel) as well as with respect to royalty payment obligations which apply to companies that received grants from the IIA. The IIA published rules for the most part adopted the principal provisions and restrictions specified in the Innovation Law prior to the effectiveness of Amendment No. 7. See “Item 4. Information on the Company – B. Business Overview — Government Regulation — </w:t>
      </w:r>
      <w:r>
        <w:rPr>
          <w:rFonts w:ascii="Arial" w:cs="Arial" w:eastAsia="Arial" w:hAnsi="Arial"/>
          <w:sz w:val="18"/>
          <w:szCs w:val="18"/>
          <w:i w:val="1"/>
          <w:iCs w:val="1"/>
          <w:color w:val="auto"/>
        </w:rPr>
        <w:t>IIA</w:t>
      </w:r>
      <w:r>
        <w:rPr>
          <w:rFonts w:ascii="Arial" w:cs="Arial" w:eastAsia="Arial" w:hAnsi="Arial"/>
          <w:sz w:val="18"/>
          <w:szCs w:val="18"/>
          <w:color w:val="auto"/>
        </w:rPr>
        <w:t>.”</w:t>
      </w:r>
    </w:p>
    <w:p>
      <w:pPr>
        <w:spacing w:after="0" w:line="204"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Enforcing a U.S. judgment against us and our current executive officers and directors, or asserting U.S. securities law claims in Israel, may be difficult.</w:t>
      </w:r>
    </w:p>
    <w:p>
      <w:pPr>
        <w:spacing w:after="0" w:line="19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We are incorporated in Israel. All of our current executive officers and directors reside in Israel (other than two of our directors and one of our executive officers who reside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195"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4" w:name="page45"/>
    <w:bookmarkEnd w:id="44"/>
    <w:p>
      <w:pPr>
        <w:jc w:val="both"/>
        <w:ind w:right="20"/>
        <w:spacing w:after="0" w:line="313" w:lineRule="auto"/>
        <w:rPr>
          <w:sz w:val="20"/>
          <w:szCs w:val="20"/>
          <w:color w:val="auto"/>
        </w:rPr>
      </w:pPr>
      <w:r>
        <w:rPr>
          <w:rFonts w:ascii="Arial" w:cs="Arial" w:eastAsia="Arial" w:hAnsi="Arial"/>
          <w:sz w:val="18"/>
          <w:szCs w:val="18"/>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170"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210" w:lineRule="exact"/>
        <w:rPr>
          <w:sz w:val="20"/>
          <w:szCs w:val="20"/>
          <w:color w:val="auto"/>
        </w:rPr>
      </w:pPr>
    </w:p>
    <w:p>
      <w:pPr>
        <w:jc w:val="both"/>
        <w:ind w:right="20" w:firstLine="568"/>
        <w:spacing w:after="0" w:line="313" w:lineRule="auto"/>
        <w:rPr>
          <w:sz w:val="20"/>
          <w:szCs w:val="20"/>
          <w:color w:val="auto"/>
        </w:rPr>
      </w:pPr>
      <w:r>
        <w:rPr>
          <w:rFonts w:ascii="Arial" w:cs="Arial" w:eastAsia="Arial" w:hAnsi="Arial"/>
          <w:sz w:val="18"/>
          <w:szCs w:val="18"/>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170"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pacing w:after="0" w:line="202"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193"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We have entered into assignment of invention agreements with our employees pursuant to which such individuals agree to assign to us all rights to any inventions created during and as a result of their employment or engagement with us. A significant portion of our intellectual property has been developed by our employees in the course of their employment for us. Under the Israeli Patents Law, 5727-1967, or the Patents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Patents Law also provides that if there is no agreement between an employer and an employee with respect to the employee’s right to receive compensation for such “service inventions,” the Israeli Compensation and Royalties Committee, or the Committee, a body constituted under the Patents Law, shall determine whether the employee is entitled to remuneration for service inventions developed by such employee and the scope and conditions for such remuneration. Although our employees have agreed to assign to us service invention rights and have waived their right to receive remuneration for their service inventions,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188"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The government tax benefits that we currently are entitled to receive require us to meet several conditions and may be terminated or reduced in the future.</w:t>
      </w:r>
    </w:p>
    <w:p>
      <w:pPr>
        <w:spacing w:after="0" w:line="193"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Some of our operations in Israel may entitle us to certain tax benefits under the Law for the Encouragement of Capital Investments, 5719-1959, or the Investment Law, once we begin to produce revenues. If we do not meet the requirements for maintaining these benefits, they may be reduced or cancelled and the relevant operations would be subject to Israeli corporate tax at the standard rate, which is set at 23% in 2020.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“Item 10. Additional Information — Israeli Tax Considerations and Government Programs — Tax Benefits Under the 2011 Amendment” for additional information concerning these tax benefits.</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5" w:name="page46"/>
    <w:bookmarkEnd w:id="45"/>
    <w:p>
      <w:pPr>
        <w:jc w:val="both"/>
        <w:spacing w:after="0" w:line="284" w:lineRule="auto"/>
        <w:rPr>
          <w:sz w:val="20"/>
          <w:szCs w:val="20"/>
          <w:color w:val="auto"/>
        </w:rPr>
      </w:pPr>
      <w:r>
        <w:rPr>
          <w:rFonts w:ascii="Arial" w:cs="Arial" w:eastAsia="Arial" w:hAnsi="Arial"/>
          <w:sz w:val="19"/>
          <w:szCs w:val="19"/>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193"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Employee Matters</w:t>
      </w:r>
    </w:p>
    <w:p>
      <w:pPr>
        <w:spacing w:after="0" w:line="261"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193"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 employ qualified individuals in the technical fields in which we operate, and we may not be able to attract and retain the qualified personnel necessary for the successful development and commercialization of our product candidates.</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Under applicable employment laws, we may not be able to enforce covenants not to compete.</w:t>
      </w:r>
    </w:p>
    <w:p>
      <w:pPr>
        <w:spacing w:after="0" w:line="255"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 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6" w:name="page47"/>
    <w:bookmarkEnd w:id="46"/>
    <w:p>
      <w:pPr>
        <w:spacing w:after="0"/>
        <w:rPr>
          <w:sz w:val="20"/>
          <w:szCs w:val="20"/>
          <w:color w:val="auto"/>
        </w:rPr>
      </w:pPr>
      <w:r>
        <w:rPr>
          <w:rFonts w:ascii="Arial" w:cs="Arial" w:eastAsia="Arial" w:hAnsi="Arial"/>
          <w:sz w:val="19"/>
          <w:szCs w:val="19"/>
          <w:b w:val="1"/>
          <w:bCs w:val="1"/>
          <w:color w:val="auto"/>
        </w:rPr>
        <w:t>Risks Related to Our Ordinary Shares</w:t>
      </w:r>
    </w:p>
    <w:p>
      <w:pPr>
        <w:spacing w:after="0" w:line="261" w:lineRule="exact"/>
        <w:rPr>
          <w:sz w:val="20"/>
          <w:szCs w:val="20"/>
          <w:color w:val="auto"/>
        </w:rPr>
      </w:pPr>
    </w:p>
    <w:p>
      <w:pPr>
        <w:jc w:val="both"/>
        <w:ind w:right="20"/>
        <w:spacing w:after="0" w:line="345" w:lineRule="auto"/>
        <w:rPr>
          <w:sz w:val="20"/>
          <w:szCs w:val="20"/>
          <w:color w:val="auto"/>
        </w:rPr>
      </w:pPr>
      <w:r>
        <w:rPr>
          <w:rFonts w:ascii="Arial" w:cs="Arial" w:eastAsia="Arial" w:hAnsi="Arial"/>
          <w:sz w:val="17"/>
          <w:szCs w:val="17"/>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148"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Arkin Dermatology is currently our controlling shareholder. As of February 26, 2020, Arkin Dermatology beneficially owned approximately 62.75% of the voting power of our outstanding ordinary shares. Therefore, Arkin Dermatology has the ability to substantially influence us and exert significant control through this ownership position. For example, Arkin Dermatology is able to control elections of directors, amendments of our organizational documents, and approval of any merger, amalgamation, sale of assets or other major corporate transaction. 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188"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We are a “controlled company” within the meaning of Nasdaq listing standards and, as a result, will qualify for, and intend to rely on, exemptions from certain corporate governance requirements.</w:t>
      </w:r>
    </w:p>
    <w:p>
      <w:pPr>
        <w:spacing w:after="0" w:line="193"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As a result of the number of shares owned by Arkin Dermatology, we are a “controlled company” under the Nasdaq corporate governance rules. A “controlled company” is a company of which more than 50% of the voting power is held by an individual, group or another company. Pursuant to the “controlled company” exemption, we are not required to, and may not in the future comply with the requirement that a majority of our board of directors consist of independent directors, and we are not required to, and do not intend to comply with the requirement that we have a nominating committee composed entirely of independent directors with a written charter addressing such committee’s purpose and responsibilities. A majority of our board of directors currently consists of independent directors. See “Item 16G. Corporate Governance—Controlled Company.” Accordingly, you do not have the same protections afforded to shareholders of companies that are subject to all of the corporate governance requirements of the Nasdaq Global Market.</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The market price of our ordinary shares could be negatively affected by future sales of our ordinary shares.</w:t>
      </w:r>
    </w:p>
    <w:p>
      <w:pPr>
        <w:spacing w:after="0" w:line="255"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As of February 26, 2021, there were 23,000,782 ordinary shares outstanding. Future sales by us or our shareholders of a substantial number of our ordinary shares in the public market,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listed for trading are freely transferable, except for any shares held by our “affiliates,” as that term is defined in Rule 144 under the Securities Act of 1933, as amended, or the Securities Act.</w:t>
      </w:r>
    </w:p>
    <w:p>
      <w:pPr>
        <w:spacing w:after="0" w:line="19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In addition, we have filed a registration statement on Form S-8 with the Securities and Exchange Commission, or the SEC, covering all of the ordinary shares issuable under our 2014 Share Incentive Plan, and we intend to filed one or more registration statements on Form S-8 covering all of the ordinary shares issuable under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214"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47" w:name="page48"/>
    <w:bookmarkEnd w:id="47"/>
    <w:p>
      <w:pPr>
        <w:jc w:val="both"/>
        <w:ind w:firstLine="568"/>
        <w:spacing w:after="0" w:line="318" w:lineRule="auto"/>
        <w:rPr>
          <w:sz w:val="20"/>
          <w:szCs w:val="20"/>
          <w:color w:val="auto"/>
        </w:rPr>
      </w:pPr>
      <w:r>
        <w:rPr>
          <w:rFonts w:ascii="Arial" w:cs="Arial" w:eastAsia="Arial" w:hAnsi="Arial"/>
          <w:sz w:val="17"/>
          <w:szCs w:val="17"/>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169" w:lineRule="exact"/>
        <w:rPr>
          <w:sz w:val="20"/>
          <w:szCs w:val="20"/>
          <w:color w:val="auto"/>
        </w:rPr>
      </w:pPr>
    </w:p>
    <w:p>
      <w:pPr>
        <w:jc w:val="both"/>
        <w:ind w:firstLine="568"/>
        <w:spacing w:after="0" w:line="318" w:lineRule="auto"/>
        <w:rPr>
          <w:sz w:val="20"/>
          <w:szCs w:val="20"/>
          <w:color w:val="auto"/>
        </w:rPr>
      </w:pPr>
      <w:r>
        <w:rPr>
          <w:rFonts w:ascii="Arial" w:cs="Arial" w:eastAsia="Arial" w:hAnsi="Arial"/>
          <w:sz w:val="17"/>
          <w:szCs w:val="17"/>
          <w:color w:val="auto"/>
        </w:rPr>
        <w:t>Arkin Dermatology, our controlling shareholder, as holder of 14,432,266 of our ordinary shares as of February 26, 2021, is entitled to require that we register under the Securities Act the resale of these shares into the public markets. All shares sold pursuant to an offering covered by such registration statement will be freely transferable. See “Item 7.B — Related Party Transactions — Registration Rights Agreement”.</w:t>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have broad discretion as to the use of the net proceeds from our public offerings and may not use them effectively.</w:t>
      </w:r>
    </w:p>
    <w:p>
      <w:pPr>
        <w:spacing w:after="0" w:line="25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We intend to use the remaining net proceeds from our public offerings in August 2019 and February 2020 (and concurrent private placement with our controlling shareholder, Arkin Dermatology) to fund pre-commercialization and launch activities for Epsolay and Twyneo and fund development activities for our other branded product candidates. The remaining proceeds will be used for other research and development activities, including the development of our generic product candidates, as well as for working capital and general corporate purposes. However, our management has broad discretion in the application of the net proceeds. Our shareholders may not agree with the manner in which our management chooses to allocate the net proceeds from our initial public offering. The failure by our management to apply these funds effectively could have a material adverse effect on our business, financial condition and results of operation. Pending their use, we may invest the net proceeds from our initial public offering in a manner that does not produce income.</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do not intend to pay dividends on our ordinary shares for at least the next several years.</w:t>
      </w:r>
    </w:p>
    <w:p>
      <w:pPr>
        <w:spacing w:after="0" w:line="255"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We do not anticipate paying any cash dividends on our ordinary shares for at least the next several years.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“Item 8. Financial Information – A. Financial Statements and Other Financial Information – Dividend Policy.”</w:t>
      </w:r>
    </w:p>
    <w:p>
      <w:pPr>
        <w:spacing w:after="0" w:line="213"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193"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201" w:lineRule="exact"/>
        <w:rPr>
          <w:sz w:val="20"/>
          <w:szCs w:val="20"/>
          <w:color w:val="auto"/>
        </w:rPr>
      </w:pPr>
    </w:p>
    <w:p>
      <w:pPr>
        <w:jc w:val="both"/>
        <w:ind w:left="740" w:hanging="426"/>
        <w:spacing w:after="0" w:line="257" w:lineRule="auto"/>
        <w:tabs>
          <w:tab w:leader="none" w:pos="7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we established a quorum requirement such that the quorum for any meeting of shareholders is two or more shareholders holding at least 33 1⁄3% of our voting rights, which complies with Nasdaq requirements; however, if the meeting is adjourned for lack of quorum, the quorum for such adjourned meeting will be any number of shareholders, instead of 33 1⁄3% of our voting rights;</w:t>
      </w:r>
    </w:p>
    <w:p>
      <w:pPr>
        <w:spacing w:after="0" w:line="213" w:lineRule="exact"/>
        <w:rPr>
          <w:rFonts w:ascii="Arial" w:cs="Arial" w:eastAsia="Arial" w:hAnsi="Arial"/>
          <w:sz w:val="16"/>
          <w:szCs w:val="16"/>
          <w:color w:val="auto"/>
        </w:rPr>
      </w:pPr>
    </w:p>
    <w:p>
      <w:pPr>
        <w:jc w:val="both"/>
        <w:ind w:left="740" w:hanging="426"/>
        <w:spacing w:after="0" w:line="253" w:lineRule="auto"/>
        <w:tabs>
          <w:tab w:leader="none" w:pos="7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48" w:name="page49"/>
    <w:bookmarkEnd w:id="48"/>
    <w:p>
      <w:pPr>
        <w:jc w:val="both"/>
        <w:ind w:left="740" w:hanging="426"/>
        <w:spacing w:after="0" w:line="282" w:lineRule="auto"/>
        <w:tabs>
          <w:tab w:leader="none" w:pos="740" w:val="left"/>
        </w:tabs>
        <w:numPr>
          <w:ilvl w:val="0"/>
          <w:numId w:val="36"/>
        </w:numPr>
        <w:rPr>
          <w:rFonts w:ascii="Arial" w:cs="Arial" w:eastAsia="Arial" w:hAnsi="Arial"/>
          <w:sz w:val="15"/>
          <w:szCs w:val="15"/>
          <w:color w:val="auto"/>
        </w:rPr>
      </w:pPr>
      <w:r>
        <w:rPr>
          <w:rFonts w:ascii="Arial" w:cs="Arial" w:eastAsia="Arial" w:hAnsi="Arial"/>
          <w:sz w:val="15"/>
          <w:szCs w:val="15"/>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196" w:lineRule="exact"/>
        <w:rPr>
          <w:rFonts w:ascii="Arial" w:cs="Arial" w:eastAsia="Arial" w:hAnsi="Arial"/>
          <w:sz w:val="15"/>
          <w:szCs w:val="15"/>
          <w:color w:val="auto"/>
        </w:rPr>
      </w:pPr>
    </w:p>
    <w:p>
      <w:pPr>
        <w:jc w:val="both"/>
        <w:ind w:left="740" w:hanging="426"/>
        <w:spacing w:after="0" w:line="311" w:lineRule="auto"/>
        <w:tabs>
          <w:tab w:leader="none" w:pos="740" w:val="left"/>
        </w:tabs>
        <w:numPr>
          <w:ilvl w:val="0"/>
          <w:numId w:val="36"/>
        </w:numPr>
        <w:rPr>
          <w:rFonts w:ascii="Arial" w:cs="Arial" w:eastAsia="Arial" w:hAnsi="Arial"/>
          <w:sz w:val="14"/>
          <w:szCs w:val="14"/>
          <w:color w:val="auto"/>
        </w:rPr>
      </w:pPr>
      <w:r>
        <w:rPr>
          <w:rFonts w:ascii="Arial" w:cs="Arial" w:eastAsia="Arial" w:hAnsi="Arial"/>
          <w:sz w:val="14"/>
          <w:szCs w:val="14"/>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184"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“Item 16G. Corporate Governance – Controlled Company".</w:t>
      </w:r>
    </w:p>
    <w:p>
      <w:pPr>
        <w:spacing w:after="0" w:line="213"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In addition, as a foreign private issuer, we are exempted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are exempted from the reporting and short-swing profit recovery provisions contained in Section 16 of the Exchange Act. In addition, we are not required under the Exchange Act to file annual, quarterly and current reports and financial statements with the SEC as frequently or as promptly as domestic companies whose securities are registered under the Exchange Act.</w:t>
      </w:r>
    </w:p>
    <w:p>
      <w:pPr>
        <w:spacing w:after="0" w:line="181"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193"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196"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We are an “emerging growth company” and the reduced disclosure requirements applicable to emerging growth companies may make our ordinary shares less attractive to investors.</w:t>
      </w:r>
    </w:p>
    <w:p>
      <w:pPr>
        <w:spacing w:after="0" w:line="193"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We are an “emerging growth company,” as defined in the JOBS Act, and we may take advantage of certain exemptions from various requirements that are applicable to other public 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our initial public offering. We will remain an emerging growth company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49" w:name="page50"/>
    <w:bookmarkEnd w:id="49"/>
    <w:p>
      <w:pPr>
        <w:jc w:val="both"/>
        <w:spacing w:after="0" w:line="382" w:lineRule="auto"/>
        <w:rPr>
          <w:sz w:val="20"/>
          <w:szCs w:val="20"/>
          <w:color w:val="auto"/>
        </w:rPr>
      </w:pPr>
      <w:r>
        <w:rPr>
          <w:rFonts w:ascii="Arial" w:cs="Arial" w:eastAsia="Arial" w:hAnsi="Arial"/>
          <w:sz w:val="16"/>
          <w:szCs w:val="16"/>
          <w:b w:val="1"/>
          <w:bCs w:val="1"/>
          <w:i w:val="1"/>
          <w:iCs w:val="1"/>
          <w:color w:val="auto"/>
        </w:rPr>
        <w:t>We may be considered to be a passive foreign investment company for U.S. federal income tax purposes for the current tax year and possibly thereafter, which could result in materially adverse U.S. federal income tax consequences to U.S. Holders of our ordinary shares or warrants.</w:t>
      </w:r>
    </w:p>
    <w:p>
      <w:pPr>
        <w:spacing w:after="0" w:line="124" w:lineRule="exact"/>
        <w:rPr>
          <w:sz w:val="20"/>
          <w:szCs w:val="20"/>
          <w:color w:val="auto"/>
        </w:rPr>
      </w:pPr>
    </w:p>
    <w:p>
      <w:pPr>
        <w:jc w:val="both"/>
        <w:ind w:right="20" w:firstLine="568"/>
        <w:spacing w:after="0" w:line="277" w:lineRule="auto"/>
        <w:rPr>
          <w:sz w:val="20"/>
          <w:szCs w:val="20"/>
          <w:color w:val="auto"/>
        </w:rPr>
      </w:pPr>
      <w:r>
        <w:rPr>
          <w:rFonts w:ascii="Arial" w:cs="Arial" w:eastAsia="Arial" w:hAnsi="Arial"/>
          <w:sz w:val="18"/>
          <w:szCs w:val="18"/>
          <w:color w:val="auto"/>
        </w:rPr>
        <w:t>A non-U.S. entity treated as a corporation for U.S. federal income tax purposes will be a passive foreign investment company, or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Starting in the first quarter of 2019, we began generating revenue under our collaboration agreement with Perrigo for the development of the generic version of Zovirax® (acyclovir) cream, 5%. We generated $8.7 million in revenue under this agreement for our 2020 taxable year, but expect to generate substantially less in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208"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other ambiguities in applying the PFIC test to us. If we are considered a PFIC, material adverse U.S. federal income tax consequences could apply to U.S. Holders (as defined in “Item 10. Additional Information – E. Taxation – U.S. Federal Income Tax Considerations with respect to the Company”) of our ordinary shares or warrants with respect to any “excess distribution” received from us and any gain from a sale or other disposition of our ordinary shares or warrants. Please see “Item 10. Additional Information – E. Taxation – U.S. Federal Income Tax Considerations with respect to the Company.”</w:t>
      </w:r>
    </w:p>
    <w:p>
      <w:pPr>
        <w:spacing w:after="0" w:line="188"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If a United States person is treated as owning at least 10% of our ordinary shares, such holder may be subject to adverse U.S. federal income tax consequences.</w:t>
      </w:r>
    </w:p>
    <w:p>
      <w:pPr>
        <w:spacing w:after="0" w:line="193" w:lineRule="exact"/>
        <w:rPr>
          <w:sz w:val="20"/>
          <w:szCs w:val="20"/>
          <w:color w:val="auto"/>
        </w:rPr>
      </w:pPr>
    </w:p>
    <w:p>
      <w:pPr>
        <w:jc w:val="both"/>
        <w:ind w:firstLine="568"/>
        <w:spacing w:after="0" w:line="277" w:lineRule="auto"/>
        <w:rPr>
          <w:sz w:val="20"/>
          <w:szCs w:val="20"/>
          <w:color w:val="auto"/>
        </w:rPr>
      </w:pPr>
      <w:r>
        <w:rPr>
          <w:rFonts w:ascii="Arial" w:cs="Arial" w:eastAsia="Arial" w:hAnsi="Arial"/>
          <w:sz w:val="18"/>
          <w:szCs w:val="18"/>
          <w:color w:val="auto"/>
        </w:rPr>
        <w:t>If a United States person is treated as owning (directly, indirectly or constructively) at least 10% of the value or voting power of our ordinary shares, such person may be treated as a “United States shareholder” with respect to each “controlled foreign corporation” in our group (if any). If our group includes one or more U.S. subsidiaries, under recently-enacted rules, certain of our non-U.S. subsidiaries could be treated as controlled foreign corporations regardless of whether we are not treated as a controlled foreign corporation (although there is currently a pending legislative proposal to significantly limit the application of these rules). A United States shareholder of a controlled foreign corporation may be required to report annually and include in its U.S. taxable income its pro rata share of “Subpart F income,” “global intangible low-taxed income” and investments in U.S. property by controlled foreign corporations, regardless of whether we make any distributions. An individual that is a United States shareholder with respect to a controlled foreign corporation generally would not be allowed certain tax deductions or foreign tax credits that would be allowed to a United States shareholder that is a U.S. corporation. Failure to comply with these reporting obligations may subject you to significant monetary penalties and may prevent the statute of limitations with respect to your U.S. federal income tax return for the year for which reporting was due from starting. We cannot provide any assurances that we will assist investors in determining whether any of our non-U.S. subsidiaries are treated as a controlled foreign corporation or whether such investor is treated as a United States shareholder with respect to any of such controlled foreign corporations or furnish to any United States shareholders information that may be necessary to comply with the aforementioned reporting and tax paying obligations. A United States investor should consult its advisors regarding the potential application of these rules to an investment in the ordinary shares.</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50" w:name="page51"/>
    <w:bookmarkEnd w:id="50"/>
    <w:p>
      <w:pPr>
        <w:spacing w:after="0"/>
        <w:rPr>
          <w:sz w:val="20"/>
          <w:szCs w:val="20"/>
          <w:color w:val="auto"/>
        </w:rPr>
      </w:pPr>
      <w:r>
        <w:rPr>
          <w:rFonts w:ascii="Arial" w:cs="Arial" w:eastAsia="Arial" w:hAnsi="Arial"/>
          <w:sz w:val="19"/>
          <w:szCs w:val="19"/>
          <w:b w:val="1"/>
          <w:bCs w:val="1"/>
          <w:color w:val="auto"/>
        </w:rPr>
        <w:t>General Risk Factors</w:t>
      </w:r>
    </w:p>
    <w:p>
      <w:pPr>
        <w:spacing w:after="0" w:line="26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and operations would suffer in the event of computer system failures, cyber-attacks or deficiencies in our cyber-security.</w:t>
      </w:r>
    </w:p>
    <w:p>
      <w:pPr>
        <w:spacing w:after="0" w:line="278"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If such an event were to occur and cause interruptions in our operations,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19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may incur substantial expenses as a result of the limited nature of our disaster recovery and business continuity plan.</w:t>
      </w:r>
    </w:p>
    <w:p>
      <w:pPr>
        <w:spacing w:after="0" w:line="255" w:lineRule="exact"/>
        <w:rPr>
          <w:sz w:val="20"/>
          <w:szCs w:val="20"/>
          <w:color w:val="auto"/>
        </w:rPr>
      </w:pPr>
    </w:p>
    <w:p>
      <w:pPr>
        <w:jc w:val="both"/>
        <w:ind w:right="20" w:firstLine="568"/>
        <w:spacing w:after="0" w:line="264" w:lineRule="auto"/>
        <w:rPr>
          <w:sz w:val="20"/>
          <w:szCs w:val="20"/>
          <w:color w:val="auto"/>
        </w:rPr>
      </w:pPr>
      <w:r>
        <w:rPr>
          <w:rFonts w:ascii="Arial" w:cs="Arial" w:eastAsia="Arial" w:hAnsi="Arial"/>
          <w:sz w:val="19"/>
          <w:szCs w:val="19"/>
          <w:color w:val="auto"/>
        </w:rPr>
        <w:t>We have implemented a business continuity plan to prevent the collapse of critical business processes to a large extent or to enable the resumption of critical business processes in case a natural disaster, public health emergency, such as the global pandemic of Novel Coronavirus Disease 2019, or COVID-19, or other serious event occurs. However, depending on the severity of the situation, it may be difficult or in certain cases impossible for us to continue our business for a significant period of time. Our contingency plans for disaster recovery and business continuity may prove inadequate in the event of a serious disaster or similar event and we may incur substantial costs that could have a material adverse effect on our business.</w:t>
      </w:r>
    </w:p>
    <w:p>
      <w:pPr>
        <w:spacing w:after="0" w:line="214" w:lineRule="exact"/>
        <w:rPr>
          <w:sz w:val="20"/>
          <w:szCs w:val="20"/>
          <w:color w:val="auto"/>
        </w:rPr>
      </w:pPr>
    </w:p>
    <w:p>
      <w:pPr>
        <w:jc w:val="both"/>
        <w:spacing w:after="0" w:line="284" w:lineRule="auto"/>
        <w:rPr>
          <w:sz w:val="20"/>
          <w:szCs w:val="20"/>
          <w:color w:val="auto"/>
        </w:rPr>
      </w:pPr>
      <w:r>
        <w:rPr>
          <w:rFonts w:ascii="Arial" w:cs="Arial" w:eastAsia="Arial" w:hAnsi="Arial"/>
          <w:sz w:val="19"/>
          <w:szCs w:val="19"/>
          <w:b w:val="1"/>
          <w:bCs w:val="1"/>
          <w:i w:val="1"/>
          <w:iCs w:val="1"/>
          <w:color w:val="auto"/>
        </w:rPr>
        <w:t>If we do not comply with laws regulating the protection of the environment and health and human safety, our business could be adversely affected.</w:t>
      </w:r>
    </w:p>
    <w:p>
      <w:pPr>
        <w:spacing w:after="0" w:line="193"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51" w:name="page52"/>
    <w:bookmarkEnd w:id="51"/>
    <w:p>
      <w:pPr>
        <w:jc w:val="both"/>
        <w:ind w:firstLine="568"/>
        <w:spacing w:after="0" w:line="282" w:lineRule="auto"/>
        <w:rPr>
          <w:sz w:val="20"/>
          <w:szCs w:val="20"/>
          <w:color w:val="auto"/>
        </w:rPr>
      </w:pPr>
      <w:r>
        <w:rPr>
          <w:rFonts w:ascii="Arial" w:cs="Arial" w:eastAsia="Arial" w:hAnsi="Arial"/>
          <w:sz w:val="18"/>
          <w:szCs w:val="18"/>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pacing w:after="0" w:line="19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The price of our ordinary shares may be volatile and may fluctuate due to factors beyond our control.</w:t>
      </w:r>
    </w:p>
    <w:p>
      <w:pPr>
        <w:spacing w:after="0" w:line="255"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201" w:lineRule="exact"/>
        <w:rPr>
          <w:sz w:val="20"/>
          <w:szCs w:val="20"/>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positive or negative results of testing and clinical trials by us, strategic partners and competitors;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delays in entering into strategic relationships with respect to development and/or commercialization of our product candidates or entry into strategic relationships on terms that are not deemed to be favorable to us;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technological innovations or commercial product introductions by us or competitors;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changes in government regulations;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developments concerning proprietary rights, including patents and litigation matters;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public concern relating to the commercial value or safety of any of our product candidates;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financing or other corporate transactions;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publication of research reports or comments by securities or industry analysts;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general market conditions in the pharmaceutical industry or in the economy as a whole; or</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37"/>
        </w:numPr>
        <w:rPr>
          <w:rFonts w:ascii="Arial" w:cs="Arial" w:eastAsia="Arial" w:hAnsi="Arial"/>
          <w:sz w:val="16"/>
          <w:szCs w:val="16"/>
          <w:color w:val="auto"/>
        </w:rPr>
      </w:pPr>
      <w:r>
        <w:rPr>
          <w:rFonts w:ascii="Arial" w:cs="Arial" w:eastAsia="Arial" w:hAnsi="Arial"/>
          <w:sz w:val="16"/>
          <w:szCs w:val="16"/>
          <w:color w:val="auto"/>
        </w:rPr>
        <w:t>other events and factors, many of which are beyond our control.</w:t>
      </w:r>
    </w:p>
    <w:p>
      <w:pPr>
        <w:spacing w:after="0" w:line="247"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213" w:lineRule="exact"/>
        <w:rPr>
          <w:sz w:val="20"/>
          <w:szCs w:val="20"/>
          <w:color w:val="auto"/>
        </w:rPr>
      </w:pPr>
    </w:p>
    <w:p>
      <w:pPr>
        <w:jc w:val="both"/>
        <w:ind w:right="20"/>
        <w:spacing w:after="0" w:line="284" w:lineRule="auto"/>
        <w:rPr>
          <w:sz w:val="20"/>
          <w:szCs w:val="20"/>
          <w:color w:val="auto"/>
        </w:rPr>
      </w:pPr>
      <w:r>
        <w:rPr>
          <w:rFonts w:ascii="Arial" w:cs="Arial" w:eastAsia="Arial" w:hAnsi="Arial"/>
          <w:sz w:val="19"/>
          <w:szCs w:val="19"/>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193"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The trading market for our ordinary shares relies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52" w:name="page53"/>
    <w:bookmarkEnd w:id="52"/>
    <w:p>
      <w:pPr>
        <w:jc w:val="both"/>
        <w:spacing w:after="0" w:line="284" w:lineRule="auto"/>
        <w:rPr>
          <w:sz w:val="20"/>
          <w:szCs w:val="20"/>
          <w:color w:val="auto"/>
        </w:rPr>
      </w:pPr>
      <w:r>
        <w:rPr>
          <w:rFonts w:ascii="Arial" w:cs="Arial" w:eastAsia="Arial" w:hAnsi="Arial"/>
          <w:sz w:val="19"/>
          <w:szCs w:val="19"/>
          <w:b w:val="1"/>
          <w:bCs w:val="1"/>
          <w:i w:val="1"/>
          <w:iCs w:val="1"/>
          <w:color w:val="auto"/>
        </w:rPr>
        <w:t>We have been incurring and will continue to incur increased costs as a result of operating as a public company, and our management will be required to devote substantial time to new compliance initiatives.</w:t>
      </w:r>
    </w:p>
    <w:p>
      <w:pPr>
        <w:spacing w:after="0" w:line="193"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As a public company whose ordinary shares are listed in the United States, and particularly after we no longer qualify as an emerging growth company, we have been incurring and will continue to incur accounting, legal and other expenses that we did not incur as a private company, including costs associated with our reporting requirements under the Exchange Act. We also have incurred and anticipate that we will continue to incur costs associated with corporate governance requirements, including requirements under Section 404 and other provisions of the Sarbanes-Oxley Act of 2002, or the Sarbanes-Oxley Act, as well as rules implemented by the SEC and The Nasdaq Global Market, and provisions of Israeli corporate law applicable to public companies. These rules and regulations increase our legal and financial compliance costs, introduce new costs such as investor relations and stock exchange listing fees, and makes some activities more time-consuming and costly. Our board and other personnel need to devote a substantial amount of time to these initiatives. We are currently evaluating and monitoring developments with respect to these rules, and we cannot predict or estimate the amount of additional costs we may incur or the timing of such costs. 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196"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Pursuant to Section 404 of the Sarbanes-Oxley Act and the related rules adopted by the SEC and the Public Company Accounting Oversight Board, starting with the Annual Report for the year ended on December 31, 2019, our management is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 404. The process of determining whether our existing internal controls over financial reporting systems are compliant with Section 404 and whether there are any material weaknesses or significant deficiencies in our existing internal controls requires the investment of substantial time and resources, including by our chief financial officer and other members of our senior management. As a result, this process may divert internal resources and take a significant amount of time and effort to complete. In addition, while our assessment of our internal control over financial reporting resulted in our conclusion that as of December 31, 2020, our internal control over financial reporting was effective, we cannot predict the outcome of this determination in future years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190" w:lineRule="exact"/>
        <w:rPr>
          <w:sz w:val="20"/>
          <w:szCs w:val="20"/>
          <w:color w:val="auto"/>
        </w:rPr>
      </w:pPr>
    </w:p>
    <w:p>
      <w:pPr>
        <w:jc w:val="both"/>
        <w:ind w:right="20" w:firstLine="568"/>
        <w:spacing w:after="0" w:line="264" w:lineRule="auto"/>
        <w:rPr>
          <w:sz w:val="20"/>
          <w:szCs w:val="20"/>
          <w:color w:val="auto"/>
        </w:rPr>
      </w:pPr>
      <w:r>
        <w:rPr>
          <w:rFonts w:ascii="Arial" w:cs="Arial" w:eastAsia="Arial" w:hAnsi="Arial"/>
          <w:sz w:val="19"/>
          <w:szCs w:val="19"/>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53" w:name="page54"/>
    <w:bookmarkEnd w:id="53"/>
    <w:p>
      <w:pPr>
        <w:jc w:val="both"/>
        <w:ind w:left="5"/>
        <w:spacing w:after="0" w:line="271" w:lineRule="auto"/>
        <w:rPr>
          <w:sz w:val="20"/>
          <w:szCs w:val="20"/>
          <w:color w:val="auto"/>
        </w:rPr>
      </w:pPr>
      <w:r>
        <w:rPr>
          <w:rFonts w:ascii="Arial" w:cs="Arial" w:eastAsia="Arial" w:hAnsi="Arial"/>
          <w:sz w:val="19"/>
          <w:szCs w:val="19"/>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206" w:lineRule="exact"/>
        <w:rPr>
          <w:sz w:val="20"/>
          <w:szCs w:val="20"/>
          <w:color w:val="auto"/>
        </w:rPr>
      </w:pPr>
    </w:p>
    <w:p>
      <w:pPr>
        <w:jc w:val="both"/>
        <w:ind w:left="5" w:firstLine="568"/>
        <w:spacing w:after="0" w:line="262" w:lineRule="auto"/>
        <w:rPr>
          <w:sz w:val="20"/>
          <w:szCs w:val="20"/>
          <w:color w:val="auto"/>
        </w:rPr>
      </w:pPr>
      <w:r>
        <w:rPr>
          <w:rFonts w:ascii="Arial" w:cs="Arial" w:eastAsia="Arial" w:hAnsi="Arial"/>
          <w:sz w:val="19"/>
          <w:szCs w:val="19"/>
          <w:color w:val="auto"/>
        </w:rPr>
        <w:t>Effective internal control over financial reporting is necessary for us to provide reliable financial reports. Any failure to implement required new or improved controls, or difficulties encountered in their implementation could cause us to fail to meet our reporting obligations. While our assessment of our internal control over financial reporting resulted in our conclusion that as of December 31, 2020, our internal control over financial reporting was effective, we cannot predict the outcome of our testing or any subsequent testing by our auditor in future periods.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and affect our reputation, which could have a negative effect on the trading price of our ordinary shares.</w:t>
      </w:r>
    </w:p>
    <w:p>
      <w:pPr>
        <w:spacing w:after="0" w:line="219" w:lineRule="exact"/>
        <w:rPr>
          <w:sz w:val="20"/>
          <w:szCs w:val="20"/>
          <w:color w:val="auto"/>
        </w:rPr>
      </w:pPr>
    </w:p>
    <w:p>
      <w:pPr>
        <w:jc w:val="both"/>
        <w:ind w:left="5" w:firstLine="568"/>
        <w:spacing w:after="0" w:line="264" w:lineRule="auto"/>
        <w:rPr>
          <w:sz w:val="20"/>
          <w:szCs w:val="20"/>
          <w:color w:val="auto"/>
        </w:rPr>
      </w:pPr>
      <w:r>
        <w:rPr>
          <w:rFonts w:ascii="Arial" w:cs="Arial" w:eastAsia="Arial" w:hAnsi="Arial"/>
          <w:sz w:val="19"/>
          <w:szCs w:val="19"/>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208"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 4.</w:t>
      </w:r>
      <w:r>
        <w:rPr>
          <w:sz w:val="20"/>
          <w:szCs w:val="20"/>
          <w:color w:val="auto"/>
        </w:rPr>
        <w:tab/>
      </w:r>
      <w:r>
        <w:rPr>
          <w:rFonts w:ascii="Arial" w:cs="Arial" w:eastAsia="Arial" w:hAnsi="Arial"/>
          <w:sz w:val="19"/>
          <w:szCs w:val="19"/>
          <w:b w:val="1"/>
          <w:bCs w:val="1"/>
          <w:color w:val="auto"/>
        </w:rPr>
        <w:t>INFORMATION ON THE COMPANY</w:t>
      </w:r>
    </w:p>
    <w:p>
      <w:pPr>
        <w:spacing w:after="0" w:line="261" w:lineRule="exact"/>
        <w:rPr>
          <w:sz w:val="20"/>
          <w:szCs w:val="20"/>
          <w:color w:val="auto"/>
        </w:rPr>
      </w:pPr>
    </w:p>
    <w:p>
      <w:pPr>
        <w:ind w:left="705" w:hanging="705"/>
        <w:spacing w:after="0"/>
        <w:tabs>
          <w:tab w:leader="none" w:pos="705" w:val="left"/>
        </w:tabs>
        <w:numPr>
          <w:ilvl w:val="0"/>
          <w:numId w:val="38"/>
        </w:numPr>
        <w:rPr>
          <w:rFonts w:ascii="Arial" w:cs="Arial" w:eastAsia="Arial" w:hAnsi="Arial"/>
          <w:sz w:val="19"/>
          <w:szCs w:val="19"/>
          <w:color w:val="auto"/>
        </w:rPr>
      </w:pPr>
      <w:r>
        <w:rPr>
          <w:rFonts w:ascii="Arial" w:cs="Arial" w:eastAsia="Arial" w:hAnsi="Arial"/>
          <w:sz w:val="19"/>
          <w:szCs w:val="19"/>
          <w:color w:val="auto"/>
        </w:rPr>
        <w:t>History and Development of the Company</w:t>
      </w:r>
    </w:p>
    <w:p>
      <w:pPr>
        <w:spacing w:after="0" w:line="255" w:lineRule="exact"/>
        <w:rPr>
          <w:sz w:val="20"/>
          <w:szCs w:val="20"/>
          <w:color w:val="auto"/>
        </w:rPr>
      </w:pPr>
    </w:p>
    <w:p>
      <w:pPr>
        <w:jc w:val="both"/>
        <w:ind w:left="5" w:firstLine="568"/>
        <w:spacing w:after="0" w:line="302" w:lineRule="auto"/>
        <w:rPr>
          <w:sz w:val="20"/>
          <w:szCs w:val="20"/>
          <w:color w:val="auto"/>
        </w:rPr>
      </w:pPr>
      <w:r>
        <w:rPr>
          <w:rFonts w:ascii="Arial" w:cs="Arial" w:eastAsia="Arial" w:hAnsi="Arial"/>
          <w:sz w:val="17"/>
          <w:szCs w:val="17"/>
          <w:color w:val="auto"/>
        </w:rPr>
        <w:t>Our legal and commercial name is Sol-Gel Technologies Ltd. Our company was incorporated on October 28, 1997 and was registered as a private company limited by shares under the laws of the State of Israel. Our principal executive offices are located at 7 Golda Meir St., Weizmann Science Park, Ness Ziona, 7403650 Israel and our telephone number is 972-8-931 3433. Our website address is http://www.sol-gel.com. The information contained therein, or that can be accessed therefrom, does not constitute a part of this annual report and is not incorporated by reference herein. We have included our website address in this annual report solely for informational purposes. Our agent for service of process in the United States is Cogency Global Inc., located at 10 E. 40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Street, 10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Floor, New York, NY 10016, and its telephone number is +1 (800) 221-0102.</w:t>
      </w:r>
    </w:p>
    <w:p>
      <w:pPr>
        <w:spacing w:after="0" w:line="21"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In February 2018 we completed our initial public offering on The Nasdaq Global Market, pursuant to which we issued 7,187,500 Ordinary Shares for aggregate gross proceeds of approximately $86.25 million before deducting underwriting discounts and commissions and offering expenses payable by us, including the full exercise by the underwriters of their option to purchase additional shares. Our Ordinary Shares are traded on The Nasdaq Global Market under the symbol "SLGL".</w:t>
      </w:r>
    </w:p>
    <w:p>
      <w:pPr>
        <w:spacing w:after="0" w:line="210" w:lineRule="exact"/>
        <w:rPr>
          <w:sz w:val="20"/>
          <w:szCs w:val="20"/>
          <w:color w:val="auto"/>
        </w:rPr>
      </w:pPr>
    </w:p>
    <w:p>
      <w:pPr>
        <w:ind w:left="565"/>
        <w:spacing w:after="0"/>
        <w:rPr>
          <w:sz w:val="20"/>
          <w:szCs w:val="20"/>
          <w:color w:val="auto"/>
        </w:rPr>
      </w:pPr>
      <w:r>
        <w:rPr>
          <w:rFonts w:ascii="Arial" w:cs="Arial" w:eastAsia="Arial" w:hAnsi="Arial"/>
          <w:sz w:val="17"/>
          <w:szCs w:val="17"/>
          <w:color w:val="auto"/>
        </w:rPr>
        <w:t>Our capital expenditures for the years ended December 31, 2018, 2019 and 2020 were approximately $1,052, $597 and $449, respectively.</w:t>
      </w:r>
    </w:p>
    <w:p>
      <w:pPr>
        <w:spacing w:after="0" w:line="45" w:lineRule="exact"/>
        <w:rPr>
          <w:sz w:val="20"/>
          <w:szCs w:val="20"/>
          <w:color w:val="auto"/>
        </w:rPr>
      </w:pPr>
    </w:p>
    <w:p>
      <w:pPr>
        <w:ind w:left="5"/>
        <w:spacing w:after="0"/>
        <w:rPr>
          <w:sz w:val="20"/>
          <w:szCs w:val="20"/>
          <w:color w:val="auto"/>
        </w:rPr>
      </w:pPr>
      <w:r>
        <w:rPr>
          <w:rFonts w:ascii="Arial" w:cs="Arial" w:eastAsia="Arial" w:hAnsi="Arial"/>
          <w:sz w:val="19"/>
          <w:szCs w:val="19"/>
          <w:color w:val="auto"/>
        </w:rPr>
        <w:t>Our current capital expenditures involve equipment and leasehold improvements.</w:t>
      </w:r>
    </w:p>
    <w:p>
      <w:pPr>
        <w:spacing w:after="0" w:line="245" w:lineRule="exact"/>
        <w:rPr>
          <w:sz w:val="20"/>
          <w:szCs w:val="20"/>
          <w:color w:val="auto"/>
        </w:rPr>
      </w:pPr>
    </w:p>
    <w:p>
      <w:pPr>
        <w:ind w:left="685" w:hanging="685"/>
        <w:spacing w:after="0"/>
        <w:tabs>
          <w:tab w:leader="none" w:pos="685" w:val="left"/>
        </w:tabs>
        <w:numPr>
          <w:ilvl w:val="0"/>
          <w:numId w:val="39"/>
        </w:numPr>
        <w:rPr>
          <w:rFonts w:ascii="Arial" w:cs="Arial" w:eastAsia="Arial" w:hAnsi="Arial"/>
          <w:sz w:val="19"/>
          <w:szCs w:val="19"/>
          <w:b w:val="1"/>
          <w:bCs w:val="1"/>
          <w:color w:val="auto"/>
        </w:rPr>
      </w:pPr>
      <w:r>
        <w:rPr>
          <w:rFonts w:ascii="Arial" w:cs="Arial" w:eastAsia="Arial" w:hAnsi="Arial"/>
          <w:sz w:val="19"/>
          <w:szCs w:val="19"/>
          <w:b w:val="1"/>
          <w:bCs w:val="1"/>
          <w:color w:val="auto"/>
        </w:rPr>
        <w:t>Business Overview</w:t>
      </w:r>
    </w:p>
    <w:p>
      <w:pPr>
        <w:spacing w:after="0" w:line="261" w:lineRule="exact"/>
        <w:rPr>
          <w:sz w:val="20"/>
          <w:szCs w:val="20"/>
          <w:color w:val="auto"/>
        </w:rPr>
      </w:pPr>
    </w:p>
    <w:p>
      <w:pPr>
        <w:jc w:val="both"/>
        <w:ind w:left="5" w:right="20" w:firstLine="568"/>
        <w:spacing w:after="0" w:line="267" w:lineRule="auto"/>
        <w:rPr>
          <w:sz w:val="20"/>
          <w:szCs w:val="20"/>
          <w:color w:val="auto"/>
        </w:rPr>
      </w:pPr>
      <w:r>
        <w:rPr>
          <w:rFonts w:ascii="Arial" w:cs="Arial" w:eastAsia="Arial" w:hAnsi="Arial"/>
          <w:sz w:val="19"/>
          <w:szCs w:val="19"/>
          <w:color w:val="auto"/>
        </w:rPr>
        <w:t>We are a clinical-stage dermatology company focused on identifying, developing and commercializing branded and generic topical drug products for the treatment of skin diseases. Our current product candidate pipeline consists of late-stage and early-stage branded product candidates, some of which leverage our proprietary, silica-based microencapsulation technology platform, and several generic product candidates across multiple indications.</w:t>
      </w:r>
    </w:p>
    <w:p>
      <w:pPr>
        <w:spacing w:after="0" w:line="352"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54" w:name="page55"/>
    <w:bookmarkEnd w:id="54"/>
    <w:p>
      <w:pPr>
        <w:jc w:val="both"/>
        <w:ind w:left="5" w:right="20" w:firstLine="568"/>
        <w:spacing w:after="0" w:line="209" w:lineRule="auto"/>
        <w:rPr>
          <w:sz w:val="20"/>
          <w:szCs w:val="20"/>
          <w:color w:val="auto"/>
        </w:rPr>
      </w:pPr>
      <w:r>
        <w:rPr>
          <w:rFonts w:ascii="Arial" w:cs="Arial" w:eastAsia="Arial" w:hAnsi="Arial"/>
          <w:sz w:val="18"/>
          <w:szCs w:val="18"/>
          <w:color w:val="auto"/>
        </w:rPr>
        <w:t>Our branded product candidate, Twyneo</w:t>
      </w:r>
      <w:r>
        <w:rPr>
          <w:rFonts w:ascii="Arial" w:cs="Arial" w:eastAsia="Arial" w:hAnsi="Arial"/>
          <w:sz w:val="30"/>
          <w:szCs w:val="30"/>
          <w:color w:val="auto"/>
          <w:vertAlign w:val="superscript"/>
        </w:rPr>
        <w:t>®</w:t>
      </w:r>
      <w:r>
        <w:rPr>
          <w:rFonts w:ascii="Arial" w:cs="Arial" w:eastAsia="Arial" w:hAnsi="Arial"/>
          <w:sz w:val="18"/>
          <w:szCs w:val="18"/>
          <w:color w:val="auto"/>
        </w:rPr>
        <w:t>, is a novel, once-daily, non-antibiotic topical cream containing a fixed-dose combination of encapsulated benzoyl peroxide and encapsulated tretinoin, that we are developing for the treatment of acne vulgaris, or acne.</w:t>
      </w:r>
    </w:p>
    <w:p>
      <w:pPr>
        <w:spacing w:after="0" w:line="234" w:lineRule="exact"/>
        <w:rPr>
          <w:sz w:val="20"/>
          <w:szCs w:val="20"/>
          <w:color w:val="auto"/>
        </w:rPr>
      </w:pPr>
    </w:p>
    <w:p>
      <w:pPr>
        <w:jc w:val="both"/>
        <w:ind w:left="5" w:firstLine="568"/>
        <w:spacing w:after="0" w:line="291" w:lineRule="auto"/>
        <w:rPr>
          <w:sz w:val="20"/>
          <w:szCs w:val="20"/>
          <w:color w:val="auto"/>
        </w:rPr>
      </w:pPr>
      <w:r>
        <w:rPr>
          <w:rFonts w:ascii="Arial" w:cs="Arial" w:eastAsia="Arial" w:hAnsi="Arial"/>
          <w:sz w:val="17"/>
          <w:szCs w:val="17"/>
          <w:color w:val="auto"/>
        </w:rPr>
        <w:t>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w:t>
      </w:r>
    </w:p>
    <w:p>
      <w:pPr>
        <w:spacing w:after="0" w:line="2" w:lineRule="exact"/>
        <w:rPr>
          <w:sz w:val="20"/>
          <w:szCs w:val="20"/>
          <w:color w:val="auto"/>
        </w:rPr>
      </w:pPr>
    </w:p>
    <w:p>
      <w:pPr>
        <w:jc w:val="both"/>
        <w:ind w:left="5" w:hanging="5"/>
        <w:spacing w:after="0" w:line="269" w:lineRule="auto"/>
        <w:tabs>
          <w:tab w:leader="none" w:pos="282" w:val="left"/>
        </w:tabs>
        <w:numPr>
          <w:ilvl w:val="0"/>
          <w:numId w:val="40"/>
        </w:numPr>
        <w:rPr>
          <w:rFonts w:ascii="Arial" w:cs="Arial" w:eastAsia="Arial" w:hAnsi="Arial"/>
          <w:sz w:val="19"/>
          <w:szCs w:val="19"/>
          <w:color w:val="auto"/>
        </w:rPr>
      </w:pPr>
      <w:r>
        <w:rPr>
          <w:rFonts w:ascii="Arial" w:cs="Arial" w:eastAsia="Arial" w:hAnsi="Arial"/>
          <w:sz w:val="19"/>
          <w:szCs w:val="19"/>
          <w:color w:val="auto"/>
        </w:rPr>
        <w:t>an absolute change from baseline in inflammatory lesion count at Week 12, and (3) and an absolute change from baseline in non-inflammatory lesion count at Week 12. In addition, Twyneo was found to be well-tolerated. Our NDA for Twyneo® was accepted for filing by the FDA, which assigned a Prescription Drug User Fee Act, or PDUFA, goal date of August 1, 2021.</w:t>
      </w:r>
    </w:p>
    <w:p>
      <w:pPr>
        <w:spacing w:after="0" w:line="202" w:lineRule="exact"/>
        <w:rPr>
          <w:sz w:val="20"/>
          <w:szCs w:val="20"/>
          <w:color w:val="auto"/>
        </w:rPr>
      </w:pPr>
    </w:p>
    <w:p>
      <w:pPr>
        <w:jc w:val="both"/>
        <w:ind w:left="5" w:firstLine="568"/>
        <w:spacing w:after="0" w:line="273" w:lineRule="auto"/>
        <w:rPr>
          <w:sz w:val="20"/>
          <w:szCs w:val="20"/>
          <w:color w:val="auto"/>
        </w:rPr>
      </w:pPr>
      <w:r>
        <w:rPr>
          <w:rFonts w:ascii="Arial" w:cs="Arial" w:eastAsia="Arial" w:hAnsi="Arial"/>
          <w:sz w:val="17"/>
          <w:szCs w:val="17"/>
          <w:color w:val="auto"/>
        </w:rPr>
        <w:t>Our branded product candidate, Epsolay</w:t>
      </w:r>
      <w:r>
        <w:rPr>
          <w:rFonts w:ascii="Arial" w:cs="Arial" w:eastAsia="Arial" w:hAnsi="Arial"/>
          <w:sz w:val="28"/>
          <w:szCs w:val="28"/>
          <w:color w:val="auto"/>
          <w:vertAlign w:val="superscript"/>
        </w:rPr>
        <w:t>®</w:t>
      </w:r>
      <w:r>
        <w:rPr>
          <w:rFonts w:ascii="Arial" w:cs="Arial" w:eastAsia="Arial" w:hAnsi="Arial"/>
          <w:sz w:val="17"/>
          <w:szCs w:val="17"/>
          <w:color w:val="auto"/>
        </w:rPr>
        <w:t>, is a novel, once-daily topical cream containing encapsulated benzoyl peroxide, that we are developing for the treatment of papulopustular (subtype II) rosacea.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Our NDA for Epsolay® was accepted for filing by the FDA, which assigned a PDUFA goal date of April 26, 2021.</w:t>
      </w:r>
    </w:p>
    <w:p>
      <w:pPr>
        <w:spacing w:after="0" w:line="211" w:lineRule="exact"/>
        <w:rPr>
          <w:sz w:val="20"/>
          <w:szCs w:val="20"/>
          <w:color w:val="auto"/>
        </w:rPr>
      </w:pPr>
    </w:p>
    <w:p>
      <w:pPr>
        <w:ind w:left="565"/>
        <w:spacing w:after="0"/>
        <w:rPr>
          <w:sz w:val="20"/>
          <w:szCs w:val="20"/>
          <w:color w:val="auto"/>
        </w:rPr>
      </w:pPr>
      <w:r>
        <w:rPr>
          <w:rFonts w:ascii="Arial" w:cs="Arial" w:eastAsia="Arial" w:hAnsi="Arial"/>
          <w:sz w:val="17"/>
          <w:szCs w:val="17"/>
          <w:color w:val="auto"/>
        </w:rPr>
        <w:t>Another branded product candidate is SGT-210 (erlotinib gel) that we are developing for the treatment of palmoplantar keratoderma (PPK).</w:t>
      </w:r>
    </w:p>
    <w:p>
      <w:pPr>
        <w:spacing w:after="0" w:line="278" w:lineRule="exact"/>
        <w:rPr>
          <w:sz w:val="20"/>
          <w:szCs w:val="20"/>
          <w:color w:val="auto"/>
        </w:rPr>
      </w:pPr>
    </w:p>
    <w:p>
      <w:pPr>
        <w:ind w:left="565"/>
        <w:spacing w:after="0"/>
        <w:rPr>
          <w:sz w:val="20"/>
          <w:szCs w:val="20"/>
          <w:color w:val="auto"/>
        </w:rPr>
      </w:pPr>
      <w:r>
        <w:rPr>
          <w:rFonts w:ascii="Arial" w:cs="Arial" w:eastAsia="Arial" w:hAnsi="Arial"/>
          <w:sz w:val="19"/>
          <w:szCs w:val="19"/>
          <w:color w:val="auto"/>
        </w:rPr>
        <w:t>We are also pre-clinically testing erlotinib, tapinarof and roflumilast in various new pharmaceutical indications.</w:t>
      </w:r>
    </w:p>
    <w:p>
      <w:pPr>
        <w:spacing w:after="0" w:line="255" w:lineRule="exact"/>
        <w:rPr>
          <w:sz w:val="20"/>
          <w:szCs w:val="20"/>
          <w:color w:val="auto"/>
        </w:rPr>
      </w:pPr>
    </w:p>
    <w:p>
      <w:pPr>
        <w:jc w:val="both"/>
        <w:ind w:left="5" w:firstLine="568"/>
        <w:spacing w:after="0" w:line="278" w:lineRule="auto"/>
        <w:rPr>
          <w:sz w:val="20"/>
          <w:szCs w:val="20"/>
          <w:color w:val="auto"/>
        </w:rPr>
      </w:pPr>
      <w:r>
        <w:rPr>
          <w:rFonts w:ascii="Arial" w:cs="Arial" w:eastAsia="Arial" w:hAnsi="Arial"/>
          <w:sz w:val="18"/>
          <w:szCs w:val="18"/>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Twyneo® and Epsolay® to be conducted according to the FDA’s 505(b)(2) regulatory pathway, which may provide for a more efficient regulatory process by permitting us to rely, in part, upon the FDA’s previous findings of safety and efficacy of an approved product.</w:t>
      </w:r>
    </w:p>
    <w:p>
      <w:pPr>
        <w:spacing w:after="0" w:line="343"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7" w:right="319" w:bottom="1440" w:gutter="0" w:footer="0" w:header="0"/>
        </w:sectPr>
      </w:pPr>
    </w:p>
    <w:bookmarkStart w:id="55" w:name="page56"/>
    <w:bookmarkEnd w:id="55"/>
    <w:p>
      <w:pPr>
        <w:ind w:left="240"/>
        <w:spacing w:after="0"/>
        <w:rPr>
          <w:sz w:val="20"/>
          <w:szCs w:val="20"/>
          <w:color w:val="auto"/>
        </w:rPr>
      </w:pPr>
      <w:r>
        <w:rPr>
          <w:rFonts w:ascii="Arial" w:cs="Arial" w:eastAsia="Arial" w:hAnsi="Arial"/>
          <w:sz w:val="19"/>
          <w:szCs w:val="19"/>
          <w:color w:val="auto"/>
        </w:rPr>
        <w:t>We maintain exclusive, worldwide commercial rights for our branded product candidates, which consist of:</w:t>
      </w:r>
    </w:p>
    <w:p>
      <w:pPr>
        <w:spacing w:after="0" w:line="241" w:lineRule="exact"/>
        <w:rPr>
          <w:sz w:val="20"/>
          <w:szCs w:val="20"/>
          <w:color w:val="auto"/>
        </w:rPr>
      </w:pPr>
    </w:p>
    <w:p>
      <w:pPr>
        <w:jc w:val="both"/>
        <w:ind w:left="400" w:hanging="394"/>
        <w:spacing w:after="0" w:line="219" w:lineRule="auto"/>
        <w:tabs>
          <w:tab w:leader="none" w:pos="400" w:val="left"/>
        </w:tabs>
        <w:numPr>
          <w:ilvl w:val="0"/>
          <w:numId w:val="41"/>
        </w:numPr>
        <w:rPr>
          <w:rFonts w:ascii="Arial" w:cs="Arial" w:eastAsia="Arial" w:hAnsi="Arial"/>
          <w:sz w:val="14"/>
          <w:szCs w:val="14"/>
          <w:color w:val="auto"/>
        </w:rPr>
      </w:pPr>
      <w:r>
        <w:rPr>
          <w:rFonts w:ascii="Arial" w:cs="Arial" w:eastAsia="Arial" w:hAnsi="Arial"/>
          <w:sz w:val="14"/>
          <w:szCs w:val="14"/>
          <w:color w:val="auto"/>
        </w:rPr>
        <w:t>Twyneo</w:t>
      </w:r>
      <w:r>
        <w:rPr>
          <w:rFonts w:ascii="Arial" w:cs="Arial" w:eastAsia="Arial" w:hAnsi="Arial"/>
          <w:sz w:val="23"/>
          <w:szCs w:val="23"/>
          <w:color w:val="auto"/>
          <w:vertAlign w:val="superscript"/>
        </w:rPr>
        <w:t>®</w:t>
      </w:r>
      <w:r>
        <w:rPr>
          <w:rFonts w:ascii="Arial" w:cs="Arial" w:eastAsia="Arial" w:hAnsi="Arial"/>
          <w:sz w:val="14"/>
          <w:szCs w:val="14"/>
          <w:color w:val="auto"/>
        </w:rPr>
        <w:t>, a novel, once-daily, non-antibiotic topical cream, which we are developing for the treatment of acne, containing a fixed-dose combination of encapsulated benzoyl peroxide, or E-BPO, and encapsulated tretinoin. Acne is one of the three most prevalent skin diseases in the world and is the most commonly treated skin disease in the United States. According to the American Academy of Dermatology, acne affects approximately 40 to 50 million people in the United States, of which approximately 10% are treated with prescription medications. In July 2017, we reported positive top-line results from a double-blind, dose-ranging active- and placebo-controlled, six-arm, multi-center Phase II clinical trial of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in the United States in 726 subjects, 128 of which subjects across six treatment groups did not complete the study. The clinical trial evaluated the efficacy, tolerability and safety of two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concentrations,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Low and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High, each containing a lower or higher concentration, respectively, of encapsulated tretinoin and an identical concentration of encapsulated benzoyl peroxide. Tretinoin and benzoyl peroxide, the two active components in Twyneo</w:t>
      </w:r>
      <w:r>
        <w:rPr>
          <w:rFonts w:ascii="Arial" w:cs="Arial" w:eastAsia="Arial" w:hAnsi="Arial"/>
          <w:sz w:val="23"/>
          <w:szCs w:val="23"/>
          <w:color w:val="auto"/>
          <w:vertAlign w:val="superscript"/>
        </w:rPr>
        <w:t>®</w:t>
      </w:r>
      <w:r>
        <w:rPr>
          <w:rFonts w:ascii="Arial" w:cs="Arial" w:eastAsia="Arial" w:hAnsi="Arial"/>
          <w:sz w:val="14"/>
          <w:szCs w:val="14"/>
          <w:color w:val="auto"/>
        </w:rPr>
        <w:t>, are both widely-used therapies for the treatment of acne that historically have not been conveniently co-administered due to stability concerns. The trial also evaluated the contribution of encapsulated tretinoin and encapsulated benzoyl peroxide, in the same concentrations as those in the respective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treatment groups, to the efficacy of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High and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Low. In this trial,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showed statistically significant improvements in all pre-defined co-primary and secondary efficacy endpoints, as compared to vehicle. In addition,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was well tolerated with no treatment-related serious adverse events. Based on the efficacy data we observed in the Phase II trial, we believe Twyneo</w:t>
      </w:r>
      <w:r>
        <w:rPr>
          <w:rFonts w:ascii="Arial" w:cs="Arial" w:eastAsia="Arial" w:hAnsi="Arial"/>
          <w:sz w:val="23"/>
          <w:szCs w:val="23"/>
          <w:color w:val="auto"/>
          <w:vertAlign w:val="superscript"/>
        </w:rPr>
        <w:t>®</w:t>
      </w:r>
      <w:r>
        <w:rPr>
          <w:rFonts w:ascii="Arial" w:cs="Arial" w:eastAsia="Arial" w:hAnsi="Arial"/>
          <w:sz w:val="14"/>
          <w:szCs w:val="14"/>
          <w:color w:val="auto"/>
        </w:rPr>
        <w:t>, if approved, has the potential to become a preferred treatment for acne. On December 30, 2019, we announced top-line results from two pivotal Phase 3 clinical trials evaluating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for the treatment of acne.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was found to be well-tolerated. Our NDA for Twyneo</w:t>
      </w:r>
      <w:r>
        <w:rPr>
          <w:rFonts w:ascii="Arial" w:cs="Arial" w:eastAsia="Arial" w:hAnsi="Arial"/>
          <w:sz w:val="23"/>
          <w:szCs w:val="23"/>
          <w:color w:val="auto"/>
          <w:vertAlign w:val="superscript"/>
        </w:rPr>
        <w:t>®</w:t>
      </w:r>
      <w:r>
        <w:rPr>
          <w:rFonts w:ascii="Arial" w:cs="Arial" w:eastAsia="Arial" w:hAnsi="Arial"/>
          <w:sz w:val="14"/>
          <w:szCs w:val="14"/>
          <w:color w:val="auto"/>
        </w:rPr>
        <w:t xml:space="preserve"> has been accepted for filing by the FDA, which assigned a PDUFA goal date of August 1, 2021.</w:t>
      </w:r>
    </w:p>
    <w:p>
      <w:pPr>
        <w:spacing w:after="0" w:line="104" w:lineRule="exact"/>
        <w:rPr>
          <w:rFonts w:ascii="Arial" w:cs="Arial" w:eastAsia="Arial" w:hAnsi="Arial"/>
          <w:sz w:val="14"/>
          <w:szCs w:val="14"/>
          <w:color w:val="auto"/>
        </w:rPr>
      </w:pPr>
    </w:p>
    <w:p>
      <w:pPr>
        <w:jc w:val="both"/>
        <w:ind w:left="400" w:hanging="394"/>
        <w:spacing w:after="0" w:line="258" w:lineRule="auto"/>
        <w:tabs>
          <w:tab w:leader="none" w:pos="400" w:val="left"/>
        </w:tabs>
        <w:numPr>
          <w:ilvl w:val="0"/>
          <w:numId w:val="41"/>
        </w:numPr>
        <w:rPr>
          <w:rFonts w:ascii="Arial" w:cs="Arial" w:eastAsia="Arial" w:hAnsi="Arial"/>
          <w:sz w:val="14"/>
          <w:szCs w:val="14"/>
          <w:color w:val="auto"/>
        </w:rPr>
      </w:pPr>
      <w:r>
        <w:rPr>
          <w:rFonts w:ascii="Arial" w:cs="Arial" w:eastAsia="Arial" w:hAnsi="Arial"/>
          <w:sz w:val="14"/>
          <w:szCs w:val="14"/>
          <w:color w:val="auto"/>
        </w:rPr>
        <w:t>Epsolay®, a topical cream containing 5% encapsulated benzoyl peroxide, which we are developing for the treatment of papulopustular (subtype II)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comedowns are absent, and patients may report associated burning and stinging sensations. We evaluated Epsolay® in a double blind, randomized, dose-ranging Phase II clinical trial involving 92 adult subjects at ten centers in the United States. In this trial, Epsolay® showed statistically significant improvements in the Investigator Global Assessment, or IGA, pre-defined co-primary efficacy endpoint and in the percent change in inflammatory lesion count at week 12, as compared to vehicle. Epsolay® was also well tolerated in this trial. Current topical therapies for subtype II rosacea are limited due to tolerability concerns. For example, BPO, a common therapy for acne, is not used for the treatment of subtype II rosacea due to side effects. As encapsulated BPO, Epsolay® is designed to redefine the standard of care for the treatment of subtype II rosacea. If approved, we expect Epsolay® to be the first product containing BPO that is marketed for the treatment of subtype II rosacea. On July 8, 2019, we announced positive top-line results from our Phase 3 program evaluating Epsolay</w:t>
      </w:r>
      <w:r>
        <w:rPr>
          <w:rFonts w:ascii="Arial" w:cs="Arial" w:eastAsia="Arial" w:hAnsi="Arial"/>
          <w:sz w:val="23"/>
          <w:szCs w:val="23"/>
          <w:color w:val="auto"/>
          <w:vertAlign w:val="superscript"/>
        </w:rPr>
        <w:t>®</w:t>
      </w:r>
      <w:r>
        <w:rPr>
          <w:rFonts w:ascii="Arial" w:cs="Arial" w:eastAsia="Arial" w:hAnsi="Arial"/>
          <w:sz w:val="14"/>
          <w:szCs w:val="14"/>
          <w:color w:val="auto"/>
        </w:rPr>
        <w:t>. The program enrolled 733 patients aged 18 and older in two identical, double-blind, vehicle-controlled Phase 3 clinical trials at 54 sites across the United States. Epsolay</w:t>
      </w:r>
      <w:r>
        <w:rPr>
          <w:rFonts w:ascii="Arial" w:cs="Arial" w:eastAsia="Arial" w:hAnsi="Arial"/>
          <w:sz w:val="23"/>
          <w:szCs w:val="23"/>
          <w:color w:val="auto"/>
          <w:vertAlign w:val="superscript"/>
        </w:rPr>
        <w:t>®</w:t>
      </w:r>
      <w:r>
        <w:rPr>
          <w:rFonts w:ascii="Arial" w:cs="Arial" w:eastAsia="Arial" w:hAnsi="Arial"/>
          <w:sz w:val="14"/>
          <w:szCs w:val="14"/>
          <w:color w:val="auto"/>
        </w:rPr>
        <w:t xml:space="preserve">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w:t>
      </w:r>
      <w:r>
        <w:rPr>
          <w:rFonts w:ascii="Arial" w:cs="Arial" w:eastAsia="Arial" w:hAnsi="Arial"/>
          <w:sz w:val="23"/>
          <w:szCs w:val="23"/>
          <w:color w:val="auto"/>
          <w:vertAlign w:val="superscript"/>
        </w:rPr>
        <w:t>®</w:t>
      </w:r>
      <w:r>
        <w:rPr>
          <w:rFonts w:ascii="Arial" w:cs="Arial" w:eastAsia="Arial" w:hAnsi="Arial"/>
          <w:sz w:val="14"/>
          <w:szCs w:val="14"/>
          <w:color w:val="auto"/>
        </w:rPr>
        <w:t xml:space="preserve"> demonstrated rapid efficacy, achieving statistically significant improvements on both co-primary endpoints compared with vehicle as early as Week 2. In addition, Epsolay® was found to be well-tolerated. On February 12, 2020, we announced positive topline results from our open-label, long-term safety study, evaluating Epsolay® for a treatment duration up to 52 weeks. Our NDA for Epsolay</w:t>
      </w:r>
      <w:r>
        <w:rPr>
          <w:rFonts w:ascii="Arial" w:cs="Arial" w:eastAsia="Arial" w:hAnsi="Arial"/>
          <w:sz w:val="23"/>
          <w:szCs w:val="23"/>
          <w:color w:val="auto"/>
          <w:vertAlign w:val="superscript"/>
        </w:rPr>
        <w:t>®</w:t>
      </w:r>
      <w:r>
        <w:rPr>
          <w:rFonts w:ascii="Arial" w:cs="Arial" w:eastAsia="Arial" w:hAnsi="Arial"/>
          <w:sz w:val="14"/>
          <w:szCs w:val="14"/>
          <w:color w:val="auto"/>
        </w:rPr>
        <w:t xml:space="preserve"> has been accepted for filing by the FDA, which assigned a PDUFA goal date of April 26, 2021.</w:t>
      </w:r>
    </w:p>
    <w:p>
      <w:pPr>
        <w:spacing w:after="0" w:line="230" w:lineRule="exact"/>
        <w:rPr>
          <w:sz w:val="20"/>
          <w:szCs w:val="20"/>
          <w:color w:val="auto"/>
        </w:rPr>
      </w:pPr>
    </w:p>
    <w:p>
      <w:pPr>
        <w:jc w:val="center"/>
        <w:ind w:right="340"/>
        <w:spacing w:after="0"/>
        <w:rPr>
          <w:sz w:val="20"/>
          <w:szCs w:val="20"/>
          <w:color w:val="auto"/>
        </w:rPr>
      </w:pPr>
      <w:r>
        <w:rPr>
          <w:rFonts w:ascii="Arial" w:cs="Arial" w:eastAsia="Arial" w:hAnsi="Arial"/>
          <w:sz w:val="19"/>
          <w:szCs w:val="19"/>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-205740</wp:posOffset>
            </wp:positionH>
            <wp:positionV relativeFrom="paragraph">
              <wp:posOffset>38735</wp:posOffset>
            </wp:positionV>
            <wp:extent cx="7149465" cy="152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0940"/>
          </w:cols>
          <w:pgMar w:left="640" w:top="132" w:right="319" w:bottom="1440" w:gutter="0" w:footer="0" w:header="0"/>
        </w:sectPr>
      </w:pPr>
    </w:p>
    <w:bookmarkStart w:id="56" w:name="page57"/>
    <w:bookmarkEnd w:id="56"/>
    <w:p>
      <w:pPr>
        <w:jc w:val="both"/>
        <w:ind w:left="740" w:hanging="426"/>
        <w:spacing w:after="0" w:line="269" w:lineRule="auto"/>
        <w:tabs>
          <w:tab w:leader="none" w:pos="740" w:val="left"/>
        </w:tabs>
        <w:numPr>
          <w:ilvl w:val="0"/>
          <w:numId w:val="42"/>
        </w:numPr>
        <w:rPr>
          <w:rFonts w:ascii="Arial" w:cs="Arial" w:eastAsia="Arial" w:hAnsi="Arial"/>
          <w:sz w:val="15"/>
          <w:szCs w:val="15"/>
          <w:color w:val="auto"/>
        </w:rPr>
      </w:pPr>
      <w:r>
        <w:rPr>
          <w:rFonts w:ascii="Arial" w:cs="Arial" w:eastAsia="Arial" w:hAnsi="Arial"/>
          <w:sz w:val="15"/>
          <w:szCs w:val="15"/>
          <w:color w:val="auto"/>
        </w:rPr>
        <w:t>SGT-210 (erlotinib gel) that we are developing for the treatment of palmoplantar keratoderma, or PPK, a group of skin conditions characterized by thickening of the skin on the hands and soles of the feet. SGT-210 is designed to be used alone or in combination for the treatment of hyperproliferation and hyperkeratinization disorders, including PPK. On January 2, 2020, we announced the initiation of a Phase 1 proof of concept clinical study of SGT-210 in patients with palmoplantar keratoderma. The Phase 1 proof of concept study SGT-84-01 is a single-center, single-blinded, vehicle-controlled study designed to evaluate the bioavailability, safety and tolerability of SGT-210 as well as inform on potential efficacy. The study is targeting enrollment of approximately 15 patients to undergo a three-month treatment period, followed by a three-month follow-up period. The enrollment of patients in the Phase 1 proof of concept study with SGT-210 has been slowed by the COVID-19 pandemic. We expect to report top-line data in the third quarter of 2021.</w:t>
      </w:r>
    </w:p>
    <w:p>
      <w:pPr>
        <w:spacing w:after="0" w:line="207" w:lineRule="exact"/>
        <w:rPr>
          <w:rFonts w:ascii="Arial" w:cs="Arial" w:eastAsia="Arial" w:hAnsi="Arial"/>
          <w:sz w:val="15"/>
          <w:szCs w:val="15"/>
          <w:color w:val="auto"/>
        </w:rPr>
      </w:pPr>
    </w:p>
    <w:p>
      <w:pPr>
        <w:ind w:left="740" w:right="80" w:hanging="426"/>
        <w:spacing w:after="0" w:line="253" w:lineRule="auto"/>
        <w:tabs>
          <w:tab w:leader="none" w:pos="740" w:val="left"/>
        </w:tabs>
        <w:numPr>
          <w:ilvl w:val="0"/>
          <w:numId w:val="42"/>
        </w:numPr>
        <w:rPr>
          <w:rFonts w:ascii="Arial" w:cs="Arial" w:eastAsia="Arial" w:hAnsi="Arial"/>
          <w:sz w:val="16"/>
          <w:szCs w:val="16"/>
          <w:color w:val="auto"/>
        </w:rPr>
      </w:pPr>
      <w:r>
        <w:rPr>
          <w:rFonts w:ascii="Arial" w:cs="Arial" w:eastAsia="Arial" w:hAnsi="Arial"/>
          <w:sz w:val="16"/>
          <w:szCs w:val="16"/>
          <w:color w:val="auto"/>
        </w:rPr>
        <w:t>We are conducting pre-clinical testing to explore the possible activity of erlotinib, tapinarof (an investigational aryl hydrocarbon receptor modulator) and roflumilast (an investigational phosphodiesterase 4 inhibitor) in various new pharmaceutical indications. A total of 25 provisional patent applications for these project candidates have been submitted to date, including patent applications covering the use of tapinarof in ophthalmic disorders such as dry eye, uveitis, and blepharitis with or without demodex involvement.</w:t>
      </w:r>
    </w:p>
    <w:p>
      <w:pPr>
        <w:spacing w:after="0" w:line="223"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In addition to our branded product candidates, we have one FDA approved generic topical dermatological product, which is a generic version of Zovirax® (acyclovir) cream, 5%. In February 2019, we announced that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we launched the product in February 2019.</w:t>
      </w:r>
    </w:p>
    <w:p>
      <w:pPr>
        <w:spacing w:after="0" w:line="213"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We are also currently developing a portfolio of 11 generic topical dermatological products in collaboration with Perrigo UK Finco Limited Partnership, or Perrigo. Perrigo has significant experience in the development of generic drugs.</w:t>
      </w:r>
    </w:p>
    <w:p>
      <w:pPr>
        <w:spacing w:after="0" w:line="193" w:lineRule="exact"/>
        <w:rPr>
          <w:sz w:val="20"/>
          <w:szCs w:val="20"/>
          <w:color w:val="auto"/>
        </w:rPr>
      </w:pPr>
    </w:p>
    <w:p>
      <w:pPr>
        <w:jc w:val="both"/>
        <w:ind w:firstLine="568"/>
        <w:spacing w:after="0" w:line="301" w:lineRule="auto"/>
        <w:rPr>
          <w:sz w:val="20"/>
          <w:szCs w:val="20"/>
          <w:color w:val="auto"/>
        </w:rPr>
      </w:pPr>
      <w:r>
        <w:rPr>
          <w:rFonts w:ascii="Arial" w:cs="Arial" w:eastAsia="Arial" w:hAnsi="Arial"/>
          <w:sz w:val="17"/>
          <w:szCs w:val="17"/>
          <w:color w:val="auto"/>
        </w:rPr>
        <w:t>Our most advanced generic product candidate is ivermectin cream, 1%, for the treatment of inflammatory lesions associated with rosacea, which is being developed in collaboration with Perrigo. In March 2017, Perrigo submitted an ANDA with a Paragraph IV certification for ivermectin cream, 1% to the FDA. In January 2018, this ANDA was tentatively approved by the FDA. Final approval from the FDA is subject to a 30-month stay under the Hatch-Waxman Amendments. In addition, because Actavis Ltd. filed an ANDA for ivermectin cream, 1%, before us or any other generic applicants, we may be unable to obtain final approval for our ANDA until the expiration of Actavis Ltd.’s 180-day generic exclusivity. Ivermectin cream, 1% is the active molecule in Soolantra, which is currently marketed in the United States by Galderma Laboratories LP.</w:t>
      </w:r>
    </w:p>
    <w:p>
      <w:pPr>
        <w:spacing w:after="0" w:line="185" w:lineRule="exact"/>
        <w:rPr>
          <w:sz w:val="20"/>
          <w:szCs w:val="20"/>
          <w:color w:val="auto"/>
        </w:rPr>
      </w:pPr>
    </w:p>
    <w:p>
      <w:pPr>
        <w:jc w:val="both"/>
        <w:ind w:firstLine="568"/>
        <w:spacing w:after="0" w:line="345" w:lineRule="auto"/>
        <w:rPr>
          <w:sz w:val="20"/>
          <w:szCs w:val="20"/>
          <w:color w:val="auto"/>
        </w:rPr>
      </w:pPr>
      <w:r>
        <w:rPr>
          <w:rFonts w:ascii="Arial" w:cs="Arial" w:eastAsia="Arial" w:hAnsi="Arial"/>
          <w:sz w:val="17"/>
          <w:szCs w:val="17"/>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57" w:name="page58"/>
    <w:bookmarkEnd w:id="57"/>
    <w:p>
      <w:pPr>
        <w:jc w:val="both"/>
        <w:ind w:left="5" w:right="20" w:firstLine="568"/>
        <w:spacing w:after="0" w:line="267" w:lineRule="auto"/>
        <w:rPr>
          <w:sz w:val="20"/>
          <w:szCs w:val="20"/>
          <w:color w:val="auto"/>
        </w:rPr>
      </w:pPr>
      <w:r>
        <w:rPr>
          <w:rFonts w:ascii="Arial" w:cs="Arial" w:eastAsia="Arial" w:hAnsi="Arial"/>
          <w:sz w:val="19"/>
          <w:szCs w:val="19"/>
          <w:color w:val="auto"/>
        </w:rPr>
        <w:t>In preparation for commercial launch of our proprietary products, we have opened a U.S. headquarters in Whippany, New Jersey. If Twyneo® and Epsolay® receive regulatory approval from the FDA, we intend to market them in the United States through one or more third party collaborators that have direct sales forces and established distribution systems in lieu of our own sales force and distribution systems. We are in discussions with potential partners regarding the commercialization of Twyneo® and Epsolay®.</w:t>
      </w:r>
    </w:p>
    <w:p>
      <w:pPr>
        <w:spacing w:after="0" w:line="210" w:lineRule="exact"/>
        <w:rPr>
          <w:sz w:val="20"/>
          <w:szCs w:val="20"/>
          <w:color w:val="auto"/>
        </w:rPr>
      </w:pPr>
    </w:p>
    <w:p>
      <w:pPr>
        <w:ind w:left="565"/>
        <w:spacing w:after="0"/>
        <w:rPr>
          <w:sz w:val="20"/>
          <w:szCs w:val="20"/>
          <w:color w:val="auto"/>
        </w:rPr>
      </w:pPr>
      <w:r>
        <w:rPr>
          <w:rFonts w:ascii="Arial" w:cs="Arial" w:eastAsia="Arial" w:hAnsi="Arial"/>
          <w:sz w:val="19"/>
          <w:szCs w:val="19"/>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166370</wp:posOffset>
            </wp:positionV>
            <wp:extent cx="7204075" cy="40551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04075" cy="40551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Our Branded Product Candidates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Twyneo® for Acne</w:t>
      </w:r>
    </w:p>
    <w:p>
      <w:pPr>
        <w:spacing w:after="0" w:line="249" w:lineRule="exact"/>
        <w:rPr>
          <w:sz w:val="20"/>
          <w:szCs w:val="20"/>
          <w:color w:val="auto"/>
        </w:rPr>
      </w:pPr>
    </w:p>
    <w:p>
      <w:pPr>
        <w:jc w:val="both"/>
        <w:ind w:left="5" w:right="20" w:firstLine="568"/>
        <w:spacing w:after="0" w:line="201" w:lineRule="auto"/>
        <w:rPr>
          <w:sz w:val="20"/>
          <w:szCs w:val="20"/>
          <w:color w:val="auto"/>
        </w:rPr>
      </w:pPr>
      <w:r>
        <w:rPr>
          <w:rFonts w:ascii="Arial" w:cs="Arial" w:eastAsia="Arial" w:hAnsi="Arial"/>
          <w:sz w:val="19"/>
          <w:szCs w:val="19"/>
          <w:color w:val="auto"/>
        </w:rPr>
        <w:t>Using our proprietary, silica-based microencapsulation technology platform, we are developing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to become a preferred treatment for acne by dermatologists and their patients.</w:t>
      </w:r>
    </w:p>
    <w:p>
      <w:pPr>
        <w:spacing w:after="0" w:line="228" w:lineRule="exact"/>
        <w:rPr>
          <w:sz w:val="20"/>
          <w:szCs w:val="20"/>
          <w:color w:val="auto"/>
        </w:rPr>
      </w:pPr>
    </w:p>
    <w:p>
      <w:pPr>
        <w:jc w:val="both"/>
        <w:ind w:left="5" w:firstLine="568"/>
        <w:spacing w:after="0" w:line="242" w:lineRule="auto"/>
        <w:rPr>
          <w:sz w:val="20"/>
          <w:szCs w:val="20"/>
          <w:color w:val="auto"/>
        </w:rPr>
      </w:pPr>
      <w:r>
        <w:rPr>
          <w:rFonts w:ascii="Arial" w:cs="Arial" w:eastAsia="Arial" w:hAnsi="Arial"/>
          <w:sz w:val="17"/>
          <w:szCs w:val="17"/>
          <w:color w:val="auto"/>
        </w:rPr>
        <w:t>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is a novel, once-daily, non-antibiotic topical cream containing a fixed-dose combination of encapsulated benzoyl peroxide and encapsulated tretinoin that we are developing for the treatment of acne. Studies have shown that benzoyl peroxide and tretinoin are effective in treating acne as monotherapies; moreover, according to an article in the American Academy of Dermatology (2009), dermatologists recommend combining the two monotherapies as a first-line approach for acne, but a drug-drug interaction that causes the degradation of tretinoin has previously prohibited the development of a combination therapy. By encapsulating the two agents separately through the use of our technology platform,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is designed to be a fixed-dose combination that otherwise would not be stable. Similar to other combination drug products, such as clindamycin and benzoyl peroxide, we expect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to be kept refrigerated throughout the supply chain and then stored in ambient conditions upon its distribution to patients. Pre-clinical data suggests that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Twyneo®, if approved, will compete directly with Epiduo and Epiduo Forte. We have utilized the FDA’s 505(b)(2) regulatory pathway in seeking approval of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in the United States.</w:t>
      </w:r>
    </w:p>
    <w:p>
      <w:pPr>
        <w:spacing w:after="0" w:line="77" w:lineRule="exact"/>
        <w:rPr>
          <w:sz w:val="20"/>
          <w:szCs w:val="20"/>
          <w:color w:val="auto"/>
        </w:rPr>
      </w:pPr>
    </w:p>
    <w:p>
      <w:pPr>
        <w:jc w:val="both"/>
        <w:ind w:left="5" w:firstLine="568"/>
        <w:spacing w:after="0"/>
        <w:rPr>
          <w:sz w:val="20"/>
          <w:szCs w:val="20"/>
          <w:color w:val="auto"/>
        </w:rPr>
      </w:pPr>
      <w:r>
        <w:rPr>
          <w:rFonts w:ascii="Arial" w:cs="Arial" w:eastAsia="Arial" w:hAnsi="Arial"/>
          <w:sz w:val="17"/>
          <w:szCs w:val="17"/>
          <w:color w:val="auto"/>
        </w:rPr>
        <w:t>In July 2017, we reported the completion of a 726 subject, randomized, multi-center, double-blind, placebo-controlled Phase II clinical trial of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in the United States that demonstrated statistically significant improvements compared to vehicle in the co-primary efficacy endpoints of “clear” or “almost clear” with a two-grade reduction in IGA and in reducing absolute inflammatory and non-inflammatory lesion counts at week</w:t>
      </w:r>
    </w:p>
    <w:p>
      <w:pPr>
        <w:spacing w:after="0" w:line="1" w:lineRule="exact"/>
        <w:rPr>
          <w:sz w:val="20"/>
          <w:szCs w:val="20"/>
          <w:color w:val="auto"/>
        </w:rPr>
      </w:pPr>
    </w:p>
    <w:p>
      <w:pPr>
        <w:jc w:val="both"/>
        <w:ind w:left="5" w:right="20" w:hanging="5"/>
        <w:spacing w:after="0" w:line="269" w:lineRule="auto"/>
        <w:tabs>
          <w:tab w:leader="none" w:pos="307" w:val="left"/>
        </w:tabs>
        <w:numPr>
          <w:ilvl w:val="0"/>
          <w:numId w:val="43"/>
        </w:numPr>
        <w:rPr>
          <w:rFonts w:ascii="Arial" w:cs="Arial" w:eastAsia="Arial" w:hAnsi="Arial"/>
          <w:sz w:val="19"/>
          <w:szCs w:val="19"/>
          <w:color w:val="auto"/>
        </w:rPr>
      </w:pPr>
      <w:r>
        <w:rPr>
          <w:rFonts w:ascii="Arial" w:cs="Arial" w:eastAsia="Arial" w:hAnsi="Arial"/>
          <w:sz w:val="19"/>
          <w:szCs w:val="19"/>
          <w:color w:val="auto"/>
        </w:rPr>
        <w:t>Of the 726 subjects enrolled in the trial, 128 subjects across six treatment groups did not complete the study. The most common reasons for subjects not completing the study were the withdrawal of informed consent (42 subjects), loss to follow-up (56 subjects) and adverse events (18 subjects).</w:t>
      </w:r>
    </w:p>
    <w:p>
      <w:pPr>
        <w:sectPr>
          <w:pgSz w:w="11900" w:h="16838" w:orient="portrait"/>
          <w:cols w:equalWidth="0" w:num="1">
            <w:col w:w="11265"/>
          </w:cols>
          <w:pgMar w:left="315" w:top="132" w:right="319" w:bottom="1127" w:gutter="0" w:footer="0" w:header="0"/>
        </w:sectPr>
      </w:pPr>
    </w:p>
    <w:p>
      <w:pPr>
        <w:spacing w:after="0" w:line="349" w:lineRule="exact"/>
        <w:rPr>
          <w:sz w:val="20"/>
          <w:szCs w:val="20"/>
          <w:color w:val="auto"/>
        </w:rPr>
      </w:pPr>
    </w:p>
    <w:p>
      <w:pPr>
        <w:jc w:val="center"/>
        <w:ind w:right="15"/>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53340</wp:posOffset>
            </wp:positionV>
            <wp:extent cx="7149465" cy="152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127" w:gutter="0" w:footer="0" w:header="0"/>
          <w:type w:val="continuous"/>
        </w:sectPr>
      </w:pPr>
    </w:p>
    <w:bookmarkStart w:id="58" w:name="page59"/>
    <w:bookmarkEnd w:id="58"/>
    <w:p>
      <w:pPr>
        <w:jc w:val="both"/>
        <w:ind w:left="4" w:firstLine="566"/>
        <w:spacing w:after="0" w:line="210" w:lineRule="auto"/>
        <w:rPr>
          <w:sz w:val="20"/>
          <w:szCs w:val="20"/>
          <w:color w:val="auto"/>
        </w:rPr>
      </w:pPr>
      <w:r>
        <w:rPr>
          <w:rFonts w:ascii="Arial" w:cs="Arial" w:eastAsia="Arial" w:hAnsi="Arial"/>
          <w:sz w:val="17"/>
          <w:szCs w:val="17"/>
          <w:color w:val="auto"/>
        </w:rPr>
        <w:t>On December 30, 2019, we announced top-line results from two pivotal Phase 3 clinical trials evaluating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for the treatment of acne.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w:t>
      </w:r>
    </w:p>
    <w:p>
      <w:pPr>
        <w:spacing w:after="0" w:line="5" w:lineRule="exact"/>
        <w:rPr>
          <w:sz w:val="20"/>
          <w:szCs w:val="20"/>
          <w:color w:val="auto"/>
        </w:rPr>
      </w:pPr>
    </w:p>
    <w:p>
      <w:pPr>
        <w:jc w:val="both"/>
        <w:ind w:left="4" w:hanging="4"/>
        <w:spacing w:after="0" w:line="214" w:lineRule="auto"/>
        <w:tabs>
          <w:tab w:leader="none" w:pos="281" w:val="left"/>
        </w:tabs>
        <w:numPr>
          <w:ilvl w:val="0"/>
          <w:numId w:val="44"/>
        </w:numPr>
        <w:rPr>
          <w:rFonts w:ascii="Arial" w:cs="Arial" w:eastAsia="Arial" w:hAnsi="Arial"/>
          <w:sz w:val="19"/>
          <w:szCs w:val="19"/>
          <w:color w:val="auto"/>
        </w:rPr>
      </w:pPr>
      <w:r>
        <w:rPr>
          <w:rFonts w:ascii="Arial" w:cs="Arial" w:eastAsia="Arial" w:hAnsi="Arial"/>
          <w:sz w:val="19"/>
          <w:szCs w:val="19"/>
          <w:color w:val="auto"/>
        </w:rPr>
        <w:t>an absolute change from baseline in inflammatory lesion count at Week 12, and (3) and an absolute change from baseline in non-inflammatory lesion count at Week 12. In addition,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was found to be well-tolerated. Our NDA for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has been accepted for filing by the FDA, which assigned a PDUFA goal date of August 1, 2021.</w:t>
      </w:r>
    </w:p>
    <w:p>
      <w:pPr>
        <w:spacing w:after="0" w:line="235" w:lineRule="exact"/>
        <w:rPr>
          <w:sz w:val="20"/>
          <w:szCs w:val="20"/>
          <w:color w:val="auto"/>
        </w:rPr>
      </w:pPr>
    </w:p>
    <w:p>
      <w:pPr>
        <w:ind w:left="4"/>
        <w:spacing w:after="0"/>
        <w:rPr>
          <w:sz w:val="20"/>
          <w:szCs w:val="20"/>
          <w:color w:val="auto"/>
        </w:rPr>
      </w:pPr>
      <w:r>
        <w:rPr>
          <w:rFonts w:ascii="Arial" w:cs="Arial" w:eastAsia="Arial" w:hAnsi="Arial"/>
          <w:sz w:val="19"/>
          <w:szCs w:val="19"/>
          <w:i w:val="1"/>
          <w:iCs w:val="1"/>
          <w:color w:val="auto"/>
        </w:rPr>
        <w:t>Acne Market Opportunity</w:t>
      </w:r>
    </w:p>
    <w:p>
      <w:pPr>
        <w:spacing w:after="0" w:line="255" w:lineRule="exact"/>
        <w:rPr>
          <w:sz w:val="20"/>
          <w:szCs w:val="20"/>
          <w:color w:val="auto"/>
        </w:rPr>
      </w:pPr>
    </w:p>
    <w:p>
      <w:pPr>
        <w:jc w:val="both"/>
        <w:ind w:left="4" w:right="20" w:firstLine="568"/>
        <w:spacing w:after="0" w:line="293" w:lineRule="auto"/>
        <w:rPr>
          <w:sz w:val="20"/>
          <w:szCs w:val="20"/>
          <w:color w:val="auto"/>
        </w:rPr>
      </w:pPr>
      <w:r>
        <w:rPr>
          <w:rFonts w:ascii="Arial" w:cs="Arial" w:eastAsia="Arial" w:hAnsi="Arial"/>
          <w:sz w:val="18"/>
          <w:szCs w:val="18"/>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183" w:lineRule="exact"/>
        <w:rPr>
          <w:sz w:val="20"/>
          <w:szCs w:val="20"/>
          <w:color w:val="auto"/>
        </w:rPr>
      </w:pPr>
    </w:p>
    <w:p>
      <w:pPr>
        <w:ind w:left="744" w:hanging="426"/>
        <w:spacing w:after="0"/>
        <w:tabs>
          <w:tab w:leader="none" w:pos="744" w:val="left"/>
        </w:tabs>
        <w:numPr>
          <w:ilvl w:val="0"/>
          <w:numId w:val="45"/>
        </w:numPr>
        <w:rPr>
          <w:rFonts w:ascii="Arial" w:cs="Arial" w:eastAsia="Arial" w:hAnsi="Arial"/>
          <w:sz w:val="16"/>
          <w:szCs w:val="16"/>
          <w:color w:val="auto"/>
        </w:rPr>
      </w:pPr>
      <w:r>
        <w:rPr>
          <w:rFonts w:ascii="Arial" w:cs="Arial" w:eastAsia="Arial" w:hAnsi="Arial"/>
          <w:sz w:val="16"/>
          <w:szCs w:val="16"/>
          <w:color w:val="auto"/>
        </w:rPr>
        <w:t>blockage of hair follicles through abnormal keratinization in the follicle, which narrows pores;</w:t>
      </w:r>
    </w:p>
    <w:p>
      <w:pPr>
        <w:spacing w:after="0" w:line="241" w:lineRule="exact"/>
        <w:rPr>
          <w:rFonts w:ascii="Arial" w:cs="Arial" w:eastAsia="Arial" w:hAnsi="Arial"/>
          <w:sz w:val="16"/>
          <w:szCs w:val="16"/>
          <w:color w:val="auto"/>
        </w:rPr>
      </w:pPr>
    </w:p>
    <w:p>
      <w:pPr>
        <w:ind w:left="744" w:hanging="426"/>
        <w:spacing w:after="0"/>
        <w:tabs>
          <w:tab w:leader="none" w:pos="744"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increase in oils, or sebum production, secreted by the sebaceous gland;</w:t>
      </w:r>
    </w:p>
    <w:p>
      <w:pPr>
        <w:spacing w:after="0" w:line="241" w:lineRule="exact"/>
        <w:rPr>
          <w:rFonts w:ascii="Arial" w:cs="Arial" w:eastAsia="Arial" w:hAnsi="Arial"/>
          <w:sz w:val="16"/>
          <w:szCs w:val="16"/>
          <w:color w:val="auto"/>
        </w:rPr>
      </w:pPr>
    </w:p>
    <w:p>
      <w:pPr>
        <w:ind w:left="744" w:hanging="426"/>
        <w:spacing w:after="0"/>
        <w:tabs>
          <w:tab w:leader="none" w:pos="744" w:val="left"/>
        </w:tabs>
        <w:numPr>
          <w:ilvl w:val="0"/>
          <w:numId w:val="45"/>
        </w:numPr>
        <w:rPr>
          <w:rFonts w:ascii="Arial" w:cs="Arial" w:eastAsia="Arial" w:hAnsi="Arial"/>
          <w:sz w:val="16"/>
          <w:szCs w:val="16"/>
          <w:color w:val="auto"/>
        </w:rPr>
      </w:pPr>
      <w:r>
        <w:rPr>
          <w:rFonts w:ascii="Arial" w:cs="Arial" w:eastAsia="Arial" w:hAnsi="Arial"/>
          <w:sz w:val="16"/>
          <w:szCs w:val="16"/>
          <w:color w:val="auto"/>
        </w:rPr>
        <w:t xml:space="preserve">overgrowth of naturally occurring bacteria caused by the colonization by the anaerobic lipohilic bacterium </w:t>
      </w:r>
      <w:r>
        <w:rPr>
          <w:rFonts w:ascii="Arial" w:cs="Arial" w:eastAsia="Arial" w:hAnsi="Arial"/>
          <w:sz w:val="16"/>
          <w:szCs w:val="16"/>
          <w:i w:val="1"/>
          <w:iCs w:val="1"/>
          <w:color w:val="auto"/>
        </w:rPr>
        <w:t>Propionibacterium acnes</w:t>
      </w:r>
      <w:r>
        <w:rPr>
          <w:rFonts w:ascii="Arial" w:cs="Arial" w:eastAsia="Arial" w:hAnsi="Arial"/>
          <w:sz w:val="16"/>
          <w:szCs w:val="16"/>
          <w:color w:val="auto"/>
        </w:rPr>
        <w:t xml:space="preserve">, or </w:t>
      </w:r>
      <w:r>
        <w:rPr>
          <w:rFonts w:ascii="Arial" w:cs="Arial" w:eastAsia="Arial" w:hAnsi="Arial"/>
          <w:sz w:val="16"/>
          <w:szCs w:val="16"/>
          <w:i w:val="1"/>
          <w:iCs w:val="1"/>
          <w:color w:val="auto"/>
        </w:rPr>
        <w:t>P. acnes</w:t>
      </w:r>
      <w:r>
        <w:rPr>
          <w:rFonts w:ascii="Arial" w:cs="Arial" w:eastAsia="Arial" w:hAnsi="Arial"/>
          <w:sz w:val="16"/>
          <w:szCs w:val="16"/>
          <w:color w:val="auto"/>
        </w:rPr>
        <w:t>;</w:t>
      </w:r>
    </w:p>
    <w:p>
      <w:pPr>
        <w:spacing w:after="0" w:line="241" w:lineRule="exact"/>
        <w:rPr>
          <w:rFonts w:ascii="Arial" w:cs="Arial" w:eastAsia="Arial" w:hAnsi="Arial"/>
          <w:sz w:val="16"/>
          <w:szCs w:val="16"/>
          <w:color w:val="auto"/>
        </w:rPr>
      </w:pPr>
    </w:p>
    <w:p>
      <w:pPr>
        <w:ind w:left="744" w:hanging="426"/>
        <w:spacing w:after="0"/>
        <w:tabs>
          <w:tab w:leader="none" w:pos="744"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inflammatory response due to relapse of pro-inflammatory mediators into the skin.</w:t>
      </w:r>
    </w:p>
    <w:p>
      <w:pPr>
        <w:spacing w:after="0" w:line="247" w:lineRule="exact"/>
        <w:rPr>
          <w:sz w:val="20"/>
          <w:szCs w:val="20"/>
          <w:color w:val="auto"/>
        </w:rPr>
      </w:pPr>
    </w:p>
    <w:p>
      <w:pPr>
        <w:jc w:val="both"/>
        <w:ind w:left="4" w:firstLine="568"/>
        <w:spacing w:after="0" w:line="298" w:lineRule="auto"/>
        <w:rPr>
          <w:sz w:val="20"/>
          <w:szCs w:val="20"/>
          <w:color w:val="auto"/>
        </w:rPr>
      </w:pPr>
      <w:r>
        <w:rPr>
          <w:rFonts w:ascii="Arial" w:cs="Arial" w:eastAsia="Arial" w:hAnsi="Arial"/>
          <w:sz w:val="17"/>
          <w:szCs w:val="17"/>
          <w:color w:val="auto"/>
        </w:rPr>
        <w:t>Due to the frequency of recurrence and relapse, acne is characterized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187" w:lineRule="exact"/>
        <w:rPr>
          <w:sz w:val="20"/>
          <w:szCs w:val="20"/>
          <w:color w:val="auto"/>
        </w:rPr>
      </w:pPr>
    </w:p>
    <w:p>
      <w:pPr>
        <w:ind w:left="4"/>
        <w:spacing w:after="0"/>
        <w:rPr>
          <w:sz w:val="20"/>
          <w:szCs w:val="20"/>
          <w:color w:val="auto"/>
        </w:rPr>
      </w:pPr>
      <w:r>
        <w:rPr>
          <w:rFonts w:ascii="Arial" w:cs="Arial" w:eastAsia="Arial" w:hAnsi="Arial"/>
          <w:sz w:val="19"/>
          <w:szCs w:val="19"/>
          <w:i w:val="1"/>
          <w:iCs w:val="1"/>
          <w:color w:val="auto"/>
        </w:rPr>
        <w:t>Current Treatment Landscape for Acne</w:t>
      </w:r>
    </w:p>
    <w:p>
      <w:pPr>
        <w:spacing w:after="0" w:line="255" w:lineRule="exact"/>
        <w:rPr>
          <w:sz w:val="20"/>
          <w:szCs w:val="20"/>
          <w:color w:val="auto"/>
        </w:rPr>
      </w:pPr>
    </w:p>
    <w:p>
      <w:pPr>
        <w:ind w:left="564"/>
        <w:spacing w:after="0"/>
        <w:rPr>
          <w:sz w:val="20"/>
          <w:szCs w:val="20"/>
          <w:color w:val="auto"/>
        </w:rPr>
      </w:pPr>
      <w:r>
        <w:rPr>
          <w:rFonts w:ascii="Arial" w:cs="Arial" w:eastAsia="Arial" w:hAnsi="Arial"/>
          <w:sz w:val="19"/>
          <w:szCs w:val="19"/>
          <w:color w:val="auto"/>
        </w:rPr>
        <w:t>The treatment options for acne depend on the severity of the disease and consist of topical and oral drugs:</w:t>
      </w:r>
    </w:p>
    <w:p>
      <w:pPr>
        <w:spacing w:after="0" w:line="245" w:lineRule="exact"/>
        <w:rPr>
          <w:sz w:val="20"/>
          <w:szCs w:val="20"/>
          <w:color w:val="auto"/>
        </w:rPr>
      </w:pPr>
    </w:p>
    <w:p>
      <w:pPr>
        <w:ind w:left="744" w:hanging="426"/>
        <w:spacing w:after="0"/>
        <w:tabs>
          <w:tab w:leader="none" w:pos="744" w:val="left"/>
        </w:tabs>
        <w:numPr>
          <w:ilvl w:val="0"/>
          <w:numId w:val="46"/>
        </w:numPr>
        <w:rPr>
          <w:rFonts w:ascii="Arial" w:cs="Arial" w:eastAsia="Arial" w:hAnsi="Arial"/>
          <w:sz w:val="14"/>
          <w:szCs w:val="14"/>
          <w:color w:val="auto"/>
        </w:rPr>
      </w:pPr>
      <w:r>
        <w:rPr>
          <w:rFonts w:ascii="Arial" w:cs="Arial" w:eastAsia="Arial" w:hAnsi="Arial"/>
          <w:sz w:val="14"/>
          <w:szCs w:val="14"/>
          <w:b w:val="1"/>
          <w:bCs w:val="1"/>
          <w:color w:val="auto"/>
        </w:rPr>
        <w:t>Mild acne</w:t>
      </w:r>
      <w:r>
        <w:rPr>
          <w:rFonts w:ascii="Arial" w:cs="Arial" w:eastAsia="Arial" w:hAnsi="Arial"/>
          <w:sz w:val="14"/>
          <w:szCs w:val="14"/>
          <w:color w:val="auto"/>
        </w:rPr>
        <w:t>: characterized by few papules or pustules (both comedonal and inflammatory); treated with an over-the-counter product or topical prescription therapies.</w:t>
      </w:r>
    </w:p>
    <w:p>
      <w:pPr>
        <w:spacing w:after="0" w:line="264" w:lineRule="exact"/>
        <w:rPr>
          <w:rFonts w:ascii="Arial" w:cs="Arial" w:eastAsia="Arial" w:hAnsi="Arial"/>
          <w:sz w:val="14"/>
          <w:szCs w:val="14"/>
          <w:color w:val="auto"/>
        </w:rPr>
      </w:pPr>
    </w:p>
    <w:p>
      <w:pPr>
        <w:ind w:left="744" w:right="20" w:hanging="426"/>
        <w:spacing w:after="0" w:line="273" w:lineRule="auto"/>
        <w:tabs>
          <w:tab w:leader="none" w:pos="744" w:val="left"/>
        </w:tabs>
        <w:numPr>
          <w:ilvl w:val="0"/>
          <w:numId w:val="46"/>
        </w:numPr>
        <w:rPr>
          <w:rFonts w:ascii="Arial" w:cs="Arial" w:eastAsia="Arial" w:hAnsi="Arial"/>
          <w:sz w:val="16"/>
          <w:szCs w:val="16"/>
          <w:color w:val="auto"/>
        </w:rPr>
      </w:pPr>
      <w:r>
        <w:rPr>
          <w:rFonts w:ascii="Arial" w:cs="Arial" w:eastAsia="Arial" w:hAnsi="Arial"/>
          <w:sz w:val="16"/>
          <w:szCs w:val="16"/>
          <w:b w:val="1"/>
          <w:bCs w:val="1"/>
          <w:color w:val="auto"/>
        </w:rPr>
        <w:t>Moderate acne</w:t>
      </w:r>
      <w:r>
        <w:rPr>
          <w:rFonts w:ascii="Arial" w:cs="Arial" w:eastAsia="Arial" w:hAnsi="Arial"/>
          <w:sz w:val="16"/>
          <w:szCs w:val="16"/>
          <w:color w:val="auto"/>
        </w:rPr>
        <w:t>: characterized by multiple papules and pustules with moderate inflammation and seborrhea (scaly red skin); treated with a combination of oral</w:t>
      </w:r>
      <w:r>
        <w:rPr>
          <w:rFonts w:ascii="Arial" w:cs="Arial" w:eastAsia="Arial" w:hAnsi="Arial"/>
          <w:sz w:val="16"/>
          <w:szCs w:val="16"/>
          <w:b w:val="1"/>
          <w:bCs w:val="1"/>
          <w:color w:val="auto"/>
        </w:rPr>
        <w:t xml:space="preserve"> </w:t>
      </w:r>
      <w:r>
        <w:rPr>
          <w:rFonts w:ascii="Arial" w:cs="Arial" w:eastAsia="Arial" w:hAnsi="Arial"/>
          <w:sz w:val="16"/>
          <w:szCs w:val="16"/>
          <w:color w:val="auto"/>
        </w:rPr>
        <w:t>antibiotics and topical therapies.</w:t>
      </w:r>
    </w:p>
    <w:p>
      <w:pPr>
        <w:spacing w:after="0" w:line="348" w:lineRule="exact"/>
        <w:rPr>
          <w:sz w:val="20"/>
          <w:szCs w:val="20"/>
          <w:color w:val="auto"/>
        </w:rPr>
      </w:pPr>
    </w:p>
    <w:p>
      <w:pPr>
        <w:jc w:val="center"/>
        <w:ind w:right="-3"/>
        <w:spacing w:after="0"/>
        <w:rPr>
          <w:sz w:val="20"/>
          <w:szCs w:val="20"/>
          <w:color w:val="auto"/>
        </w:rPr>
      </w:pPr>
      <w:r>
        <w:rPr>
          <w:rFonts w:ascii="Arial" w:cs="Arial" w:eastAsia="Arial" w:hAnsi="Arial"/>
          <w:sz w:val="19"/>
          <w:szCs w:val="19"/>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4"/>
          </w:cols>
          <w:pgMar w:left="316" w:top="127" w:right="319" w:bottom="1440" w:gutter="0" w:footer="0" w:header="0"/>
        </w:sectPr>
      </w:pPr>
    </w:p>
    <w:bookmarkStart w:id="59" w:name="page60"/>
    <w:bookmarkEnd w:id="59"/>
    <w:p>
      <w:pPr>
        <w:ind w:left="740" w:right="20" w:hanging="426"/>
        <w:spacing w:after="0" w:line="273" w:lineRule="auto"/>
        <w:tabs>
          <w:tab w:leader="none" w:pos="740" w:val="left"/>
        </w:tabs>
        <w:numPr>
          <w:ilvl w:val="0"/>
          <w:numId w:val="47"/>
        </w:numPr>
        <w:rPr>
          <w:rFonts w:ascii="Arial" w:cs="Arial" w:eastAsia="Arial" w:hAnsi="Arial"/>
          <w:sz w:val="16"/>
          <w:szCs w:val="16"/>
          <w:color w:val="auto"/>
        </w:rPr>
      </w:pPr>
      <w:r>
        <w:rPr>
          <w:rFonts w:ascii="Arial" w:cs="Arial" w:eastAsia="Arial" w:hAnsi="Arial"/>
          <w:sz w:val="16"/>
          <w:szCs w:val="16"/>
          <w:b w:val="1"/>
          <w:bCs w:val="1"/>
          <w:color w:val="auto"/>
        </w:rPr>
        <w:t>Severe acne</w:t>
      </w:r>
      <w:r>
        <w:rPr>
          <w:rFonts w:ascii="Arial" w:cs="Arial" w:eastAsia="Arial" w:hAnsi="Arial"/>
          <w:sz w:val="16"/>
          <w:szCs w:val="16"/>
          <w:color w:val="auto"/>
        </w:rPr>
        <w:t>: characterized by substantial papulopustular disease, many nodules and/or cysts and significant inflammation and seborrhea; treated with oral and topical</w:t>
      </w:r>
      <w:r>
        <w:rPr>
          <w:rFonts w:ascii="Arial" w:cs="Arial" w:eastAsia="Arial" w:hAnsi="Arial"/>
          <w:sz w:val="16"/>
          <w:szCs w:val="16"/>
          <w:b w:val="1"/>
          <w:bCs w:val="1"/>
          <w:color w:val="auto"/>
        </w:rPr>
        <w:t xml:space="preserve"> </w:t>
      </w:r>
      <w:r>
        <w:rPr>
          <w:rFonts w:ascii="Arial" w:cs="Arial" w:eastAsia="Arial" w:hAnsi="Arial"/>
          <w:sz w:val="16"/>
          <w:szCs w:val="16"/>
          <w:color w:val="auto"/>
        </w:rPr>
        <w:t>combination therapies and photodynamic therapy as a third-line treatment.</w:t>
      </w:r>
    </w:p>
    <w:p>
      <w:pPr>
        <w:spacing w:after="0" w:line="206" w:lineRule="exact"/>
        <w:rPr>
          <w:sz w:val="20"/>
          <w:szCs w:val="20"/>
          <w:color w:val="auto"/>
        </w:rPr>
      </w:pPr>
    </w:p>
    <w:p>
      <w:pPr>
        <w:ind w:right="20"/>
        <w:spacing w:after="0" w:line="313" w:lineRule="auto"/>
        <w:rPr>
          <w:sz w:val="20"/>
          <w:szCs w:val="20"/>
          <w:color w:val="auto"/>
        </w:rPr>
      </w:pPr>
      <w:r>
        <w:rPr>
          <w:rFonts w:ascii="Arial" w:cs="Arial" w:eastAsia="Arial" w:hAnsi="Arial"/>
          <w:sz w:val="18"/>
          <w:szCs w:val="18"/>
          <w:color w:val="auto"/>
        </w:rPr>
        <w:t>Topical therapies dominate the acne market as physicians and patients often prefer therapies that act locally on the skin, while minimizing side effects. For more pronounced symptoms, patients are typically treated with a combination of topical and oral therapies.</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acne prescription treatment landscape is comprised of four classes of topical products and two classes of oral products:</w:t>
      </w:r>
    </w:p>
    <w:p>
      <w:pPr>
        <w:spacing w:after="0" w:line="245" w:lineRule="exact"/>
        <w:rPr>
          <w:sz w:val="20"/>
          <w:szCs w:val="20"/>
          <w:color w:val="auto"/>
        </w:rPr>
      </w:pPr>
    </w:p>
    <w:p>
      <w:pPr>
        <w:ind w:left="740" w:right="20" w:hanging="426"/>
        <w:spacing w:after="0" w:line="273" w:lineRule="auto"/>
        <w:tabs>
          <w:tab w:leader="none" w:pos="740" w:val="left"/>
        </w:tabs>
        <w:numPr>
          <w:ilvl w:val="0"/>
          <w:numId w:val="48"/>
        </w:numPr>
        <w:rPr>
          <w:rFonts w:ascii="Arial" w:cs="Arial" w:eastAsia="Arial" w:hAnsi="Arial"/>
          <w:sz w:val="16"/>
          <w:szCs w:val="16"/>
          <w:color w:val="auto"/>
        </w:rPr>
      </w:pPr>
      <w:r>
        <w:rPr>
          <w:rFonts w:ascii="Arial" w:cs="Arial" w:eastAsia="Arial" w:hAnsi="Arial"/>
          <w:sz w:val="16"/>
          <w:szCs w:val="16"/>
          <w:b w:val="1"/>
          <w:bCs w:val="1"/>
          <w:color w:val="auto"/>
        </w:rPr>
        <w:t xml:space="preserve">Topical over-the-counter monotherapies </w:t>
      </w:r>
      <w:r>
        <w:rPr>
          <w:rFonts w:ascii="Arial" w:cs="Arial" w:eastAsia="Arial" w:hAnsi="Arial"/>
          <w:sz w:val="16"/>
          <w:szCs w:val="16"/>
          <w:color w:val="auto"/>
        </w:rPr>
        <w:t>such as adapalene 0.1%, benzoyl peroxide and salicylic acid, in different concentrations, are the most commonly used</w:t>
      </w:r>
      <w:r>
        <w:rPr>
          <w:rFonts w:ascii="Arial" w:cs="Arial" w:eastAsia="Arial" w:hAnsi="Arial"/>
          <w:sz w:val="16"/>
          <w:szCs w:val="16"/>
          <w:b w:val="1"/>
          <w:bCs w:val="1"/>
          <w:color w:val="auto"/>
        </w:rPr>
        <w:t xml:space="preserve"> </w:t>
      </w:r>
      <w:r>
        <w:rPr>
          <w:rFonts w:ascii="Arial" w:cs="Arial" w:eastAsia="Arial" w:hAnsi="Arial"/>
          <w:sz w:val="16"/>
          <w:szCs w:val="16"/>
          <w:color w:val="auto"/>
        </w:rPr>
        <w:t>therapies. These are generally tolerable first-line treatments for mild acne, but less efficacious than prescription therapies.</w:t>
      </w:r>
    </w:p>
    <w:p>
      <w:pPr>
        <w:spacing w:after="0" w:line="196" w:lineRule="exact"/>
        <w:rPr>
          <w:rFonts w:ascii="Arial" w:cs="Arial" w:eastAsia="Arial" w:hAnsi="Arial"/>
          <w:sz w:val="16"/>
          <w:szCs w:val="16"/>
          <w:color w:val="auto"/>
        </w:rPr>
      </w:pPr>
    </w:p>
    <w:p>
      <w:pPr>
        <w:ind w:left="740" w:hanging="426"/>
        <w:spacing w:after="0" w:line="273" w:lineRule="auto"/>
        <w:tabs>
          <w:tab w:leader="none" w:pos="740" w:val="left"/>
        </w:tabs>
        <w:numPr>
          <w:ilvl w:val="0"/>
          <w:numId w:val="48"/>
        </w:numPr>
        <w:rPr>
          <w:rFonts w:ascii="Arial" w:cs="Arial" w:eastAsia="Arial" w:hAnsi="Arial"/>
          <w:sz w:val="16"/>
          <w:szCs w:val="16"/>
          <w:color w:val="auto"/>
        </w:rPr>
      </w:pPr>
      <w:r>
        <w:rPr>
          <w:rFonts w:ascii="Arial" w:cs="Arial" w:eastAsia="Arial" w:hAnsi="Arial"/>
          <w:sz w:val="16"/>
          <w:szCs w:val="16"/>
          <w:b w:val="1"/>
          <w:bCs w:val="1"/>
          <w:color w:val="auto"/>
        </w:rPr>
        <w:t xml:space="preserve">Topical prescription antibiotic monotherapies </w:t>
      </w:r>
      <w:r>
        <w:rPr>
          <w:rFonts w:ascii="Arial" w:cs="Arial" w:eastAsia="Arial" w:hAnsi="Arial"/>
          <w:sz w:val="16"/>
          <w:szCs w:val="16"/>
          <w:color w:val="auto"/>
        </w:rPr>
        <w:t>such as clindamycin and erythromycin that are most commonly used as topical therapies in cases of mild-to-moderate acne.</w:t>
      </w:r>
    </w:p>
    <w:p>
      <w:pPr>
        <w:spacing w:after="0" w:line="196" w:lineRule="exact"/>
        <w:rPr>
          <w:rFonts w:ascii="Arial" w:cs="Arial" w:eastAsia="Arial" w:hAnsi="Arial"/>
          <w:sz w:val="16"/>
          <w:szCs w:val="16"/>
          <w:color w:val="auto"/>
        </w:rPr>
      </w:pPr>
    </w:p>
    <w:p>
      <w:pPr>
        <w:ind w:left="740" w:right="20" w:hanging="426"/>
        <w:spacing w:after="0" w:line="273" w:lineRule="auto"/>
        <w:tabs>
          <w:tab w:leader="none" w:pos="740" w:val="left"/>
        </w:tabs>
        <w:numPr>
          <w:ilvl w:val="0"/>
          <w:numId w:val="48"/>
        </w:numPr>
        <w:rPr>
          <w:rFonts w:ascii="Arial" w:cs="Arial" w:eastAsia="Arial" w:hAnsi="Arial"/>
          <w:sz w:val="16"/>
          <w:szCs w:val="16"/>
          <w:color w:val="auto"/>
        </w:rPr>
      </w:pPr>
      <w:r>
        <w:rPr>
          <w:rFonts w:ascii="Arial" w:cs="Arial" w:eastAsia="Arial" w:hAnsi="Arial"/>
          <w:sz w:val="16"/>
          <w:szCs w:val="16"/>
          <w:b w:val="1"/>
          <w:bCs w:val="1"/>
          <w:color w:val="auto"/>
        </w:rPr>
        <w:t xml:space="preserve">Topical prescription retinoid monotherapies </w:t>
      </w:r>
      <w:r>
        <w:rPr>
          <w:rFonts w:ascii="Arial" w:cs="Arial" w:eastAsia="Arial" w:hAnsi="Arial"/>
          <w:sz w:val="16"/>
          <w:szCs w:val="16"/>
          <w:color w:val="auto"/>
        </w:rPr>
        <w:t>such as tretinoin, adapalene 0.3% and tazarotene. Physicians view retinoids as moderately efficacious, but they have</w:t>
      </w:r>
      <w:r>
        <w:rPr>
          <w:rFonts w:ascii="Arial" w:cs="Arial" w:eastAsia="Arial" w:hAnsi="Arial"/>
          <w:sz w:val="16"/>
          <w:szCs w:val="16"/>
          <w:b w:val="1"/>
          <w:bCs w:val="1"/>
          <w:color w:val="auto"/>
        </w:rPr>
        <w:t xml:space="preserve"> </w:t>
      </w:r>
      <w:r>
        <w:rPr>
          <w:rFonts w:ascii="Arial" w:cs="Arial" w:eastAsia="Arial" w:hAnsi="Arial"/>
          <w:sz w:val="16"/>
          <w:szCs w:val="16"/>
          <w:color w:val="auto"/>
        </w:rPr>
        <w:t>high rates of skin irritation.</w:t>
      </w:r>
    </w:p>
    <w:p>
      <w:pPr>
        <w:spacing w:after="0" w:line="196" w:lineRule="exact"/>
        <w:rPr>
          <w:rFonts w:ascii="Arial" w:cs="Arial" w:eastAsia="Arial" w:hAnsi="Arial"/>
          <w:sz w:val="16"/>
          <w:szCs w:val="16"/>
          <w:color w:val="auto"/>
        </w:rPr>
      </w:pPr>
    </w:p>
    <w:p>
      <w:pPr>
        <w:ind w:left="740" w:right="20" w:hanging="426"/>
        <w:spacing w:after="0" w:line="273" w:lineRule="auto"/>
        <w:tabs>
          <w:tab w:leader="none" w:pos="740" w:val="left"/>
        </w:tabs>
        <w:numPr>
          <w:ilvl w:val="0"/>
          <w:numId w:val="48"/>
        </w:numPr>
        <w:rPr>
          <w:rFonts w:ascii="Arial" w:cs="Arial" w:eastAsia="Arial" w:hAnsi="Arial"/>
          <w:sz w:val="16"/>
          <w:szCs w:val="16"/>
          <w:color w:val="auto"/>
        </w:rPr>
      </w:pPr>
      <w:r>
        <w:rPr>
          <w:rFonts w:ascii="Arial" w:cs="Arial" w:eastAsia="Arial" w:hAnsi="Arial"/>
          <w:sz w:val="16"/>
          <w:szCs w:val="16"/>
          <w:b w:val="1"/>
          <w:bCs w:val="1"/>
          <w:color w:val="auto"/>
        </w:rPr>
        <w:t xml:space="preserve">Topical prescription combination products </w:t>
      </w:r>
      <w:r>
        <w:rPr>
          <w:rFonts w:ascii="Arial" w:cs="Arial" w:eastAsia="Arial" w:hAnsi="Arial"/>
          <w:sz w:val="16"/>
          <w:szCs w:val="16"/>
          <w:color w:val="auto"/>
        </w:rPr>
        <w:t>such as combinations of BPO/adapalene, BPO/clindamycin, BPO/erythromycin and clindamycin/tretinoin. These target</w:t>
      </w:r>
      <w:r>
        <w:rPr>
          <w:rFonts w:ascii="Arial" w:cs="Arial" w:eastAsia="Arial" w:hAnsi="Arial"/>
          <w:sz w:val="16"/>
          <w:szCs w:val="16"/>
          <w:b w:val="1"/>
          <w:bCs w:val="1"/>
          <w:color w:val="auto"/>
        </w:rPr>
        <w:t xml:space="preserve"> </w:t>
      </w:r>
      <w:r>
        <w:rPr>
          <w:rFonts w:ascii="Arial" w:cs="Arial" w:eastAsia="Arial" w:hAnsi="Arial"/>
          <w:sz w:val="16"/>
          <w:szCs w:val="16"/>
          <w:color w:val="auto"/>
        </w:rPr>
        <w:t>multiple components that contribute to the development of acne, though topical side effects are common.</w:t>
      </w:r>
    </w:p>
    <w:p>
      <w:pPr>
        <w:spacing w:after="0" w:line="196" w:lineRule="exact"/>
        <w:rPr>
          <w:rFonts w:ascii="Arial" w:cs="Arial" w:eastAsia="Arial" w:hAnsi="Arial"/>
          <w:sz w:val="16"/>
          <w:szCs w:val="16"/>
          <w:color w:val="auto"/>
        </w:rPr>
      </w:pPr>
    </w:p>
    <w:p>
      <w:pPr>
        <w:ind w:left="740" w:hanging="426"/>
        <w:spacing w:after="0" w:line="273" w:lineRule="auto"/>
        <w:tabs>
          <w:tab w:leader="none" w:pos="740" w:val="left"/>
        </w:tabs>
        <w:numPr>
          <w:ilvl w:val="0"/>
          <w:numId w:val="48"/>
        </w:numPr>
        <w:rPr>
          <w:rFonts w:ascii="Arial" w:cs="Arial" w:eastAsia="Arial" w:hAnsi="Arial"/>
          <w:sz w:val="16"/>
          <w:szCs w:val="16"/>
          <w:color w:val="auto"/>
        </w:rPr>
      </w:pPr>
      <w:r>
        <w:rPr>
          <w:rFonts w:ascii="Arial" w:cs="Arial" w:eastAsia="Arial" w:hAnsi="Arial"/>
          <w:sz w:val="16"/>
          <w:szCs w:val="16"/>
          <w:b w:val="1"/>
          <w:bCs w:val="1"/>
          <w:color w:val="auto"/>
        </w:rPr>
        <w:t xml:space="preserve">Oral prescription antibiotics </w:t>
      </w:r>
      <w:r>
        <w:rPr>
          <w:rFonts w:ascii="Arial" w:cs="Arial" w:eastAsia="Arial" w:hAnsi="Arial"/>
          <w:sz w:val="16"/>
          <w:szCs w:val="16"/>
          <w:color w:val="auto"/>
        </w:rPr>
        <w:t>such as doxycycline and minocycline. These are typically used as step-up treatments for more severe cases of acne, with risk of</w:t>
      </w:r>
      <w:r>
        <w:rPr>
          <w:rFonts w:ascii="Arial" w:cs="Arial" w:eastAsia="Arial" w:hAnsi="Arial"/>
          <w:sz w:val="16"/>
          <w:szCs w:val="16"/>
          <w:b w:val="1"/>
          <w:bCs w:val="1"/>
          <w:color w:val="auto"/>
        </w:rPr>
        <w:t xml:space="preserve"> </w:t>
      </w:r>
      <w:r>
        <w:rPr>
          <w:rFonts w:ascii="Arial" w:cs="Arial" w:eastAsia="Arial" w:hAnsi="Arial"/>
          <w:sz w:val="16"/>
          <w:szCs w:val="16"/>
          <w:color w:val="auto"/>
        </w:rPr>
        <w:t>systemic side effects.</w:t>
      </w:r>
    </w:p>
    <w:p>
      <w:pPr>
        <w:spacing w:after="0" w:line="196" w:lineRule="exact"/>
        <w:rPr>
          <w:rFonts w:ascii="Arial" w:cs="Arial" w:eastAsia="Arial" w:hAnsi="Arial"/>
          <w:sz w:val="16"/>
          <w:szCs w:val="16"/>
          <w:color w:val="auto"/>
        </w:rPr>
      </w:pPr>
    </w:p>
    <w:p>
      <w:pPr>
        <w:ind w:left="740" w:right="20" w:hanging="426"/>
        <w:spacing w:after="0" w:line="273" w:lineRule="auto"/>
        <w:tabs>
          <w:tab w:leader="none" w:pos="740" w:val="left"/>
        </w:tabs>
        <w:numPr>
          <w:ilvl w:val="0"/>
          <w:numId w:val="48"/>
        </w:numPr>
        <w:rPr>
          <w:rFonts w:ascii="Arial" w:cs="Arial" w:eastAsia="Arial" w:hAnsi="Arial"/>
          <w:sz w:val="16"/>
          <w:szCs w:val="16"/>
          <w:color w:val="auto"/>
        </w:rPr>
      </w:pPr>
      <w:r>
        <w:rPr>
          <w:rFonts w:ascii="Arial" w:cs="Arial" w:eastAsia="Arial" w:hAnsi="Arial"/>
          <w:sz w:val="16"/>
          <w:szCs w:val="16"/>
          <w:b w:val="1"/>
          <w:bCs w:val="1"/>
          <w:color w:val="auto"/>
        </w:rPr>
        <w:t>Oral prescription isotretinoin</w:t>
      </w:r>
      <w:r>
        <w:rPr>
          <w:rFonts w:ascii="Arial" w:cs="Arial" w:eastAsia="Arial" w:hAnsi="Arial"/>
          <w:sz w:val="16"/>
          <w:szCs w:val="16"/>
          <w:color w:val="auto"/>
        </w:rPr>
        <w:t>, which is primarily used for severe cystic acne and acne that has not responded to other treatments. The use of oral prescription</w:t>
      </w:r>
      <w:r>
        <w:rPr>
          <w:rFonts w:ascii="Arial" w:cs="Arial" w:eastAsia="Arial" w:hAnsi="Arial"/>
          <w:sz w:val="16"/>
          <w:szCs w:val="16"/>
          <w:b w:val="1"/>
          <w:bCs w:val="1"/>
          <w:color w:val="auto"/>
        </w:rPr>
        <w:t xml:space="preserve"> </w:t>
      </w:r>
      <w:r>
        <w:rPr>
          <w:rFonts w:ascii="Arial" w:cs="Arial" w:eastAsia="Arial" w:hAnsi="Arial"/>
          <w:sz w:val="16"/>
          <w:szCs w:val="16"/>
          <w:color w:val="auto"/>
        </w:rPr>
        <w:t>isotretinoin is tightly controlled due to tolerability issues.</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Twyneo® for Acne</w:t>
      </w:r>
    </w:p>
    <w:p>
      <w:pPr>
        <w:spacing w:after="0" w:line="249" w:lineRule="exact"/>
        <w:rPr>
          <w:sz w:val="20"/>
          <w:szCs w:val="20"/>
          <w:color w:val="auto"/>
        </w:rPr>
      </w:pPr>
    </w:p>
    <w:p>
      <w:pPr>
        <w:jc w:val="both"/>
        <w:ind w:firstLine="568"/>
        <w:spacing w:after="0" w:line="268" w:lineRule="auto"/>
        <w:rPr>
          <w:sz w:val="20"/>
          <w:szCs w:val="20"/>
          <w:color w:val="auto"/>
        </w:rPr>
      </w:pPr>
      <w:r>
        <w:rPr>
          <w:rFonts w:ascii="Arial" w:cs="Arial" w:eastAsia="Arial" w:hAnsi="Arial"/>
          <w:sz w:val="17"/>
          <w:szCs w:val="17"/>
          <w:color w:val="auto"/>
        </w:rPr>
        <w:t>Using our proprietary, silica-based microencapsulation technology platform, we are developing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to become a preferred treatment for acne by dermatologists and their patients. Our silica-based proprietary delivery system is designed to enhance the tolerability and stability of topical drugs while maintaining their efficacy. Topical drugs often struggle to balance achieving both high efficacy and high tolerability. Our technology platform entraps active ingredients in an inert silica shell, which creates an unnoticeable barrier between the active ingredient and the skin. The resulting microcapsules are designed to allow the entrapped active ingredients to gradually migrate through the pores of the shell and deliver active ingredient doses into the skin in a controlled manner, resulting in improved tolerability and stability without sacrificing efficacy.</w:t>
      </w:r>
    </w:p>
    <w:p>
      <w:pPr>
        <w:spacing w:after="0" w:line="205" w:lineRule="exact"/>
        <w:rPr>
          <w:sz w:val="20"/>
          <w:szCs w:val="20"/>
          <w:color w:val="auto"/>
        </w:rPr>
      </w:pPr>
    </w:p>
    <w:p>
      <w:pPr>
        <w:jc w:val="both"/>
        <w:ind w:firstLine="568"/>
        <w:spacing w:after="0" w:line="232" w:lineRule="auto"/>
        <w:rPr>
          <w:sz w:val="20"/>
          <w:szCs w:val="20"/>
          <w:color w:val="auto"/>
        </w:rPr>
      </w:pPr>
      <w:r>
        <w:rPr>
          <w:rFonts w:ascii="Arial" w:cs="Arial" w:eastAsia="Arial" w:hAnsi="Arial"/>
          <w:sz w:val="19"/>
          <w:szCs w:val="19"/>
          <w:color w:val="auto"/>
        </w:rPr>
        <w:t>We believe that Twyneo</w:t>
      </w:r>
      <w:r>
        <w:rPr>
          <w:rFonts w:ascii="Arial" w:cs="Arial" w:eastAsia="Arial" w:hAnsi="Arial"/>
          <w:sz w:val="31"/>
          <w:szCs w:val="31"/>
          <w:color w:val="auto"/>
          <w:vertAlign w:val="superscript"/>
        </w:rPr>
        <w:t>®</w:t>
      </w:r>
      <w:r>
        <w:rPr>
          <w:rFonts w:ascii="Arial" w:cs="Arial" w:eastAsia="Arial" w:hAnsi="Arial"/>
          <w:sz w:val="19"/>
          <w:szCs w:val="19"/>
          <w:color w:val="auto"/>
        </w:rPr>
        <w:t>, a fixed-dose combination of a cream containing encapsulated benzoyl peroxide and encapsulated tretinoin, has the potential to solve the industry-wide challenge of stabilizing tretinoin in the presence of benzoyl peroxide, a combination known to be effective in acne therapy, but not previously conveniently co-administered. While benzoyl peroxide slows the proliferation of P. acnes, tretinoin regulates hyperkeratinization and abnormal desquamation of follicular epithelium. This creates a synergistic combination which has the potential to overcome the challenges faced by currently approved products.</w:t>
      </w:r>
    </w:p>
    <w:p>
      <w:pPr>
        <w:spacing w:after="0" w:line="222" w:lineRule="exact"/>
        <w:rPr>
          <w:sz w:val="20"/>
          <w:szCs w:val="20"/>
          <w:color w:val="auto"/>
        </w:rPr>
      </w:pPr>
    </w:p>
    <w:p>
      <w:pPr>
        <w:ind w:left="740" w:hanging="426"/>
        <w:spacing w:after="0" w:line="197" w:lineRule="auto"/>
        <w:tabs>
          <w:tab w:leader="none" w:pos="740" w:val="left"/>
        </w:tabs>
        <w:numPr>
          <w:ilvl w:val="0"/>
          <w:numId w:val="49"/>
        </w:numPr>
        <w:rPr>
          <w:rFonts w:ascii="Arial" w:cs="Arial" w:eastAsia="Arial" w:hAnsi="Arial"/>
          <w:sz w:val="16"/>
          <w:szCs w:val="16"/>
          <w:color w:val="auto"/>
        </w:rPr>
      </w:pPr>
      <w:r>
        <w:rPr>
          <w:rFonts w:ascii="Arial" w:cs="Arial" w:eastAsia="Arial" w:hAnsi="Arial"/>
          <w:sz w:val="16"/>
          <w:szCs w:val="16"/>
          <w:color w:val="auto"/>
        </w:rPr>
        <w:t>We designed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to protect tretinoin from oxidative decomposition, which occurs when it is combined with benzoyl peroxide, with the goal of enhancing stability without reducing efficacy. We believe this could allow for a suitable clinical and commercial shelf life.</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3" w:right="319" w:bottom="1440" w:gutter="0" w:footer="0" w:header="0"/>
        </w:sectPr>
      </w:pPr>
    </w:p>
    <w:bookmarkStart w:id="60" w:name="page61"/>
    <w:bookmarkEnd w:id="60"/>
    <w:p>
      <w:pPr>
        <w:ind w:left="745" w:right="20" w:hanging="426"/>
        <w:spacing w:after="0" w:line="198" w:lineRule="auto"/>
        <w:tabs>
          <w:tab w:leader="none" w:pos="745"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silica shell creates a barrier between the two drug substances and the skin. As a result, we believe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can reduce irritation typically associated with topical application of benzoyl peroxide and tretinoin, leading to greater tolerability to acne-affected skin.</w:t>
      </w:r>
    </w:p>
    <w:p>
      <w:pPr>
        <w:spacing w:after="0" w:line="226" w:lineRule="exact"/>
        <w:rPr>
          <w:sz w:val="20"/>
          <w:szCs w:val="20"/>
          <w:color w:val="auto"/>
        </w:rPr>
      </w:pPr>
    </w:p>
    <w:p>
      <w:pPr>
        <w:ind w:left="565"/>
        <w:spacing w:after="0"/>
        <w:rPr>
          <w:sz w:val="20"/>
          <w:szCs w:val="20"/>
          <w:color w:val="auto"/>
        </w:rPr>
      </w:pPr>
      <w:r>
        <w:rPr>
          <w:rFonts w:ascii="Arial" w:cs="Arial" w:eastAsia="Arial" w:hAnsi="Arial"/>
          <w:sz w:val="19"/>
          <w:szCs w:val="19"/>
          <w:color w:val="auto"/>
        </w:rPr>
        <w:t>Our NDA for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has been accepted for filing by the FDA, which assigned a PDUFA goal date of August 1, 2021.</w:t>
      </w:r>
    </w:p>
    <w:p>
      <w:pPr>
        <w:spacing w:after="0" w:line="122"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Twyneo® Phase 3 Trial Design</w:t>
      </w:r>
    </w:p>
    <w:p>
      <w:pPr>
        <w:spacing w:after="0" w:line="249" w:lineRule="exact"/>
        <w:rPr>
          <w:sz w:val="20"/>
          <w:szCs w:val="20"/>
          <w:color w:val="auto"/>
        </w:rPr>
      </w:pPr>
    </w:p>
    <w:p>
      <w:pPr>
        <w:jc w:val="both"/>
        <w:ind w:left="5" w:firstLine="566"/>
        <w:spacing w:after="0" w:line="226" w:lineRule="auto"/>
        <w:rPr>
          <w:sz w:val="20"/>
          <w:szCs w:val="20"/>
          <w:color w:val="auto"/>
        </w:rPr>
      </w:pPr>
      <w:r>
        <w:rPr>
          <w:rFonts w:ascii="Arial" w:cs="Arial" w:eastAsia="Arial" w:hAnsi="Arial"/>
          <w:sz w:val="19"/>
          <w:szCs w:val="19"/>
          <w:color w:val="auto"/>
        </w:rPr>
        <w:t>The pivotal Phase 3 clinical program evaluating the safety and efficacy of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in subjects with acne vulgaris enrolled an aggregate of 858 patients aged nine and older, with moderate-to-severe acne in two multicenter, randomized, double-blind, parallel group, vehicle-controlled trials at 63 sites across the United States. Patients were randomized at a 2:1 ratio to be treated once-daily with either Twyneo (n=571) or vehicle cream (n=287) for 12 weeks.</w:t>
      </w:r>
    </w:p>
    <w:p>
      <w:pPr>
        <w:spacing w:after="0" w:line="235"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The primary and secondary efficacy endpoints were assessed at the end of the 12-week treatment period. Three primary efficacy endpoints were defined for this trial:</w:t>
      </w:r>
    </w:p>
    <w:p>
      <w:pPr>
        <w:spacing w:after="0" w:line="187" w:lineRule="exact"/>
        <w:rPr>
          <w:sz w:val="20"/>
          <w:szCs w:val="20"/>
          <w:color w:val="auto"/>
        </w:rPr>
      </w:pPr>
    </w:p>
    <w:p>
      <w:pPr>
        <w:ind w:left="745" w:hanging="426"/>
        <w:spacing w:after="0"/>
        <w:tabs>
          <w:tab w:leader="none" w:pos="745" w:val="left"/>
        </w:tabs>
        <w:numPr>
          <w:ilvl w:val="0"/>
          <w:numId w:val="51"/>
        </w:numPr>
        <w:rPr>
          <w:rFonts w:ascii="Arial" w:cs="Arial" w:eastAsia="Arial" w:hAnsi="Arial"/>
          <w:sz w:val="16"/>
          <w:szCs w:val="16"/>
          <w:color w:val="auto"/>
        </w:rPr>
      </w:pPr>
      <w:r>
        <w:rPr>
          <w:rFonts w:ascii="Arial" w:cs="Arial" w:eastAsia="Arial" w:hAnsi="Arial"/>
          <w:sz w:val="16"/>
          <w:szCs w:val="16"/>
          <w:color w:val="auto"/>
        </w:rPr>
        <w:t>the proportion of subjects who achieve at least a two-grade reduction in the IGA score and either “clear” or “almost clear” at week 12;</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51"/>
        </w:numPr>
        <w:rPr>
          <w:rFonts w:ascii="Arial" w:cs="Arial" w:eastAsia="Arial" w:hAnsi="Arial"/>
          <w:sz w:val="16"/>
          <w:szCs w:val="16"/>
          <w:color w:val="auto"/>
        </w:rPr>
      </w:pPr>
      <w:r>
        <w:rPr>
          <w:rFonts w:ascii="Arial" w:cs="Arial" w:eastAsia="Arial" w:hAnsi="Arial"/>
          <w:sz w:val="16"/>
          <w:szCs w:val="16"/>
          <w:color w:val="auto"/>
        </w:rPr>
        <w:t>the mean absolute change from baseline in the number of inflammatory acne lesions at week 12; and</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51"/>
        </w:numPr>
        <w:rPr>
          <w:rFonts w:ascii="Arial" w:cs="Arial" w:eastAsia="Arial" w:hAnsi="Arial"/>
          <w:sz w:val="16"/>
          <w:szCs w:val="16"/>
          <w:color w:val="auto"/>
        </w:rPr>
      </w:pPr>
      <w:r>
        <w:rPr>
          <w:rFonts w:ascii="Arial" w:cs="Arial" w:eastAsia="Arial" w:hAnsi="Arial"/>
          <w:sz w:val="16"/>
          <w:szCs w:val="16"/>
          <w:color w:val="auto"/>
        </w:rPr>
        <w:t>the mean absolute change from baseline in the number of non-inflammatory acne lesions at week 12.</w:t>
      </w:r>
    </w:p>
    <w:p>
      <w:pPr>
        <w:spacing w:after="0" w:line="247"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Twyneo® Phase 3 Trial Results</w:t>
      </w:r>
    </w:p>
    <w:p>
      <w:pPr>
        <w:spacing w:after="0" w:line="255" w:lineRule="exact"/>
        <w:rPr>
          <w:sz w:val="20"/>
          <w:szCs w:val="20"/>
          <w:color w:val="auto"/>
        </w:rPr>
      </w:pPr>
    </w:p>
    <w:p>
      <w:pPr>
        <w:ind w:left="5" w:right="20" w:firstLine="568"/>
        <w:spacing w:after="0" w:line="284" w:lineRule="auto"/>
        <w:rPr>
          <w:sz w:val="20"/>
          <w:szCs w:val="20"/>
          <w:color w:val="auto"/>
        </w:rPr>
      </w:pPr>
      <w:r>
        <w:rPr>
          <w:rFonts w:ascii="Arial" w:cs="Arial" w:eastAsia="Arial" w:hAnsi="Arial"/>
          <w:sz w:val="19"/>
          <w:szCs w:val="19"/>
          <w:color w:val="auto"/>
        </w:rPr>
        <w:t>As outlined below Twyneo met all co-primary endpoints in both Phase 3 trials. Twyneo demonstrated statistically significant improvement in each of the co-primary endpoints described above.</w:t>
      </w:r>
    </w:p>
    <w:p>
      <w:pPr>
        <w:spacing w:after="0" w:line="193" w:lineRule="exact"/>
        <w:rPr>
          <w:sz w:val="20"/>
          <w:szCs w:val="20"/>
          <w:color w:val="auto"/>
        </w:rPr>
      </w:pPr>
    </w:p>
    <w:p>
      <w:pPr>
        <w:ind w:left="5" w:firstLine="559"/>
        <w:spacing w:after="0" w:line="292" w:lineRule="auto"/>
        <w:rPr>
          <w:sz w:val="20"/>
          <w:szCs w:val="20"/>
          <w:color w:val="auto"/>
        </w:rPr>
      </w:pPr>
      <w:r>
        <w:rPr>
          <w:rFonts w:ascii="Arial" w:cs="Arial" w:eastAsia="Arial" w:hAnsi="Arial"/>
          <w:sz w:val="17"/>
          <w:szCs w:val="17"/>
          <w:color w:val="auto"/>
        </w:rPr>
        <w:t>In trial SGT-65-04, 38.5% of patients treated with Twyneo achieved success in IGA versus 11.5% in the vehicle treated group (P&lt;0.001) at week 12. In trial SGT-65-05, 25.4% of patients treated with Twyneo achieved success in IGA versus 14.7% in the vehicle group (P=0.017) at week</w:t>
      </w:r>
    </w:p>
    <w:p>
      <w:pPr>
        <w:spacing w:after="0" w:line="1" w:lineRule="exact"/>
        <w:rPr>
          <w:sz w:val="20"/>
          <w:szCs w:val="20"/>
          <w:color w:val="auto"/>
        </w:rPr>
      </w:pPr>
    </w:p>
    <w:p>
      <w:pPr>
        <w:jc w:val="both"/>
        <w:ind w:left="5" w:hanging="5"/>
        <w:spacing w:after="0" w:line="282" w:lineRule="auto"/>
        <w:tabs>
          <w:tab w:leader="none" w:pos="365"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 trial SGT-65-04, the absolute mean change from baseline of inflammatory lesion count for Twyneo was -21.6 versus -14.8 for the vehicle group (P&lt;0.001) at week 12. In trial SGT-65-05, the absolute change from baseline of inflammatory lesion count for Twyneo was -16.2 versus -14.1 for the vehicle group (P=0.021) at week 12. In trial SGT-65-04, the absolute mean change from baseline of non-inflammatory lesion count for Twyneo was -29.7 versus -19.8 for the vehicle group (P&lt;0.001). In trial SGT-65-05, the absolute mean change from baseline of non-inflammatory lesion count for Twyneo was -24.2 versus -17.4 for the vehicle group (P&lt;0.001) at week 12.</w:t>
      </w:r>
    </w:p>
    <w:p>
      <w:pPr>
        <w:spacing w:after="0" w:line="199" w:lineRule="exact"/>
        <w:rPr>
          <w:sz w:val="20"/>
          <w:szCs w:val="20"/>
          <w:color w:val="auto"/>
        </w:rPr>
      </w:pPr>
    </w:p>
    <w:p>
      <w:pPr>
        <w:jc w:val="both"/>
        <w:ind w:left="5" w:firstLine="671"/>
        <w:spacing w:after="0" w:line="267" w:lineRule="auto"/>
        <w:rPr>
          <w:sz w:val="20"/>
          <w:szCs w:val="20"/>
          <w:color w:val="auto"/>
        </w:rPr>
      </w:pPr>
      <w:r>
        <w:rPr>
          <w:rFonts w:ascii="Arial" w:cs="Arial" w:eastAsia="Arial" w:hAnsi="Arial"/>
          <w:sz w:val="19"/>
          <w:szCs w:val="19"/>
          <w:color w:val="auto"/>
        </w:rPr>
        <w:t>In both trials, Twyneo appeared to be generally safe and well-tolerated and the majority of local skin reactions, when reported, were mild or moderate and improved over time. A total of 18 subjects discontinued treatment in both trials due to treatment emergent adverse events. There were no treatment-related serious adverse events and four unrelated serious adverse events (one Twyneo (depression), three vehicle) were reported across both trials.</w:t>
      </w:r>
    </w:p>
    <w:p>
      <w:pPr>
        <w:spacing w:after="0" w:line="36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18" w:right="319" w:bottom="1440" w:gutter="0" w:footer="0" w:header="0"/>
        </w:sectPr>
      </w:pPr>
    </w:p>
    <w:bookmarkStart w:id="61" w:name="page62"/>
    <w:bookmarkEnd w:id="61"/>
    <w:p>
      <w:pPr>
        <w:ind w:firstLine="568"/>
        <w:spacing w:after="0" w:line="284" w:lineRule="auto"/>
        <w:rPr>
          <w:sz w:val="20"/>
          <w:szCs w:val="20"/>
          <w:color w:val="auto"/>
        </w:rPr>
      </w:pPr>
      <w:r>
        <w:rPr>
          <w:rFonts w:ascii="Arial" w:cs="Arial" w:eastAsia="Arial" w:hAnsi="Arial"/>
          <w:sz w:val="19"/>
          <w:szCs w:val="19"/>
          <w:color w:val="auto"/>
        </w:rPr>
        <w:t>The following chart presents the proportion of subjects in the ITT population in studies SGT 65-04 and SGT 65-05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127000</wp:posOffset>
            </wp:positionV>
            <wp:extent cx="7134225" cy="35744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4225" cy="3574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following chart presents the absolute mean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wp:posOffset>
            </wp:positionH>
            <wp:positionV relativeFrom="paragraph">
              <wp:posOffset>166370</wp:posOffset>
            </wp:positionV>
            <wp:extent cx="7096760" cy="354457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096760" cy="3544570"/>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53340</wp:posOffset>
            </wp:positionV>
            <wp:extent cx="7149465" cy="152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62" w:name="page63"/>
    <w:bookmarkEnd w:id="62"/>
    <w:p>
      <w:pPr>
        <w:ind w:left="560"/>
        <w:spacing w:after="0"/>
        <w:rPr>
          <w:sz w:val="20"/>
          <w:szCs w:val="20"/>
          <w:color w:val="auto"/>
        </w:rPr>
      </w:pPr>
      <w:r>
        <w:rPr>
          <w:rFonts w:ascii="Arial" w:cs="Arial" w:eastAsia="Arial" w:hAnsi="Arial"/>
          <w:sz w:val="18"/>
          <w:szCs w:val="18"/>
          <w:color w:val="auto"/>
        </w:rPr>
        <w:t>The following chart presents the absolute mean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26670</wp:posOffset>
            </wp:positionH>
            <wp:positionV relativeFrom="paragraph">
              <wp:posOffset>173355</wp:posOffset>
            </wp:positionV>
            <wp:extent cx="7096760" cy="35521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096760" cy="355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both"/>
        <w:ind w:right="20" w:firstLine="564"/>
        <w:spacing w:after="0" w:line="292" w:lineRule="auto"/>
        <w:rPr>
          <w:sz w:val="20"/>
          <w:szCs w:val="20"/>
          <w:color w:val="auto"/>
        </w:rPr>
      </w:pPr>
      <w:r>
        <w:rPr>
          <w:rFonts w:ascii="Arial" w:cs="Arial" w:eastAsia="Arial" w:hAnsi="Arial"/>
          <w:sz w:val="18"/>
          <w:szCs w:val="18"/>
          <w:color w:val="auto"/>
        </w:rPr>
        <w:t>We also assessed cutaneous tolerability by recording the erythema (redness), scaling, pigmentation, dryness, itching, burning and stinging on a four-point scale from 0 to 3 at baseline and at each visit. These measurements are either measured by the physician or reported by the subject. Overall, Twyneo</w:t>
      </w:r>
      <w:r>
        <w:rPr>
          <w:rFonts w:ascii="Arial" w:cs="Arial" w:eastAsia="Arial" w:hAnsi="Arial"/>
          <w:sz w:val="30"/>
          <w:szCs w:val="30"/>
          <w:color w:val="auto"/>
          <w:vertAlign w:val="superscript"/>
        </w:rPr>
        <w:t>®</w:t>
      </w:r>
      <w:r>
        <w:rPr>
          <w:rFonts w:ascii="Arial" w:cs="Arial" w:eastAsia="Arial" w:hAnsi="Arial"/>
          <w:sz w:val="18"/>
          <w:szCs w:val="18"/>
          <w:color w:val="auto"/>
        </w:rPr>
        <w:t xml:space="preserve"> was generally well tolerated. The majority of cutaneous adverse events were mild.</w:t>
      </w:r>
    </w:p>
    <w:p>
      <w:pPr>
        <w:spacing w:after="0" w:line="23" w:lineRule="exact"/>
        <w:rPr>
          <w:sz w:val="20"/>
          <w:szCs w:val="20"/>
          <w:color w:val="auto"/>
        </w:rPr>
      </w:pPr>
    </w:p>
    <w:p>
      <w:pPr>
        <w:jc w:val="both"/>
        <w:ind w:right="20" w:firstLine="564"/>
        <w:spacing w:after="0" w:line="293" w:lineRule="auto"/>
        <w:rPr>
          <w:sz w:val="20"/>
          <w:szCs w:val="20"/>
          <w:color w:val="auto"/>
        </w:rPr>
      </w:pPr>
      <w:r>
        <w:rPr>
          <w:rFonts w:ascii="Arial" w:cs="Arial" w:eastAsia="Arial" w:hAnsi="Arial"/>
          <w:sz w:val="18"/>
          <w:szCs w:val="18"/>
          <w:color w:val="auto"/>
        </w:rPr>
        <w:t>Out of the 858 subjects who enrolled in both studies, 754 subjects were included in the safety population, and a combined total of 16 subjects discontinued treatment due to an adverse event across both trials. The most common reasons for subjects not completing the study in both groups (active and vehicle) were the withdrawal of informed consent (41 subjects, 4.8%), and loss to follow-up (39 subjects, 4.5%).</w:t>
      </w:r>
    </w:p>
    <w:p>
      <w:pPr>
        <w:spacing w:after="0" w:line="188"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Epsolay® for Subtype II Rosacea</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Epsolay® </w:t>
      </w:r>
      <w:r>
        <w:rPr>
          <w:rFonts w:ascii="Arial" w:cs="Arial" w:eastAsia="Arial" w:hAnsi="Arial"/>
          <w:sz w:val="19"/>
          <w:szCs w:val="19"/>
          <w:i w:val="1"/>
          <w:iCs w:val="1"/>
          <w:color w:val="auto"/>
        </w:rPr>
        <w:t>Overview</w:t>
      </w:r>
    </w:p>
    <w:p>
      <w:pPr>
        <w:spacing w:after="0" w:line="255"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Epsolay® is a once-daily topical cream containing 5% encapsulated benzoyl peroxide that we are developing for the treatment of papulopustular (subtype II) rosacea. We believe Epsolay® has the potential to become the first product to contain encapsulated benzoyl peroxide for the treatment of subtype II rosacea and, if approved,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In 2012, we completed a 92 subject, randomized, multi-center, double-blind, vehicle-controlled Phase II trial for Epsolay® in the United States that demonstrated statistically significant improvements compared to vehicle in achieving the IGA success co-primary efficacy endpoint and in reducing papulopustular-lesions based on the percentage change in the inflammatory lesion count from baseline at week 12. In addition, the tolerability profile of Epsolay® was similar to that of vehicle. We expect that Epsolay®, if approved, will compete directly with Soolantra. We expect to utilize the FDA’s 505(b)(2) regulatory pathway in seeking approval of Epsolay® in the United States.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On February 12, 2020, we announced positive topline results from our open-label, long-term safety study, evaluating Epsolay® for a treatment duration up to 52 weeks. Our NDA for Epsolay</w:t>
      </w:r>
      <w:r>
        <w:rPr>
          <w:rFonts w:ascii="Arial" w:cs="Arial" w:eastAsia="Arial" w:hAnsi="Arial"/>
          <w:sz w:val="28"/>
          <w:szCs w:val="28"/>
          <w:color w:val="auto"/>
          <w:vertAlign w:val="superscript"/>
        </w:rPr>
        <w:t>®</w:t>
      </w:r>
      <w:r>
        <w:rPr>
          <w:rFonts w:ascii="Arial" w:cs="Arial" w:eastAsia="Arial" w:hAnsi="Arial"/>
          <w:sz w:val="17"/>
          <w:szCs w:val="17"/>
          <w:color w:val="auto"/>
        </w:rPr>
        <w:t xml:space="preserve"> has been accepted for filing by the FDA, which assigned a PDUFA goal date of April 26, 2021.</w:t>
      </w:r>
    </w:p>
    <w:p>
      <w:pPr>
        <w:sectPr>
          <w:pgSz w:w="11900" w:h="16838" w:orient="portrait"/>
          <w:cols w:equalWidth="0" w:num="1">
            <w:col w:w="11260"/>
          </w:cols>
          <w:pgMar w:left="320" w:top="132" w:right="319" w:bottom="1440" w:gutter="0" w:footer="0" w:header="0"/>
        </w:sectPr>
      </w:pPr>
    </w:p>
    <w:p>
      <w:pPr>
        <w:spacing w:after="0" w:line="171"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53340</wp:posOffset>
            </wp:positionV>
            <wp:extent cx="7149465" cy="152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type w:val="continuous"/>
        </w:sectPr>
      </w:pPr>
    </w:p>
    <w:bookmarkStart w:id="63" w:name="page64"/>
    <w:bookmarkEnd w:id="63"/>
    <w:p>
      <w:pPr>
        <w:jc w:val="both"/>
        <w:ind w:firstLine="568"/>
        <w:spacing w:after="0" w:line="267" w:lineRule="auto"/>
        <w:rPr>
          <w:sz w:val="20"/>
          <w:szCs w:val="20"/>
          <w:color w:val="auto"/>
        </w:rPr>
      </w:pPr>
      <w:r>
        <w:rPr>
          <w:rFonts w:ascii="Arial" w:cs="Arial" w:eastAsia="Arial" w:hAnsi="Arial"/>
          <w:sz w:val="19"/>
          <w:szCs w:val="19"/>
          <w:color w:val="auto"/>
        </w:rPr>
        <w:t>Rosacea is a chronic skin disease characterized by persistent facial erythema (redness) and temporary inflammatory lesions (papules, pustules or both). Often misdiagnosed as acne vulgaris due to similarities between inflammatory acne lesions and rosacea lesions and the potential for disfigurement, rosacea is gradually increasing in visibility as a disease. The most prominent age group affected includes adults age 30 and above, with stronger prevalence across women and adults with fair skin.</w:t>
      </w:r>
    </w:p>
    <w:p>
      <w:pPr>
        <w:spacing w:after="0" w:line="210"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Current Treatment Landscape for Subtype II Rosacea</w:t>
      </w:r>
    </w:p>
    <w:p>
      <w:pPr>
        <w:spacing w:after="0" w:line="255"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five approved drugs for the treatment of subtype II rosacea: Soolantra, Metrogel, Oracea, Zilixi and generic metronidazole. In certain cases, dermatologists often prescribe oral antibiotics either as monotherapies or in conjunction with approved medications.</w:t>
      </w:r>
    </w:p>
    <w:p>
      <w:pPr>
        <w:spacing w:after="0" w:line="179"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Our Solution for Subtype II Rosacea — Epsolay®</w:t>
      </w:r>
    </w:p>
    <w:p>
      <w:pPr>
        <w:spacing w:after="0" w:line="255"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Epsolay® candidate for the treatment of papulopustular (subtype II) rosacea can improve on current subtype II rosacea treatments in the following ways:</w:t>
      </w:r>
    </w:p>
    <w:p>
      <w:pPr>
        <w:spacing w:after="0" w:line="176" w:lineRule="exact"/>
        <w:rPr>
          <w:sz w:val="20"/>
          <w:szCs w:val="20"/>
          <w:color w:val="auto"/>
        </w:rPr>
      </w:pPr>
    </w:p>
    <w:p>
      <w:pPr>
        <w:ind w:left="740" w:hanging="426"/>
        <w:spacing w:after="0" w:line="268" w:lineRule="auto"/>
        <w:tabs>
          <w:tab w:leader="none" w:pos="740" w:val="left"/>
        </w:tabs>
        <w:numPr>
          <w:ilvl w:val="0"/>
          <w:numId w:val="53"/>
        </w:numPr>
        <w:rPr>
          <w:rFonts w:ascii="Arial" w:cs="Arial" w:eastAsia="Arial" w:hAnsi="Arial"/>
          <w:sz w:val="16"/>
          <w:szCs w:val="16"/>
          <w:color w:val="auto"/>
        </w:rPr>
      </w:pPr>
      <w:r>
        <w:rPr>
          <w:rFonts w:ascii="Arial" w:cs="Arial" w:eastAsia="Arial" w:hAnsi="Arial"/>
          <w:sz w:val="16"/>
          <w:szCs w:val="16"/>
          <w:color w:val="auto"/>
        </w:rPr>
        <w:t>Epsolay®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53"/>
        </w:numPr>
        <w:rPr>
          <w:rFonts w:ascii="Arial" w:cs="Arial" w:eastAsia="Arial" w:hAnsi="Arial"/>
          <w:sz w:val="16"/>
          <w:szCs w:val="16"/>
          <w:color w:val="auto"/>
        </w:rPr>
      </w:pPr>
      <w:r>
        <w:rPr>
          <w:rFonts w:ascii="Arial" w:cs="Arial" w:eastAsia="Arial" w:hAnsi="Arial"/>
          <w:sz w:val="16"/>
          <w:szCs w:val="16"/>
          <w:color w:val="auto"/>
        </w:rPr>
        <w:t>Epsolay®'s release of the drug can reduce irritation while maintaining efficacy.</w:t>
      </w:r>
    </w:p>
    <w:p>
      <w:pPr>
        <w:spacing w:after="0" w:line="247"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Epsolay® is an innovative topical cream, and if approved, would be the first product containing benzoyl peroxide for the treatment of subtype II rosacea.</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Epsolay® Phase 3 Trial Design</w:t>
      </w:r>
    </w:p>
    <w:p>
      <w:pPr>
        <w:spacing w:after="0" w:line="255" w:lineRule="exact"/>
        <w:rPr>
          <w:sz w:val="20"/>
          <w:szCs w:val="20"/>
          <w:color w:val="auto"/>
        </w:rPr>
      </w:pPr>
    </w:p>
    <w:p>
      <w:pPr>
        <w:jc w:val="both"/>
        <w:ind w:right="20" w:firstLine="568"/>
        <w:spacing w:after="0" w:line="308" w:lineRule="auto"/>
        <w:rPr>
          <w:sz w:val="20"/>
          <w:szCs w:val="20"/>
          <w:color w:val="auto"/>
        </w:rPr>
      </w:pPr>
      <w:r>
        <w:rPr>
          <w:rFonts w:ascii="Arial" w:cs="Arial" w:eastAsia="Arial" w:hAnsi="Arial"/>
          <w:sz w:val="17"/>
          <w:szCs w:val="17"/>
          <w:color w:val="auto"/>
        </w:rPr>
        <w:t>In June 2018, we announced dosing of the first subject in our pivotal Phase 3 clinical program of Epsolay® in subjects with papulopustular rosacea. The program enrolled 733 patients aged 18 and older in two identical, double-blind, vehicle-controlled Phase 3 clinical trials at 54 sites across the United States. Patients were randomized at a 2:1 ratio to be treated once-daily with either Epsolay (n=493) or vehicle cream (n=240) for 12 weeks. After the initiation of treatment, clinical and safety evaluations were performed at Weeks 2, 4, 6, 8 and 12.</w:t>
      </w:r>
    </w:p>
    <w:p>
      <w:pPr>
        <w:spacing w:after="0" w:line="179"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The primary efficacy endpoints for both trials were success in the IGA defined as two-grade reduction in IGA on a stage of 0 to 4 with a “clear” (0) or “almost clear” (1) at week 12, and a reduction in mean inflammatory lesion count at week 12.</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64" w:name="page65"/>
    <w:bookmarkEnd w:id="64"/>
    <w:p>
      <w:pPr>
        <w:ind w:left="5"/>
        <w:spacing w:after="0"/>
        <w:rPr>
          <w:sz w:val="20"/>
          <w:szCs w:val="20"/>
          <w:color w:val="auto"/>
        </w:rPr>
      </w:pPr>
      <w:r>
        <w:rPr>
          <w:rFonts w:ascii="Arial" w:cs="Arial" w:eastAsia="Arial" w:hAnsi="Arial"/>
          <w:sz w:val="19"/>
          <w:szCs w:val="19"/>
          <w:i w:val="1"/>
          <w:iCs w:val="1"/>
          <w:color w:val="auto"/>
        </w:rPr>
        <w:t>Epsolay® Phase 3 Trial Results</w:t>
      </w:r>
    </w:p>
    <w:p>
      <w:pPr>
        <w:spacing w:after="0" w:line="255" w:lineRule="exact"/>
        <w:rPr>
          <w:sz w:val="20"/>
          <w:szCs w:val="20"/>
          <w:color w:val="auto"/>
        </w:rPr>
      </w:pPr>
    </w:p>
    <w:p>
      <w:pPr>
        <w:jc w:val="both"/>
        <w:ind w:left="5" w:firstLine="566"/>
        <w:spacing w:after="0" w:line="308" w:lineRule="auto"/>
        <w:rPr>
          <w:sz w:val="20"/>
          <w:szCs w:val="20"/>
          <w:color w:val="auto"/>
        </w:rPr>
      </w:pPr>
      <w:r>
        <w:rPr>
          <w:rFonts w:ascii="Arial" w:cs="Arial" w:eastAsia="Arial" w:hAnsi="Arial"/>
          <w:sz w:val="17"/>
          <w:szCs w:val="17"/>
          <w:color w:val="auto"/>
        </w:rPr>
        <w:t>As outlined below, Epsolay demonstrated statistically significant improvement in both co-primary endpoints of (1) the number of patients achieving “clear” or “almost clear” in the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Epsolay demonstrated a favorable safety and tolerability profile similar to vehicle.</w:t>
      </w:r>
    </w:p>
    <w:p>
      <w:pPr>
        <w:spacing w:after="0" w:line="179" w:lineRule="exact"/>
        <w:rPr>
          <w:sz w:val="20"/>
          <w:szCs w:val="20"/>
          <w:color w:val="auto"/>
        </w:rPr>
      </w:pPr>
    </w:p>
    <w:p>
      <w:pPr>
        <w:jc w:val="both"/>
        <w:ind w:left="5" w:firstLine="559"/>
        <w:spacing w:after="0" w:line="304" w:lineRule="auto"/>
        <w:rPr>
          <w:sz w:val="20"/>
          <w:szCs w:val="20"/>
          <w:color w:val="auto"/>
        </w:rPr>
      </w:pPr>
      <w:r>
        <w:rPr>
          <w:rFonts w:ascii="Arial" w:cs="Arial" w:eastAsia="Arial" w:hAnsi="Arial"/>
          <w:sz w:val="17"/>
          <w:szCs w:val="17"/>
          <w:color w:val="auto"/>
        </w:rPr>
        <w:t>In study SGT 54-01, patients in the Epsolay and vehicle treatment groups had a baseline mean inflammatory lesion count of 25.7 and 26.3, respectively. The proportion of patients with “moderate” (3) or “severe” (4) IGA in the Epsolay treatment group was 86.4% and 13.6%, respectively, and 88.1% and 11.9%, respectively, in the vehicle treatment group. In study SGT 54-02, patients in Epsolay and vehicle treatment groups had a baseline mean inflammatory lesion count of 29.8 and 27.5, respectively. The proportion of patients with “moderate” (3) or “severe” (4) IGA in the Epsolay treatment group was 90.8% and 9.2%, respectively, and 91.8% and 8.2%, respectively, in the vehicle treatment group.</w:t>
      </w:r>
    </w:p>
    <w:p>
      <w:pPr>
        <w:spacing w:after="0" w:line="181" w:lineRule="exact"/>
        <w:rPr>
          <w:sz w:val="20"/>
          <w:szCs w:val="20"/>
          <w:color w:val="auto"/>
        </w:rPr>
      </w:pPr>
    </w:p>
    <w:p>
      <w:pPr>
        <w:jc w:val="both"/>
        <w:ind w:left="5" w:firstLine="568"/>
        <w:spacing w:after="0" w:line="284" w:lineRule="auto"/>
        <w:rPr>
          <w:sz w:val="20"/>
          <w:szCs w:val="20"/>
          <w:color w:val="auto"/>
        </w:rPr>
      </w:pPr>
      <w:r>
        <w:rPr>
          <w:rFonts w:ascii="Arial" w:cs="Arial" w:eastAsia="Arial" w:hAnsi="Arial"/>
          <w:sz w:val="19"/>
          <w:szCs w:val="19"/>
          <w:color w:val="auto"/>
        </w:rPr>
        <w:t>As outlined below, Epsolay met all co-primary endpoints in both Phase 3 trials. Epsolay demonstrated statistically significant improvement in each of the co-primary endpoints described above.</w:t>
      </w:r>
    </w:p>
    <w:p>
      <w:pPr>
        <w:spacing w:after="0" w:line="193" w:lineRule="exact"/>
        <w:rPr>
          <w:sz w:val="20"/>
          <w:szCs w:val="20"/>
          <w:color w:val="auto"/>
        </w:rPr>
      </w:pPr>
    </w:p>
    <w:p>
      <w:pPr>
        <w:jc w:val="both"/>
        <w:ind w:left="5" w:firstLine="559"/>
        <w:spacing w:after="0" w:line="292" w:lineRule="auto"/>
        <w:rPr>
          <w:sz w:val="20"/>
          <w:szCs w:val="20"/>
          <w:color w:val="auto"/>
        </w:rPr>
      </w:pPr>
      <w:r>
        <w:rPr>
          <w:rFonts w:ascii="Arial" w:cs="Arial" w:eastAsia="Arial" w:hAnsi="Arial"/>
          <w:sz w:val="17"/>
          <w:szCs w:val="17"/>
          <w:color w:val="auto"/>
        </w:rPr>
        <w:t>In study SGT 54-01, 43.5% of patients treated with Epsolay achieved success in IGA versus 16.1% in the vehicle treated group (P&lt;0.001) at week 12. In Study 54-02, 50.1% of patients treated with Epsolay achieved success in IGA versus 25.9% in the vehicle group (P&lt;0.001) at week</w:t>
      </w:r>
    </w:p>
    <w:p>
      <w:pPr>
        <w:spacing w:after="0" w:line="1" w:lineRule="exact"/>
        <w:rPr>
          <w:sz w:val="20"/>
          <w:szCs w:val="20"/>
          <w:color w:val="auto"/>
        </w:rPr>
      </w:pPr>
    </w:p>
    <w:p>
      <w:pPr>
        <w:jc w:val="both"/>
        <w:ind w:left="5" w:hanging="5"/>
        <w:spacing w:after="0" w:line="269" w:lineRule="auto"/>
        <w:tabs>
          <w:tab w:leader="none" w:pos="412" w:val="left"/>
        </w:tabs>
        <w:numPr>
          <w:ilvl w:val="0"/>
          <w:numId w:val="54"/>
        </w:numPr>
        <w:rPr>
          <w:rFonts w:ascii="Arial" w:cs="Arial" w:eastAsia="Arial" w:hAnsi="Arial"/>
          <w:sz w:val="19"/>
          <w:szCs w:val="19"/>
          <w:color w:val="auto"/>
        </w:rPr>
      </w:pPr>
      <w:r>
        <w:rPr>
          <w:rFonts w:ascii="Arial" w:cs="Arial" w:eastAsia="Arial" w:hAnsi="Arial"/>
          <w:sz w:val="19"/>
          <w:szCs w:val="19"/>
          <w:color w:val="auto"/>
        </w:rPr>
        <w:t>In study SGT 54-01, the absolute change from baseline of inflammatory lesion count for Epsolay was -17.4 versus -9.5 for the vehicle group (P&lt;0.001) at week 12. In study SGT 54-02, the absolute change from baseline of inflammatory lesion count for Epsolay was -20.3 versus -13.3 for the vehicle group (P&lt;0.001) at week 12.</w:t>
      </w:r>
    </w:p>
    <w:p>
      <w:pPr>
        <w:spacing w:after="0" w:line="207" w:lineRule="exact"/>
        <w:rPr>
          <w:sz w:val="20"/>
          <w:szCs w:val="20"/>
          <w:color w:val="auto"/>
        </w:rPr>
      </w:pPr>
    </w:p>
    <w:p>
      <w:pPr>
        <w:ind w:left="5" w:right="20" w:firstLine="568"/>
        <w:spacing w:after="0" w:line="284" w:lineRule="auto"/>
        <w:rPr>
          <w:sz w:val="20"/>
          <w:szCs w:val="20"/>
          <w:color w:val="auto"/>
        </w:rPr>
      </w:pPr>
      <w:r>
        <w:rPr>
          <w:rFonts w:ascii="Arial" w:cs="Arial" w:eastAsia="Arial" w:hAnsi="Arial"/>
          <w:sz w:val="19"/>
          <w:szCs w:val="19"/>
          <w:color w:val="auto"/>
        </w:rPr>
        <w:t>The following chart presents the proportion of subjects in the ITT population in studies SGT 54-01 and SGT 54-02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1982470</wp:posOffset>
            </wp:positionH>
            <wp:positionV relativeFrom="paragraph">
              <wp:posOffset>127000</wp:posOffset>
            </wp:positionV>
            <wp:extent cx="3604895" cy="3086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604895" cy="3086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65" w:name="page66"/>
    <w:bookmarkEnd w:id="65"/>
    <w:p>
      <w:pPr>
        <w:ind w:left="560"/>
        <w:spacing w:after="0"/>
        <w:rPr>
          <w:sz w:val="20"/>
          <w:szCs w:val="20"/>
          <w:color w:val="auto"/>
        </w:rPr>
      </w:pPr>
      <w:r>
        <w:rPr>
          <w:rFonts w:ascii="Arial" w:cs="Arial" w:eastAsia="Arial" w:hAnsi="Arial"/>
          <w:sz w:val="19"/>
          <w:szCs w:val="19"/>
          <w:color w:val="auto"/>
        </w:rPr>
        <w:t>The following chart presents the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2129155</wp:posOffset>
            </wp:positionH>
            <wp:positionV relativeFrom="paragraph">
              <wp:posOffset>166370</wp:posOffset>
            </wp:positionV>
            <wp:extent cx="3311525" cy="30638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3311525" cy="3063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following chart presents the percent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1618615</wp:posOffset>
            </wp:positionH>
            <wp:positionV relativeFrom="paragraph">
              <wp:posOffset>166370</wp:posOffset>
            </wp:positionV>
            <wp:extent cx="4325620" cy="343979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4325620" cy="3439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both"/>
        <w:ind w:firstLine="559"/>
        <w:spacing w:after="0" w:line="265" w:lineRule="auto"/>
        <w:rPr>
          <w:sz w:val="20"/>
          <w:szCs w:val="20"/>
          <w:color w:val="auto"/>
        </w:rPr>
      </w:pPr>
      <w:r>
        <w:rPr>
          <w:rFonts w:ascii="Arial" w:cs="Arial" w:eastAsia="Arial" w:hAnsi="Arial"/>
          <w:sz w:val="19"/>
          <w:szCs w:val="19"/>
          <w:color w:val="auto"/>
        </w:rPr>
        <w:t>In both studies, Epsolay demonstrated a favorable safety and tolerability profile similar to vehicle, with a low rate of cutaneous side effects (e.g., dryness, scaling, itching and burning/stinging) comparable to vehicle. Adverse events were primarily mild to moderate in severity with the most frequently reported adverse events across both studies being application site erythema and application site pain reported by less than 3.4% of subjects. There were no treatment-related serious adverse events, with a combined total of two unrelated serious adverse events (1 Epsolay, 1 vehicle) reported across both trials.</w:t>
      </w:r>
    </w:p>
    <w:p>
      <w:pPr>
        <w:spacing w:after="0" w:line="213" w:lineRule="exact"/>
        <w:rPr>
          <w:sz w:val="20"/>
          <w:szCs w:val="20"/>
          <w:color w:val="auto"/>
        </w:rPr>
      </w:pPr>
    </w:p>
    <w:p>
      <w:pPr>
        <w:jc w:val="both"/>
        <w:ind w:firstLine="671"/>
        <w:spacing w:after="0" w:line="267" w:lineRule="auto"/>
        <w:rPr>
          <w:sz w:val="20"/>
          <w:szCs w:val="20"/>
          <w:color w:val="auto"/>
        </w:rPr>
      </w:pPr>
      <w:r>
        <w:rPr>
          <w:rFonts w:ascii="Arial" w:cs="Arial" w:eastAsia="Arial" w:hAnsi="Arial"/>
          <w:sz w:val="19"/>
          <w:szCs w:val="19"/>
          <w:color w:val="auto"/>
        </w:rPr>
        <w:t>Out of the 733 subjects who enrolled in both studies, 721 subjects were included in the safety population, and a combined total of 10 subjects (9 Epsolay, 1 vehicle) discontinued treatment due to an adverse event across both trials. The most common reasons for subjects not completing the study in both groups (active and vehicle) were the withdrawal of informed consent (25 subjects, 3.4%), and loss to follow-up (17 subjects, 2.3%).</w:t>
      </w:r>
    </w:p>
    <w:p>
      <w:pPr>
        <w:sectPr>
          <w:pgSz w:w="11900" w:h="16838" w:orient="portrait"/>
          <w:cols w:equalWidth="0" w:num="1">
            <w:col w:w="11260"/>
          </w:cols>
          <w:pgMar w:left="320" w:top="132" w:right="319" w:bottom="1440" w:gutter="0" w:footer="0" w:header="0"/>
        </w:sectPr>
      </w:pPr>
    </w:p>
    <w:p>
      <w:pPr>
        <w:spacing w:after="0" w:line="364"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60960</wp:posOffset>
            </wp:positionV>
            <wp:extent cx="7149465" cy="152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type w:val="continuous"/>
        </w:sectPr>
      </w:pPr>
    </w:p>
    <w:bookmarkStart w:id="66" w:name="page67"/>
    <w:bookmarkEnd w:id="66"/>
    <w:p>
      <w:pPr>
        <w:spacing w:after="0"/>
        <w:rPr>
          <w:sz w:val="20"/>
          <w:szCs w:val="20"/>
          <w:color w:val="auto"/>
        </w:rPr>
      </w:pPr>
      <w:r>
        <w:rPr>
          <w:rFonts w:ascii="Arial" w:cs="Arial" w:eastAsia="Arial" w:hAnsi="Arial"/>
          <w:sz w:val="19"/>
          <w:szCs w:val="19"/>
          <w:i w:val="1"/>
          <w:iCs w:val="1"/>
          <w:color w:val="auto"/>
        </w:rPr>
        <w:t>Long-Term Safety Study Results for Epsolay</w:t>
      </w:r>
    </w:p>
    <w:p>
      <w:pPr>
        <w:spacing w:after="0" w:line="25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On February 12, 2020, we announced positive topline results from our open-label, long-term safety study, SGT -54-07, evaluating Epsolay for a treatment duration up to 52 weeks. The study enrolled 547 subjects, all of whom had completed 12 weeks of treatment with Epsolay or vehicle in the preceding double-blind Phase 3 studies. Patients continued onto open-label treatment with Epsolay once-daily for up to an additional 40 weeks. The safety population of 535 subjects received Epsolay therapy for an overall period of at least 28 weeks. Of these 535 subjects, 209 subjects completed 52 weeks of treatment with Epsolay, exceeding the sample size requirements previously defined by the FDA for the Epsolay one-year safety evaluation.</w:t>
      </w:r>
    </w:p>
    <w:p>
      <w:pPr>
        <w:spacing w:after="0" w:line="214"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Non-cutaneous adverse events were similar in frequency and type to those observed in the preceding Phase 3 trials. The most common adverse event reported was nasopharyngitis (5.4%). Less than 3% of patients experienced application site adverse events that were considered to be drug-related, and no serious drug-related adverse events were reported.</w:t>
      </w:r>
    </w:p>
    <w:p>
      <w:pPr>
        <w:spacing w:after="0" w:line="206"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At every study visit, the investigator conducted Local Tolerability and Cutaneous Safety Assessments. At the end of 52 weeks more than 90% of subjects had “none” or “mild” signs or symptoms (burning or stinging, itching, dryness and scaling) and no “severe” tolerability scores were recorded.</w:t>
      </w:r>
    </w:p>
    <w:p>
      <w:pPr>
        <w:spacing w:after="0" w:line="206"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Although the study was designed to evaluate long-term safety, subjects also continued to undergo evaluation according to the Investigator Global Assessment (IGA) 5-point scale. Of the 209 patients treated with Epsolay for 52 weeks, 73.2% reported an IGA score of 0 ("clear") or 1 ("almost clear") at 52 weeks.</w:t>
      </w:r>
    </w:p>
    <w:p>
      <w:pPr>
        <w:spacing w:after="0" w:line="201" w:lineRule="exact"/>
        <w:rPr>
          <w:sz w:val="20"/>
          <w:szCs w:val="20"/>
          <w:color w:val="auto"/>
        </w:rPr>
      </w:pPr>
    </w:p>
    <w:p>
      <w:pPr>
        <w:ind w:left="560"/>
        <w:spacing w:after="0"/>
        <w:rPr>
          <w:sz w:val="20"/>
          <w:szCs w:val="20"/>
          <w:color w:val="auto"/>
        </w:rPr>
      </w:pPr>
      <w:r>
        <w:rPr>
          <w:rFonts w:ascii="Arial" w:cs="Arial" w:eastAsia="Arial" w:hAnsi="Arial"/>
          <w:sz w:val="19"/>
          <w:szCs w:val="19"/>
          <w:color w:val="auto"/>
        </w:rPr>
        <w:t>Our NDA for Epsolay</w:t>
      </w:r>
      <w:r>
        <w:rPr>
          <w:rFonts w:ascii="Arial" w:cs="Arial" w:eastAsia="Arial" w:hAnsi="Arial"/>
          <w:sz w:val="31"/>
          <w:szCs w:val="31"/>
          <w:color w:val="auto"/>
          <w:vertAlign w:val="superscript"/>
        </w:rPr>
        <w:t>®</w:t>
      </w:r>
      <w:r>
        <w:rPr>
          <w:rFonts w:ascii="Arial" w:cs="Arial" w:eastAsia="Arial" w:hAnsi="Arial"/>
          <w:sz w:val="19"/>
          <w:szCs w:val="19"/>
          <w:color w:val="auto"/>
        </w:rPr>
        <w:t xml:space="preserve"> has been accepted for filing by the FDA, which assigned a PDUFA goal date of April 26, 2021.</w:t>
      </w:r>
    </w:p>
    <w:p>
      <w:pPr>
        <w:spacing w:after="0" w:line="122"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SGT-210 for Palmoplantar Keratoderma</w:t>
      </w:r>
    </w:p>
    <w:p>
      <w:pPr>
        <w:spacing w:after="0" w:line="25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SGT-210 (erlotinib gel) that we are developing for the treatment of palmoplantar keratoderma, or PPK, a group of skin conditions characterized by thickening of the skin on the hands and soles of the feet. SGT-210 is designed to be used alone or in combination for the treatment of hyperproliferation and hyperkeratinization disorders, including PPK. On January 2, 2020, we announced the initiation of a Phase 1 proof of concept clinical study of SGT-210 in patients with palmoplantar keratoderma. The Phase 1 proof of concept study SGT-84-01 is a single-center, single-blinded, vehicle-controlled study designed to evaluate the bioavailability, safety and tolerability of SGT-210 as well as inform on potential efficacy. The study is targeting enrollment of approximately 15 patients to undergo a three-month treatment period, followed by a three-month follow-up period. The enrollment of patients in the Phase 1 proof of concept study with SGT-210 has been slowed by the COVID-19 pandemic. We expect to report top-line data in the third quarter of 2021.</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Erlotinib, Tapinarof and roflumilast potentially for psoriasis and other medical conditions</w:t>
      </w:r>
    </w:p>
    <w:p>
      <w:pPr>
        <w:spacing w:after="0" w:line="255"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We are conducting pre-clinical testing to explore the possible activity of erlotinib, tapinarof (an investigational aryl hydrocarbon receptor modulator) and roflumilast (an investigational phosphodiesterase 4 inhibitor) in various new pharmaceutical indications. A total of 25 provisional patent applications for these project candidates have been submitted to date, including patent applications covering the use of tapinarof in ophthalmic disorders such as dry eye, uveitis, and blepharitis with or without demodex involvement.</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Generic Drug Product Candidates</w:t>
      </w:r>
    </w:p>
    <w:p>
      <w:pPr>
        <w:spacing w:after="0" w:line="261"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In addition to our branded product candidates, we have one FDA approved generic topical dermatological product, which is a generic version of Zovirax® (acyclovir) cream, 5%. In February 2019, we announced that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we launched the product in February 2019.</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67" w:name="page68"/>
    <w:bookmarkEnd w:id="67"/>
    <w:p>
      <w:pPr>
        <w:jc w:val="both"/>
        <w:ind w:firstLine="568"/>
        <w:spacing w:after="0" w:line="284" w:lineRule="auto"/>
        <w:rPr>
          <w:sz w:val="20"/>
          <w:szCs w:val="20"/>
          <w:color w:val="auto"/>
        </w:rPr>
      </w:pPr>
      <w:r>
        <w:rPr>
          <w:rFonts w:ascii="Arial" w:cs="Arial" w:eastAsia="Arial" w:hAnsi="Arial"/>
          <w:sz w:val="19"/>
          <w:szCs w:val="19"/>
          <w:color w:val="auto"/>
        </w:rPr>
        <w:t>We are also currently developing a portfolio of 11 generic topical dermatological products, including ivermectin cream, 1%, in collaboration with Perrigo. Perrigo has significant experience in the development of generic drugs.</w:t>
      </w:r>
    </w:p>
    <w:p>
      <w:pPr>
        <w:spacing w:after="0" w:line="193"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Our most advanced generic product candidate is ivermectin cream, 1%, for the treatment of inflammatory lesions associated with rosacea, which we are developing in collaboration with Perrigo. In March 2017, Perrigo submitted an ANDA for ivermectin cream, 1% to the FDA, which was tentatively approved. Following notification from Perrigo, Galderma Laboratories, L.P., Galderma S.A., and Nestle Skin Health S.A., filed a patent litigation suit triggering the application of a 30-month stay on approval of the ANDA, under the Hatch-Waxman Amendments. In January 2018, this ANDA was tentatively approved by the FDA. In addition, because Actavis Ltd. filed an ANDA for ivermectin cream, 1%, before us or any other generic applicants, we may be unable to obtain final approval for our ANDA until the expiration of Actavis Ltd.’s 180-day generic exclusivity. Ivermectin cream, 1% is the active molecule in Soolantra which is currently marketed in the United States by Galderma Laboratories LP.</w:t>
      </w:r>
    </w:p>
    <w:p>
      <w:pPr>
        <w:spacing w:after="0" w:line="213" w:lineRule="exact"/>
        <w:rPr>
          <w:sz w:val="20"/>
          <w:szCs w:val="20"/>
          <w:color w:val="auto"/>
        </w:rPr>
      </w:pPr>
    </w:p>
    <w:p>
      <w:pPr>
        <w:jc w:val="both"/>
        <w:ind w:right="20" w:firstLine="568"/>
        <w:spacing w:after="0" w:line="345" w:lineRule="auto"/>
        <w:rPr>
          <w:sz w:val="20"/>
          <w:szCs w:val="20"/>
          <w:color w:val="auto"/>
        </w:rPr>
      </w:pPr>
      <w:r>
        <w:rPr>
          <w:rFonts w:ascii="Arial" w:cs="Arial" w:eastAsia="Arial" w:hAnsi="Arial"/>
          <w:sz w:val="17"/>
          <w:szCs w:val="17"/>
          <w:color w:val="auto"/>
        </w:rPr>
        <w:t>We previously had a collaboration arrangement with Douglas Pharmaceuticals (New Zealand) to develop an additional generic product candidate. We decided not to pursue this collaboration after determining that it would not be economical due to significant market competition.</w:t>
      </w:r>
    </w:p>
    <w:p>
      <w:pPr>
        <w:spacing w:after="0" w:line="14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Our Proprietary Silica-Based Microencapsulation Technology Platform</w:t>
      </w:r>
    </w:p>
    <w:p>
      <w:pPr>
        <w:spacing w:after="0" w:line="261"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213"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In contrast, we use proprietary ‘sol-gel’ processes to shape silica on site to form microcapsule shells of almost any size and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50 micron in size. This process results in an aqueous suspension in which the drug substances are entrapped in silica particles.</w:t>
      </w:r>
    </w:p>
    <w:p>
      <w:pPr>
        <w:spacing w:after="0" w:line="19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Collaboration Agreements with Perrigo</w:t>
      </w:r>
    </w:p>
    <w:p>
      <w:pPr>
        <w:spacing w:after="0" w:line="261"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Ivermectin cream, 1%</w:t>
      </w:r>
    </w:p>
    <w:p>
      <w:pPr>
        <w:spacing w:after="0" w:line="255"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On April 27, 2015, we entered into a development, manufacturing and commercialization agreement with Perrigo, as amended on October 26, 2015, to work toward the objective of obtaining all FDA approvals necessary for the commercialization of ivermectin cream, 1%, in the United States. Under the agreement, Perrigo will conduct all regulatory, scientific, clinical and technical activities necessary to develop ivermectin cream, 1%, prepare and file an ANDA with the FDA (which received tentative approval in January 2018), and is responsible for other activities to gain regulatory approval to market ivermectin cream, 1%, in the United States. We granted Perrigo the right, title and interest in and to ivermectin cream, 1%, and agreed on each party’s portion of the costs associated with performance under the agreement. Perrigo also owns intellectual property created in connection with the development of ivermectin cream, 1%. If approval by the FDA of the ANDA, Perrigo is required to use diligent efforts to commercialize ivermectin cream, 1%, in the United States. Perrigo has the sole and exclusive right to establish and control the prices and all other terms and conditions for the sales of ivermectin cream, 1%, in the United States and is required to do so in good faith. We will be entitled to 50% of Perrigo’s gross profits related to the sale of ivermectin cream, 1%, on a quarterly basis, for a period of 20 years following the first commercial sale of the ivermectin cream, 1%, in the United States. The agreement may be terminated if the gross profits relating to the sale of the product do not exceed a certain threshold or if the potential market for the product has been significantly reduced due to regulatory changes.</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68" w:name="page69"/>
    <w:bookmarkEnd w:id="68"/>
    <w:p>
      <w:pPr>
        <w:ind w:left="560"/>
        <w:spacing w:after="0"/>
        <w:rPr>
          <w:sz w:val="20"/>
          <w:szCs w:val="20"/>
          <w:color w:val="auto"/>
        </w:rPr>
      </w:pPr>
      <w:r>
        <w:rPr>
          <w:rFonts w:ascii="Arial" w:cs="Arial" w:eastAsia="Arial" w:hAnsi="Arial"/>
          <w:sz w:val="19"/>
          <w:szCs w:val="19"/>
          <w:color w:val="auto"/>
        </w:rPr>
        <w:t>Each party is responsible for its own costs in relation to performance under the agreement.</w:t>
      </w:r>
    </w:p>
    <w:p>
      <w:pPr>
        <w:spacing w:after="0" w:line="255" w:lineRule="exact"/>
        <w:rPr>
          <w:sz w:val="20"/>
          <w:szCs w:val="20"/>
          <w:color w:val="auto"/>
        </w:rPr>
      </w:pPr>
    </w:p>
    <w:p>
      <w:pPr>
        <w:jc w:val="both"/>
        <w:ind w:right="20" w:firstLine="568"/>
        <w:spacing w:after="0" w:line="293" w:lineRule="auto"/>
        <w:rPr>
          <w:sz w:val="20"/>
          <w:szCs w:val="20"/>
          <w:color w:val="auto"/>
        </w:rPr>
      </w:pPr>
      <w:r>
        <w:rPr>
          <w:rFonts w:ascii="Arial" w:cs="Arial" w:eastAsia="Arial" w:hAnsi="Arial"/>
          <w:sz w:val="18"/>
          <w:szCs w:val="18"/>
          <w:color w:val="auto"/>
        </w:rPr>
        <w:t>We are obligated to finance all out-of-pocket trial expenses (including materials), and Perrigo UK is required to reimburse us for 40% of the out-of-pocket clinical trial expenses as follows (a) if we obtain FDA approval, by financing our share of the out-of-pocket litigation expenses, or (b) if FDA approval is not obtained, by reimbursing us an amount equal to 40% of our out-of-pocket expenses.</w:t>
      </w:r>
    </w:p>
    <w:p>
      <w:pPr>
        <w:spacing w:after="0" w:line="188"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Generic version of Zovirax® (acyclovir) cream</w:t>
      </w:r>
    </w:p>
    <w:p>
      <w:pPr>
        <w:spacing w:after="0" w:line="255" w:lineRule="exact"/>
        <w:rPr>
          <w:sz w:val="20"/>
          <w:szCs w:val="20"/>
          <w:color w:val="auto"/>
        </w:rPr>
      </w:pPr>
    </w:p>
    <w:p>
      <w:pPr>
        <w:jc w:val="both"/>
        <w:ind w:firstLine="568"/>
        <w:spacing w:after="0" w:line="277" w:lineRule="auto"/>
        <w:rPr>
          <w:sz w:val="20"/>
          <w:szCs w:val="20"/>
          <w:color w:val="auto"/>
        </w:rPr>
      </w:pPr>
      <w:r>
        <w:rPr>
          <w:rFonts w:ascii="Arial" w:cs="Arial" w:eastAsia="Arial" w:hAnsi="Arial"/>
          <w:sz w:val="18"/>
          <w:szCs w:val="18"/>
          <w:color w:val="auto"/>
        </w:rPr>
        <w:t>In connection with the transfer of the first generic version of Zovirax® (acyclovir) cream, to us by Arkin Dermatology on August 22, 2017, we assumed an agreement with Perrigo for the development, manufacturing and commercialization of the generic version of Zovirax® (acyclovir) cream. Under the terms of the agreement, Perrigo was required to conduct all regulatory, scientific, clinical and technical activities necessary to develop the generic version of Zovirax® (acyclovir) cream, prepare and file an ANDA with the FDA, and gain regulatory approval to market the generic version of Zovirax® (acyclovir) cream. The agreement provides that as soon as reasonably practical after final approval by the FDA of the ANDA, Perrigo is required to use diligent efforts to commercialize the product in the United States. Perrigo has the sole and exclusive right to establish and control the prices and all other terms and conditions for the sales of the product in the United States and is required to do so in good faith . We are responsible for 80% of all out-of-pocket clinical study costs related to the generic version of Zovirax® (acyclovir) cream. We will be entitled to 50% of Perrigo’s gross profits related to the sale of the generic version of Zovirax® (acyclovir) cream, on a quarterly basis, for a period of 20 years following the first commercial sale of the generic product. The agreement may be terminated if the gross profits relating to the sale of the generic version of Zovirax® (acyclovir) cream do not exceed a certain threshold or if the potential market for the product has been significantly reduced to regulatory changes.</w:t>
      </w:r>
    </w:p>
    <w:p>
      <w:pPr>
        <w:spacing w:after="0" w:line="208"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In February 2019, we announced that Perrigo received final approval from the FDA for the first generic version of Zovirax® (acyclovir) cream, 5%. We launched the product in February 2019.</w:t>
      </w:r>
    </w:p>
    <w:p>
      <w:pPr>
        <w:spacing w:after="0" w:line="193"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Generic version of Bryhali® (halobetasol propionate) lotion, 0.01%</w:t>
      </w:r>
    </w:p>
    <w:p>
      <w:pPr>
        <w:spacing w:after="0" w:line="255"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We are party to a collaboration agreement with Perrigo Israel, an affiliate of Perrigo Company plc, for the development, manufacturing and commercialization of a generic version of Bryhali® (halobetasol propionate) lotion, 0.01%, for the treatment of plaque psoriasis in adults. On January 30, 2020, Perrigo filed an ANDA for such generic version of Bryhali® (halobetasol propionate) lotion, 0.01%, and on May 1. 2020 Bausch Health Companies, Inc. (“Bausch Health”) filed a patent infringement action Perrigo’s ANDA in the US District Court for the District of New Jersey for such product.</w:t>
      </w:r>
    </w:p>
    <w:p>
      <w:pPr>
        <w:spacing w:after="0" w:line="208"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Generic version of Duobrii</w:t>
      </w:r>
      <w:r>
        <w:rPr>
          <w:rFonts w:ascii="Arial" w:cs="Arial" w:eastAsia="Arial" w:hAnsi="Arial"/>
          <w:sz w:val="31"/>
          <w:szCs w:val="31"/>
          <w:i w:val="1"/>
          <w:iCs w:val="1"/>
          <w:color w:val="auto"/>
          <w:vertAlign w:val="superscript"/>
        </w:rPr>
        <w:t>®</w:t>
      </w:r>
      <w:r>
        <w:rPr>
          <w:rFonts w:ascii="Arial" w:cs="Arial" w:eastAsia="Arial" w:hAnsi="Arial"/>
          <w:sz w:val="19"/>
          <w:szCs w:val="19"/>
          <w:i w:val="1"/>
          <w:iCs w:val="1"/>
          <w:color w:val="auto"/>
        </w:rPr>
        <w:t xml:space="preserve"> (halobetasol propionate and tazarotene) lotion</w:t>
      </w:r>
    </w:p>
    <w:p>
      <w:pPr>
        <w:spacing w:after="0" w:line="122" w:lineRule="exact"/>
        <w:rPr>
          <w:sz w:val="20"/>
          <w:szCs w:val="20"/>
          <w:color w:val="auto"/>
        </w:rPr>
      </w:pPr>
    </w:p>
    <w:p>
      <w:pPr>
        <w:jc w:val="both"/>
        <w:ind w:firstLine="568"/>
        <w:spacing w:after="0" w:line="215" w:lineRule="auto"/>
        <w:rPr>
          <w:sz w:val="20"/>
          <w:szCs w:val="20"/>
          <w:color w:val="auto"/>
        </w:rPr>
      </w:pPr>
      <w:r>
        <w:rPr>
          <w:rFonts w:ascii="Arial" w:cs="Arial" w:eastAsia="Arial" w:hAnsi="Arial"/>
          <w:sz w:val="19"/>
          <w:szCs w:val="19"/>
          <w:color w:val="auto"/>
        </w:rPr>
        <w:t>We are also a party to a collaboration agreement with Perrigo Israel, an affiliate of Perrigo Company plc, for the development, manufacturing and commercialization of a generic version of Duobrii</w:t>
      </w:r>
      <w:r>
        <w:rPr>
          <w:rFonts w:ascii="Arial" w:cs="Arial" w:eastAsia="Arial" w:hAnsi="Arial"/>
          <w:sz w:val="31"/>
          <w:szCs w:val="31"/>
          <w:color w:val="auto"/>
          <w:vertAlign w:val="superscript"/>
        </w:rPr>
        <w:t>®</w:t>
      </w:r>
      <w:r>
        <w:rPr>
          <w:rFonts w:ascii="Arial" w:cs="Arial" w:eastAsia="Arial" w:hAnsi="Arial"/>
          <w:sz w:val="19"/>
          <w:szCs w:val="19"/>
          <w:color w:val="auto"/>
        </w:rPr>
        <w:t xml:space="preserve"> (halobetasol propionate and tazarotene) lotion. In July 2020, Perrigo filled first-to-file Paragraph IV Certification for such generic version of Duobrii</w:t>
      </w:r>
      <w:r>
        <w:rPr>
          <w:rFonts w:ascii="Arial" w:cs="Arial" w:eastAsia="Arial" w:hAnsi="Arial"/>
          <w:sz w:val="31"/>
          <w:szCs w:val="31"/>
          <w:color w:val="auto"/>
          <w:vertAlign w:val="superscript"/>
        </w:rPr>
        <w:t>®</w:t>
      </w:r>
      <w:r>
        <w:rPr>
          <w:rFonts w:ascii="Arial" w:cs="Arial" w:eastAsia="Arial" w:hAnsi="Arial"/>
          <w:sz w:val="19"/>
          <w:szCs w:val="19"/>
          <w:color w:val="auto"/>
        </w:rPr>
        <w:t xml:space="preserve"> lotion asserting that certain U.S. patents, each of which is listed in the FDA's Orange Book for the Duobrii® lotion, are either invalid, unenforceable and/or will not be infringed by the commercial manufacture, use or sale of Perrigo’s generic lotion, and on August 31, 2020, Bausch Health initiated patent infringement action in the U.S. District Court of New Jersey regarding Perrigo’s ANDA for such product.</w:t>
      </w: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69" w:name="page70"/>
    <w:bookmarkEnd w:id="69"/>
    <w:p>
      <w:pPr>
        <w:ind w:left="560"/>
        <w:spacing w:after="0"/>
        <w:rPr>
          <w:sz w:val="20"/>
          <w:szCs w:val="20"/>
          <w:color w:val="auto"/>
        </w:rPr>
      </w:pPr>
      <w:r>
        <w:rPr>
          <w:rFonts w:ascii="Arial" w:cs="Arial" w:eastAsia="Arial" w:hAnsi="Arial"/>
          <w:sz w:val="19"/>
          <w:szCs w:val="19"/>
          <w:i w:val="1"/>
          <w:iCs w:val="1"/>
          <w:color w:val="auto"/>
        </w:rPr>
        <w:t>Other generic products</w:t>
      </w:r>
    </w:p>
    <w:p>
      <w:pPr>
        <w:spacing w:after="0" w:line="255" w:lineRule="exact"/>
        <w:rPr>
          <w:sz w:val="20"/>
          <w:szCs w:val="20"/>
          <w:color w:val="auto"/>
        </w:rPr>
      </w:pPr>
    </w:p>
    <w:p>
      <w:pPr>
        <w:jc w:val="both"/>
        <w:ind w:firstLine="568"/>
        <w:spacing w:after="0" w:line="252" w:lineRule="auto"/>
        <w:rPr>
          <w:sz w:val="20"/>
          <w:szCs w:val="20"/>
          <w:color w:val="auto"/>
        </w:rPr>
      </w:pPr>
      <w:r>
        <w:rPr>
          <w:rFonts w:ascii="Arial" w:cs="Arial" w:eastAsia="Arial" w:hAnsi="Arial"/>
          <w:sz w:val="18"/>
          <w:szCs w:val="18"/>
          <w:color w:val="auto"/>
        </w:rPr>
        <w:t>In addition, we have entered into collaboration agreements with Perrigo Israel, an affiliate of Perrigo Company plc, for the development, manufacturing and commercialization of seven other generic product candidates. Under such agreements and the agreements with respect to a generic version of Bryhali® (halobetasol propionate) lotion, 0.01% and a generic version of Duobrii</w:t>
      </w:r>
      <w:r>
        <w:rPr>
          <w:rFonts w:ascii="Arial" w:cs="Arial" w:eastAsia="Arial" w:hAnsi="Arial"/>
          <w:sz w:val="30"/>
          <w:szCs w:val="30"/>
          <w:color w:val="auto"/>
          <w:vertAlign w:val="superscript"/>
        </w:rPr>
        <w:t>®</w:t>
      </w:r>
      <w:r>
        <w:rPr>
          <w:rFonts w:ascii="Arial" w:cs="Arial" w:eastAsia="Arial" w:hAnsi="Arial"/>
          <w:sz w:val="18"/>
          <w:szCs w:val="18"/>
          <w:color w:val="auto"/>
        </w:rPr>
        <w:t xml:space="preserve"> (halobetasol propionate and tazarotene) lotion referred to above, Perrigo will conduct the regulatory (if relevant), scientific, clinical and technical activities necessary to develop the generic product candidates and seek regulatory approval with the FDA for the generic product candidates. If approved by the FDA, Perrigo has agreed to commercialize the generic product candidates in the United States. We and Perrigo will share the development costs and the gross profits generated from the sales of the generic product candidates, if approved.</w:t>
      </w:r>
    </w:p>
    <w:p>
      <w:pPr>
        <w:spacing w:after="0" w:line="22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Intellectual Property</w:t>
      </w:r>
    </w:p>
    <w:p>
      <w:pPr>
        <w:spacing w:after="0" w:line="261" w:lineRule="exact"/>
        <w:rPr>
          <w:sz w:val="20"/>
          <w:szCs w:val="20"/>
          <w:color w:val="auto"/>
        </w:rPr>
      </w:pPr>
    </w:p>
    <w:p>
      <w:pPr>
        <w:jc w:val="both"/>
        <w:ind w:firstLine="568"/>
        <w:spacing w:after="0" w:line="236" w:lineRule="auto"/>
        <w:rPr>
          <w:sz w:val="20"/>
          <w:szCs w:val="20"/>
          <w:color w:val="auto"/>
        </w:rPr>
      </w:pPr>
      <w:r>
        <w:rPr>
          <w:rFonts w:ascii="Arial" w:cs="Arial" w:eastAsia="Arial" w:hAnsi="Arial"/>
          <w:sz w:val="18"/>
          <w:szCs w:val="18"/>
          <w:color w:val="auto"/>
        </w:rPr>
        <w:t>Our intellectual property and proprietary technology are directed to the development, manufacture and sale of our branded product candidates, including Twyneo</w:t>
      </w:r>
      <w:r>
        <w:rPr>
          <w:rFonts w:ascii="Arial" w:cs="Arial" w:eastAsia="Arial" w:hAnsi="Arial"/>
          <w:sz w:val="30"/>
          <w:szCs w:val="30"/>
          <w:color w:val="auto"/>
          <w:vertAlign w:val="superscript"/>
        </w:rPr>
        <w:t>®</w:t>
      </w:r>
      <w:r>
        <w:rPr>
          <w:rFonts w:ascii="Arial" w:cs="Arial" w:eastAsia="Arial" w:hAnsi="Arial"/>
          <w:sz w:val="18"/>
          <w:szCs w:val="18"/>
          <w:color w:val="auto"/>
        </w:rPr>
        <w:t>, Epsolay® and SGT-210.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233"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product candidates and our future prospects.</w:t>
      </w:r>
    </w:p>
    <w:p>
      <w:pPr>
        <w:spacing w:after="0" w:line="179"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Our patent portfolio that is directed to our branded product candidates includes 113 patents and patent applications and claims processes for manufacture (including silica microencapsulation platform and other technologies), formulations, composition of matter, and methods of use. Of these 113 patents and patent applications, 58 are granted patents (10 in the United States and 48 in other countries) and 55 are pending applications (27 in the United States and 28 in other countries).</w:t>
      </w:r>
    </w:p>
    <w:p>
      <w:pPr>
        <w:spacing w:after="0" w:line="205" w:lineRule="exact"/>
        <w:rPr>
          <w:sz w:val="20"/>
          <w:szCs w:val="20"/>
          <w:color w:val="auto"/>
        </w:rPr>
      </w:pPr>
    </w:p>
    <w:p>
      <w:pPr>
        <w:jc w:val="both"/>
        <w:ind w:firstLine="568"/>
        <w:spacing w:after="0" w:line="246" w:lineRule="auto"/>
        <w:rPr>
          <w:sz w:val="20"/>
          <w:szCs w:val="20"/>
          <w:color w:val="auto"/>
        </w:rPr>
      </w:pPr>
      <w:r>
        <w:rPr>
          <w:rFonts w:ascii="Arial" w:cs="Arial" w:eastAsia="Arial" w:hAnsi="Arial"/>
          <w:sz w:val="17"/>
          <w:szCs w:val="17"/>
          <w:color w:val="auto"/>
        </w:rPr>
        <w:t>For our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product candidate, we have obtained patent protection for the composition of matter in the United States, Canada, Japan, Mexico (with a term until 2028) and we have a pending application claiming composition of matter in the European Patent Office. There are four patent families protecting the process for the encapsulation of the active agents of our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product candidate (one patent family has patents granted in Canada, India, Mexico, Europe (validated in France, Germany, Ireland, Italy, Spain, Switzerland and the United Kingdom) and Japan (with a term until 2028) and applications pending in the United States; the second patent family has patents granted in Mexico, Canada and the United States (with a term until 2029) and an application pending in the United States; the third patent family has patents granted in Europe (validated in France, Germany, Ireland, Italy, Spain, Switzerland and the United Kingdom), China, India, Japan, Canada, Mexico and the United States (with a term until 2030) and applications pending in the United States); and the fourth patent family has patents granted in Canada, China, Israel, India, Mexico and the United States). We own pending patents for the formulation of our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product candidate in the United States (with a term until 2032) and China, and patents granted in Japan, Canada, Mexico and Europe (validated in France, Germany, Ireland, Italy, Spain, Switzerland, United Kingdom) (with a term until 2032). We have pending patent applications in the United States for the composition of our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product candidate and one patent granted in the United States for the method of treatment of Twyneo® (with a term until 2038). We have five trademarks registered for our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product candidate in Israel, Europe, the United States and Canada.</w:t>
      </w:r>
    </w:p>
    <w:p>
      <w:pPr>
        <w:spacing w:after="0" w:line="64" w:lineRule="exact"/>
        <w:rPr>
          <w:sz w:val="20"/>
          <w:szCs w:val="20"/>
          <w:color w:val="auto"/>
        </w:rPr>
      </w:pPr>
    </w:p>
    <w:p>
      <w:pPr>
        <w:jc w:val="both"/>
        <w:ind w:right="20" w:firstLine="568"/>
        <w:spacing w:after="0" w:line="263" w:lineRule="auto"/>
        <w:rPr>
          <w:sz w:val="20"/>
          <w:szCs w:val="20"/>
          <w:color w:val="auto"/>
        </w:rPr>
      </w:pPr>
      <w:r>
        <w:rPr>
          <w:rFonts w:ascii="Arial" w:cs="Arial" w:eastAsia="Arial" w:hAnsi="Arial"/>
          <w:sz w:val="19"/>
          <w:szCs w:val="19"/>
          <w:color w:val="auto"/>
        </w:rPr>
        <w:t>For our Epsolay® product candidate, we have obtained patents in China, Canada, Japan, Europe, Mexico and the United States (with a term until 2032) covering the composition for topical treatment of rosacea. We have further pending applications for this composition in the United States, Canada and China. There are two patent families directed to the process for encapsulation of the active agents of our Epsolay® product candidate (one patent family has granted patents in Canada, India, Mexico, Europe (validated in France, Germany, Ireland, Italy, Spain, Switzerland and the United Kingdom) and Japan (with a term until 2028) and pending applications in the United States; and the second patent family has patents granted in Canada, China, Israel, India, Mexico and the United States). We also have 16 patent applications pending covering the methods of use of Epsolay® for the treatment of rosacea. We have four registered trademarks for our Epsolay® product candidate in Israel, Europe, Canada and the United States.</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0" w:name="page71"/>
    <w:bookmarkEnd w:id="70"/>
    <w:p>
      <w:pPr>
        <w:jc w:val="both"/>
        <w:ind w:right="20" w:firstLine="568"/>
        <w:spacing w:after="0" w:line="218" w:lineRule="auto"/>
        <w:rPr>
          <w:sz w:val="20"/>
          <w:szCs w:val="20"/>
          <w:color w:val="auto"/>
        </w:rPr>
      </w:pPr>
      <w:r>
        <w:rPr>
          <w:rFonts w:ascii="Arial" w:cs="Arial" w:eastAsia="Arial" w:hAnsi="Arial"/>
          <w:sz w:val="19"/>
          <w:szCs w:val="19"/>
          <w:color w:val="auto"/>
        </w:rPr>
        <w:t>We have one not published application covering the compositions of Epsolay</w:t>
      </w:r>
      <w:r>
        <w:rPr>
          <w:rFonts w:ascii="Arial" w:cs="Arial" w:eastAsia="Arial" w:hAnsi="Arial"/>
          <w:sz w:val="31"/>
          <w:szCs w:val="31"/>
          <w:color w:val="auto"/>
          <w:vertAlign w:val="superscript"/>
        </w:rPr>
        <w:t>®</w:t>
      </w:r>
      <w:r>
        <w:rPr>
          <w:rFonts w:ascii="Arial" w:cs="Arial" w:eastAsia="Arial" w:hAnsi="Arial"/>
          <w:sz w:val="19"/>
          <w:szCs w:val="19"/>
          <w:color w:val="auto"/>
        </w:rPr>
        <w:t xml:space="preserve"> and Twyneo</w:t>
      </w:r>
      <w:r>
        <w:rPr>
          <w:rFonts w:ascii="Arial" w:cs="Arial" w:eastAsia="Arial" w:hAnsi="Arial"/>
          <w:sz w:val="31"/>
          <w:szCs w:val="31"/>
          <w:color w:val="auto"/>
          <w:vertAlign w:val="superscript"/>
        </w:rPr>
        <w:t>®</w:t>
      </w:r>
      <w:r>
        <w:rPr>
          <w:rFonts w:ascii="Arial" w:cs="Arial" w:eastAsia="Arial" w:hAnsi="Arial"/>
          <w:sz w:val="19"/>
          <w:szCs w:val="19"/>
          <w:color w:val="auto"/>
        </w:rPr>
        <w:t>, the processes for the encapsulation of the active agents of our Epsolay</w:t>
      </w:r>
      <w:r>
        <w:rPr>
          <w:rFonts w:ascii="Arial" w:cs="Arial" w:eastAsia="Arial" w:hAnsi="Arial"/>
          <w:sz w:val="31"/>
          <w:szCs w:val="31"/>
          <w:color w:val="auto"/>
          <w:vertAlign w:val="superscript"/>
        </w:rPr>
        <w:t>®</w:t>
      </w:r>
      <w:r>
        <w:rPr>
          <w:rFonts w:ascii="Arial" w:cs="Arial" w:eastAsia="Arial" w:hAnsi="Arial"/>
          <w:sz w:val="19"/>
          <w:szCs w:val="19"/>
          <w:color w:val="auto"/>
        </w:rPr>
        <w:t xml:space="preserve"> and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product candidates, and the methods of use.</w:t>
      </w:r>
    </w:p>
    <w:p>
      <w:pPr>
        <w:spacing w:after="0" w:line="67"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We have applied for patents covering the use of tapinarof in ophthalmic disorders including dry eye, uveitis, and blepharitis with or without demodex involvement.</w:t>
      </w:r>
    </w:p>
    <w:p>
      <w:pPr>
        <w:spacing w:after="0" w:line="193"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We have four registered trademarks in Europe, Canada, the United States and Israel. These registrations cover potential brand names for our Epsolay® product candidate in Israel, Europe, Canada and the United States.</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Competition</w:t>
      </w:r>
    </w:p>
    <w:p>
      <w:pPr>
        <w:spacing w:after="0" w:line="261"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210"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There are numerous companies that have branded or generic products or product candidates in the dermatology market. Among them are Aclaris Therapeutics, Inc., Akorn, Inc., Almirall S.A., Aqua Pharmaceuticals LLC, Bayer HealthCare AG, Cassiopea SpA, Dermira, Inc., Vyne Pharmaceuticals Ltd., Galderma Pharma S.A., Glenmark Pharmaceuticals Ltd., G&amp;W Laboratories, Inc., LEO Pharma A/S, Mylan N.V., Novan, Inc., Novartis AG, Novum Pharma, LLC, Perrigo Company plc, Pfizer, Inc., Spear Therapeutics, Ltd., Sun Pharmaceutical Industries Ltd., Teligent, Inc., Teva Pharmaceutical Industries Ltd. and Bausch Health Companies Inc.</w:t>
      </w:r>
    </w:p>
    <w:p>
      <w:pPr>
        <w:spacing w:after="0" w:line="195"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213"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208"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8"/>
          <w:szCs w:val="18"/>
          <w:color w:val="auto"/>
        </w:rPr>
        <w:t>Twyneo</w:t>
      </w:r>
      <w:r>
        <w:rPr>
          <w:rFonts w:ascii="Arial" w:cs="Arial" w:eastAsia="Arial" w:hAnsi="Arial"/>
          <w:sz w:val="30"/>
          <w:szCs w:val="30"/>
          <w:color w:val="auto"/>
          <w:vertAlign w:val="superscript"/>
        </w:rPr>
        <w:t>®</w:t>
      </w:r>
      <w:r>
        <w:rPr>
          <w:rFonts w:ascii="Arial" w:cs="Arial" w:eastAsia="Arial" w:hAnsi="Arial"/>
          <w:sz w:val="18"/>
          <w:szCs w:val="18"/>
          <w:color w:val="auto"/>
        </w:rPr>
        <w:t xml:space="preserve"> and Epsolay® target the well-established acne and rosacea markets. If approved, we expect them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Tazorac and Altreno, fixed-dose combinations of benzoyl peroxide and adapalene such as Epiduo and Epiduo Forte, fixed-dose combinations of benzoyl peroxide and clindamycin such as Duac, Benzaclin, Onexton and Acanya, fixed-dose combinations of tretinoin and clindamycin such as Ziana and Veltin, and topical antibiotics such as Aczone and Amzeeq. The current standard of care for rosacea includes Metrogel, Finacea, Soolantra and the recently launched Zilxi, as well as oral Oracea (doxycycline embedded in a technology platform). As a fixed-dose combination product candidate, Twyneo® may also compete with drug products utilizing other technologies that can separate two drug substances, such as dual chamber tubes, dual pouches or dual sachets. In addition to these products, our FDA approved generic version of Zovirax® (acyclovir) cream, 5% and our generic drug product candidates, including ivermectin cream, 1%, are expected to face direct competition from branded drugs and authorized generics which are prescription drugs produced by the branded pharmaceutical companies and marketed under a private label, at generic prices. On December 30, 2016, Actavis Ltd. submitted an ANDA for ivermectin, 1%, cream, and therefore we will only be able to commercialize this product after Actavis Ltd.'s six-month exclusivity period expires.</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71" w:name="page72"/>
    <w:bookmarkEnd w:id="71"/>
    <w:p>
      <w:pPr>
        <w:spacing w:after="0"/>
        <w:rPr>
          <w:sz w:val="20"/>
          <w:szCs w:val="20"/>
          <w:color w:val="auto"/>
        </w:rPr>
      </w:pPr>
      <w:r>
        <w:rPr>
          <w:rFonts w:ascii="Arial" w:cs="Arial" w:eastAsia="Arial" w:hAnsi="Arial"/>
          <w:sz w:val="19"/>
          <w:szCs w:val="19"/>
          <w:b w:val="1"/>
          <w:bCs w:val="1"/>
          <w:color w:val="auto"/>
        </w:rPr>
        <w:t>Marketing, Sales and Distribution</w:t>
      </w:r>
    </w:p>
    <w:p>
      <w:pPr>
        <w:spacing w:after="0" w:line="261"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We currently have limited sales, marketing and distribution capabilities. In order to commercialize our product candidates, if approved for commercial sale, we expect to collaborate with third parties that have sales and marketing experience. We intend to commercialize our late-stage branded product candidates in the United States, if approved, through one or more third party collaborators that have direct sales forces and established distribution systems in lieu of our own sales force and distribution systems. If we are unable to enter into such arrangements on acceptable terms or at all, we may not be able to successfully commercialize Twyneo®, Epsolay® or any of our other product candidates. In other markets, we also expect to selectively pursue strategic collaborations with third parties in order to maximize the commercial potential of our product candidates.</w:t>
      </w:r>
    </w:p>
    <w:p>
      <w:pPr>
        <w:spacing w:after="0" w:line="216" w:lineRule="exact"/>
        <w:rPr>
          <w:sz w:val="20"/>
          <w:szCs w:val="20"/>
          <w:color w:val="auto"/>
        </w:rPr>
      </w:pPr>
    </w:p>
    <w:p>
      <w:pPr>
        <w:ind w:left="560"/>
        <w:spacing w:after="0"/>
        <w:rPr>
          <w:sz w:val="20"/>
          <w:szCs w:val="20"/>
          <w:color w:val="auto"/>
        </w:rPr>
      </w:pPr>
      <w:r>
        <w:rPr>
          <w:rFonts w:ascii="Arial" w:cs="Arial" w:eastAsia="Arial" w:hAnsi="Arial"/>
          <w:sz w:val="19"/>
          <w:szCs w:val="19"/>
          <w:color w:val="auto"/>
        </w:rPr>
        <w:t>In preparation for commercial launch of Epsolay and Twyneo, we have opened a U.S. headquarters in Whippany, New Jersey.</w:t>
      </w: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Manufacturing</w:t>
      </w:r>
    </w:p>
    <w:p>
      <w:pPr>
        <w:spacing w:after="0" w:line="261"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For the supply of current good manufacturing practice-grade, or cGMP-grade, clinical trial materials we rely on and expect to continue to rely on third-party contract manufacturing organizations, or CMOs, or on in-house manufacturing capabilities. As of August 2018, our in-house manufacturing operations have been audited for current good manufacturing, or cGMP, compliance, and were granted a cGMP certification by the Israel Ministry of Health. This certification allowed us to manufacture Twyneo® and its intermediates to support Phase 3 clinical trials. This cGMP certification expired in 2020, and since no other manufacturing for Phase 3 clinical trials is planned at the Company during 2021, the Company and the Israel Ministry of Health have mutually concluded that the cGMP certification will be reassessed and renewed for other products as they reach relevant stages of development. ISO 14001:2015 and OHSAS 18001:2007 certifications continue to be maintained and are due for renewal in May 2021 and March 2021, respectively. For commercial manufacturing of our products, we intend to rely solely on CMOs. It is our policy to have multiple or alternative sources where possible for every service and material we use in our products.</w:t>
      </w:r>
    </w:p>
    <w:p>
      <w:pPr>
        <w:spacing w:after="0" w:line="18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Government Regulation</w:t>
      </w:r>
    </w:p>
    <w:p>
      <w:pPr>
        <w:spacing w:after="0" w:line="261"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Regulation by governmental authorities in Israel, the United States and other countries is a significant factor in the development, manufacture and commercialization of our product candidates and in our ongoing research and development activities. Our business is subject to extensive government regulation in Israel for its manufacturing activities involving drug products, drug product intermediates, and drug product active substances to be used in Phase 3 clinical trials and commercial manufacturing.</w:t>
      </w:r>
    </w:p>
    <w:p>
      <w:pPr>
        <w:spacing w:after="0" w:line="21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Product Approval Process in the United States</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Review and approval of drugs</w:t>
      </w:r>
    </w:p>
    <w:p>
      <w:pPr>
        <w:spacing w:after="0" w:line="25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In the United States, pharmaceutical products are subject to extensive regulation by the FDA. The Federal Food, Drug and Cosmetic Act, or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72" w:name="page73"/>
    <w:bookmarkEnd w:id="72"/>
    <w:p>
      <w:pPr>
        <w:jc w:val="both"/>
        <w:ind w:firstLine="568"/>
        <w:spacing w:after="0" w:line="263" w:lineRule="auto"/>
        <w:rPr>
          <w:sz w:val="20"/>
          <w:szCs w:val="20"/>
          <w:color w:val="auto"/>
        </w:rPr>
      </w:pPr>
      <w:r>
        <w:rPr>
          <w:rFonts w:ascii="Arial" w:cs="Arial" w:eastAsia="Arial" w:hAnsi="Arial"/>
          <w:sz w:val="19"/>
          <w:szCs w:val="19"/>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 (3) 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w:t>
      </w:r>
    </w:p>
    <w:p>
      <w:pPr>
        <w:spacing w:after="0" w:line="21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In general, the process required by the FDA prior to marketing and distributing a new drug, as opposed to a generic drug subject to section 505(j), in the United States usually involves the following:</w:t>
      </w:r>
    </w:p>
    <w:p>
      <w:pPr>
        <w:spacing w:after="0" w:line="187" w:lineRule="exact"/>
        <w:rPr>
          <w:sz w:val="20"/>
          <w:szCs w:val="20"/>
          <w:color w:val="auto"/>
        </w:rPr>
      </w:pPr>
    </w:p>
    <w:p>
      <w:pPr>
        <w:ind w:left="740" w:hanging="426"/>
        <w:spacing w:after="0" w:line="268" w:lineRule="auto"/>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completion of pre-clinical laboratory tests, animal studies and formulation studies in compliance with the FDA’s good laboratory practices, or GLP, requirements or other applicable regulations;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submission to the FDA of an investigational new drug application, or IND, which must become effective before human clinical trials in the United States may begin;</w:t>
      </w:r>
    </w:p>
    <w:p>
      <w:pPr>
        <w:spacing w:after="0" w:line="264" w:lineRule="exact"/>
        <w:rPr>
          <w:rFonts w:ascii="Arial" w:cs="Arial" w:eastAsia="Arial" w:hAnsi="Arial"/>
          <w:sz w:val="14"/>
          <w:szCs w:val="14"/>
          <w:color w:val="auto"/>
        </w:rPr>
      </w:pPr>
    </w:p>
    <w:p>
      <w:pPr>
        <w:ind w:left="740" w:hanging="426"/>
        <w:spacing w:after="0"/>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approval by an independent institutional review board, or IRB, or ethics committee at each clinical site before each trial may be initiated;</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performance of adequate and well-controlled human clinical trials in accordance with good clinical practice, or GCP, requirements to establish the safety and efficacy of the proposed drug for its intended use;</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preparation and submission to the FDA of an NDA;</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satisfactory completion of an FDA advisory committee review, if applicable;</w:t>
      </w:r>
    </w:p>
    <w:p>
      <w:pPr>
        <w:spacing w:after="0" w:line="241" w:lineRule="exact"/>
        <w:rPr>
          <w:rFonts w:ascii="Arial" w:cs="Arial" w:eastAsia="Arial" w:hAnsi="Arial"/>
          <w:sz w:val="16"/>
          <w:szCs w:val="16"/>
          <w:color w:val="auto"/>
        </w:rPr>
      </w:pPr>
    </w:p>
    <w:p>
      <w:pPr>
        <w:jc w:val="both"/>
        <w:ind w:left="740" w:right="20" w:hanging="426"/>
        <w:spacing w:after="0" w:line="257" w:lineRule="auto"/>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213" w:lineRule="exact"/>
        <w:rPr>
          <w:rFonts w:ascii="Arial" w:cs="Arial" w:eastAsia="Arial" w:hAnsi="Arial"/>
          <w:sz w:val="16"/>
          <w:szCs w:val="16"/>
          <w:color w:val="auto"/>
        </w:rPr>
      </w:pPr>
    </w:p>
    <w:p>
      <w:pPr>
        <w:ind w:left="740" w:hanging="426"/>
        <w:spacing w:after="0"/>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satisfactory completion of FDA audits of clinical trial sites to assure compliance with GCPs and the integrity of the clinical data;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5"/>
        </w:numPr>
        <w:rPr>
          <w:rFonts w:ascii="Arial" w:cs="Arial" w:eastAsia="Arial" w:hAnsi="Arial"/>
          <w:sz w:val="16"/>
          <w:szCs w:val="16"/>
          <w:color w:val="auto"/>
        </w:rPr>
      </w:pPr>
      <w:r>
        <w:rPr>
          <w:rFonts w:ascii="Arial" w:cs="Arial" w:eastAsia="Arial" w:hAnsi="Arial"/>
          <w:sz w:val="16"/>
          <w:szCs w:val="16"/>
          <w:color w:val="auto"/>
        </w:rPr>
        <w:t>payment of user fees and FDA review and approval of the NDA.</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Pre-clinical studies</w:t>
      </w:r>
    </w:p>
    <w:p>
      <w:pPr>
        <w:spacing w:after="0" w:line="255"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investigational new drug application, or IND, which must become effective before clinical trials may commence. An IND is a request for authorization from the FDA to administer an investigational new drug product to humans. The central focus of an IND submission is on the general investigational plan and the protocol(s) for clinical studies. The IND automatically becomes effective 30 days after receipt by the FDA, unless the FDA, within the 30- day time period, raises safety concerns or questions about the proposed clinical trial. In such a case, the IND may be placed on clinical hold and the IND sponsor and the FDA must resolve any outstanding concerns or questions before the clinical trial can begin. Submission of an IND therefore may or may not result in FDA authorization to begin a clinical trial. Long-term pre-clinical studies, such as animal tests of reproductive toxicity and carcinogenicity, may continue after the IND application is submitted.</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3" w:name="page74"/>
    <w:bookmarkEnd w:id="73"/>
    <w:p>
      <w:pPr>
        <w:spacing w:after="0"/>
        <w:rPr>
          <w:sz w:val="20"/>
          <w:szCs w:val="20"/>
          <w:color w:val="auto"/>
        </w:rPr>
      </w:pPr>
      <w:r>
        <w:rPr>
          <w:rFonts w:ascii="Arial" w:cs="Arial" w:eastAsia="Arial" w:hAnsi="Arial"/>
          <w:sz w:val="19"/>
          <w:szCs w:val="19"/>
          <w:i w:val="1"/>
          <w:iCs w:val="1"/>
          <w:color w:val="auto"/>
        </w:rPr>
        <w:t>Clinical trials</w:t>
      </w:r>
    </w:p>
    <w:p>
      <w:pPr>
        <w:spacing w:after="0" w:line="255"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local institutional review board, or IRB, and to the FDA as part of the IND.</w:t>
      </w:r>
    </w:p>
    <w:p>
      <w:pPr>
        <w:spacing w:after="0" w:line="181" w:lineRule="exact"/>
        <w:rPr>
          <w:sz w:val="20"/>
          <w:szCs w:val="20"/>
          <w:color w:val="auto"/>
        </w:rPr>
      </w:pPr>
    </w:p>
    <w:p>
      <w:pPr>
        <w:jc w:val="both"/>
        <w:ind w:firstLine="568"/>
        <w:spacing w:after="0" w:line="277" w:lineRule="auto"/>
        <w:rPr>
          <w:sz w:val="20"/>
          <w:szCs w:val="20"/>
          <w:color w:val="auto"/>
        </w:rPr>
      </w:pPr>
      <w:r>
        <w:rPr>
          <w:rFonts w:ascii="Arial" w:cs="Arial" w:eastAsia="Arial" w:hAnsi="Arial"/>
          <w:sz w:val="18"/>
          <w:szCs w:val="18"/>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Some studies also include oversight by an independent group of qualified experts organized by the clinical study sponsor, known as a data safety monitoring board, which provides authorization for whether or not a study may move forward at designated check points based on access to certain data from the study and may halt the clinical trial if it determines that there is an unacceptable safety risk for subjects or other grounds, such as no demonstration of efficacy. Depending on its charter, this group may determine whether a trial may move forward at designated check points based on access to certain data from the trial. The FDA or the sponsor may suspend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There are also requirements governing the reporting of ongoing clinical studies and clinical study results to public registries.</w:t>
      </w:r>
    </w:p>
    <w:p>
      <w:pPr>
        <w:spacing w:after="0" w:line="208" w:lineRule="exact"/>
        <w:rPr>
          <w:sz w:val="20"/>
          <w:szCs w:val="20"/>
          <w:color w:val="auto"/>
        </w:rPr>
      </w:pPr>
    </w:p>
    <w:p>
      <w:pPr>
        <w:ind w:left="560"/>
        <w:spacing w:after="0"/>
        <w:rPr>
          <w:sz w:val="20"/>
          <w:szCs w:val="20"/>
          <w:color w:val="auto"/>
        </w:rPr>
      </w:pPr>
      <w:r>
        <w:rPr>
          <w:rFonts w:ascii="Arial" w:cs="Arial" w:eastAsia="Arial" w:hAnsi="Arial"/>
          <w:sz w:val="19"/>
          <w:szCs w:val="19"/>
          <w:color w:val="auto"/>
        </w:rPr>
        <w:t>Clinical trials are typically conducted in three sequential phases, which may overlap or be combined:</w:t>
      </w:r>
    </w:p>
    <w:p>
      <w:pPr>
        <w:spacing w:after="0" w:line="249" w:lineRule="exact"/>
        <w:rPr>
          <w:sz w:val="20"/>
          <w:szCs w:val="20"/>
          <w:color w:val="auto"/>
        </w:rPr>
      </w:pPr>
    </w:p>
    <w:p>
      <w:pPr>
        <w:ind w:left="740" w:right="20" w:hanging="426"/>
        <w:spacing w:after="0" w:line="302" w:lineRule="auto"/>
        <w:tabs>
          <w:tab w:leader="none" w:pos="740" w:val="left"/>
        </w:tabs>
        <w:numPr>
          <w:ilvl w:val="0"/>
          <w:numId w:val="56"/>
        </w:numPr>
        <w:rPr>
          <w:rFonts w:ascii="Arial" w:cs="Arial" w:eastAsia="Arial" w:hAnsi="Arial"/>
          <w:sz w:val="15"/>
          <w:szCs w:val="15"/>
          <w:color w:val="auto"/>
        </w:rPr>
      </w:pPr>
      <w:r>
        <w:rPr>
          <w:rFonts w:ascii="Arial" w:cs="Arial" w:eastAsia="Arial" w:hAnsi="Arial"/>
          <w:sz w:val="15"/>
          <w:szCs w:val="15"/>
          <w:i w:val="1"/>
          <w:iCs w:val="1"/>
          <w:color w:val="auto"/>
        </w:rPr>
        <w:t>Phase 1</w:t>
      </w:r>
      <w:r>
        <w:rPr>
          <w:rFonts w:ascii="Arial" w:cs="Arial" w:eastAsia="Arial" w:hAnsi="Arial"/>
          <w:sz w:val="15"/>
          <w:szCs w:val="15"/>
          <w:color w:val="auto"/>
        </w:rPr>
        <w:t>: The drug is initially introduced into healthy human subjects or patients with the target disease or condition and tested for safety, dosage tolerance,</w:t>
      </w:r>
      <w:r>
        <w:rPr>
          <w:rFonts w:ascii="Arial" w:cs="Arial" w:eastAsia="Arial" w:hAnsi="Arial"/>
          <w:sz w:val="15"/>
          <w:szCs w:val="15"/>
          <w:i w:val="1"/>
          <w:iCs w:val="1"/>
          <w:color w:val="auto"/>
        </w:rPr>
        <w:t xml:space="preserve"> </w:t>
      </w:r>
      <w:r>
        <w:rPr>
          <w:rFonts w:ascii="Arial" w:cs="Arial" w:eastAsia="Arial" w:hAnsi="Arial"/>
          <w:sz w:val="15"/>
          <w:szCs w:val="15"/>
          <w:color w:val="auto"/>
        </w:rPr>
        <w:t>absorption, metabolism, distribution, excretion and, if possible, to gain an early indication of its effectiveness and to determine optimal dosage.</w:t>
      </w:r>
    </w:p>
    <w:p>
      <w:pPr>
        <w:spacing w:after="0" w:line="180" w:lineRule="exact"/>
        <w:rPr>
          <w:rFonts w:ascii="Arial" w:cs="Arial" w:eastAsia="Arial" w:hAnsi="Arial"/>
          <w:sz w:val="15"/>
          <w:szCs w:val="15"/>
          <w:color w:val="auto"/>
        </w:rPr>
      </w:pPr>
    </w:p>
    <w:p>
      <w:pPr>
        <w:ind w:left="740" w:hanging="426"/>
        <w:spacing w:after="0" w:line="268" w:lineRule="auto"/>
        <w:tabs>
          <w:tab w:leader="none" w:pos="740" w:val="left"/>
        </w:tabs>
        <w:numPr>
          <w:ilvl w:val="0"/>
          <w:numId w:val="56"/>
        </w:numPr>
        <w:rPr>
          <w:rFonts w:ascii="Arial" w:cs="Arial" w:eastAsia="Arial" w:hAnsi="Arial"/>
          <w:sz w:val="16"/>
          <w:szCs w:val="16"/>
          <w:color w:val="auto"/>
        </w:rPr>
      </w:pPr>
      <w:r>
        <w:rPr>
          <w:rFonts w:ascii="Arial" w:cs="Arial" w:eastAsia="Arial" w:hAnsi="Arial"/>
          <w:sz w:val="16"/>
          <w:szCs w:val="16"/>
          <w:i w:val="1"/>
          <w:iCs w:val="1"/>
          <w:color w:val="auto"/>
        </w:rPr>
        <w:t>Phase 2</w:t>
      </w:r>
      <w:r>
        <w:rPr>
          <w:rFonts w:ascii="Arial" w:cs="Arial" w:eastAsia="Arial" w:hAnsi="Arial"/>
          <w:sz w:val="16"/>
          <w:szCs w:val="16"/>
          <w:color w:val="auto"/>
        </w:rPr>
        <w:t>: The drug is administered to a limited patient population to identify possible short-term adverse effects and safety risks, to preliminarily evaluate the efficacy</w:t>
      </w:r>
      <w:r>
        <w:rPr>
          <w:rFonts w:ascii="Arial" w:cs="Arial" w:eastAsia="Arial" w:hAnsi="Arial"/>
          <w:sz w:val="16"/>
          <w:szCs w:val="16"/>
          <w:i w:val="1"/>
          <w:iCs w:val="1"/>
          <w:color w:val="auto"/>
        </w:rPr>
        <w:t xml:space="preserve"> </w:t>
      </w:r>
      <w:r>
        <w:rPr>
          <w:rFonts w:ascii="Arial" w:cs="Arial" w:eastAsia="Arial" w:hAnsi="Arial"/>
          <w:sz w:val="16"/>
          <w:szCs w:val="16"/>
          <w:color w:val="auto"/>
        </w:rPr>
        <w:t>of the product for specific targeted diseases and to determine dosage tolerance and optimal dosage.</w:t>
      </w:r>
    </w:p>
    <w:p>
      <w:pPr>
        <w:spacing w:after="0" w:line="204" w:lineRule="exact"/>
        <w:rPr>
          <w:rFonts w:ascii="Arial" w:cs="Arial" w:eastAsia="Arial" w:hAnsi="Arial"/>
          <w:sz w:val="16"/>
          <w:szCs w:val="16"/>
          <w:color w:val="auto"/>
        </w:rPr>
      </w:pPr>
    </w:p>
    <w:p>
      <w:pPr>
        <w:jc w:val="both"/>
        <w:ind w:left="740" w:right="20" w:hanging="426"/>
        <w:spacing w:after="0" w:line="257" w:lineRule="auto"/>
        <w:tabs>
          <w:tab w:leader="none" w:pos="740" w:val="left"/>
        </w:tabs>
        <w:numPr>
          <w:ilvl w:val="0"/>
          <w:numId w:val="56"/>
        </w:numPr>
        <w:rPr>
          <w:rFonts w:ascii="Arial" w:cs="Arial" w:eastAsia="Arial" w:hAnsi="Arial"/>
          <w:sz w:val="16"/>
          <w:szCs w:val="16"/>
          <w:color w:val="auto"/>
        </w:rPr>
      </w:pPr>
      <w:r>
        <w:rPr>
          <w:rFonts w:ascii="Arial" w:cs="Arial" w:eastAsia="Arial" w:hAnsi="Arial"/>
          <w:sz w:val="16"/>
          <w:szCs w:val="16"/>
          <w:i w:val="1"/>
          <w:iCs w:val="1"/>
          <w:color w:val="auto"/>
        </w:rPr>
        <w:t>Phase 3</w:t>
      </w:r>
      <w:r>
        <w:rPr>
          <w:rFonts w:ascii="Arial" w:cs="Arial" w:eastAsia="Arial" w:hAnsi="Arial"/>
          <w:sz w:val="16"/>
          <w:szCs w:val="16"/>
          <w:color w:val="auto"/>
        </w:rPr>
        <w:t>: The drug is administered to an expanded patient population, generally at geographically dispersed clinical trial sites, in well-controlled clinical trials to</w:t>
      </w:r>
      <w:r>
        <w:rPr>
          <w:rFonts w:ascii="Arial" w:cs="Arial" w:eastAsia="Arial" w:hAnsi="Arial"/>
          <w:sz w:val="16"/>
          <w:szCs w:val="16"/>
          <w:i w:val="1"/>
          <w:iCs w:val="1"/>
          <w:color w:val="auto"/>
        </w:rPr>
        <w:t xml:space="preserve"> </w:t>
      </w:r>
      <w:r>
        <w:rPr>
          <w:rFonts w:ascii="Arial" w:cs="Arial" w:eastAsia="Arial" w:hAnsi="Arial"/>
          <w:sz w:val="16"/>
          <w:szCs w:val="16"/>
          <w:color w:val="auto"/>
        </w:rPr>
        <w:t>generate enough data to statistically evaluate the efficacy and safety of the product for approval, to establish the overall risk-benefit profile of the product, and to provide adequate information for the labeling of the product.</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4" w:name="page75"/>
    <w:bookmarkEnd w:id="74"/>
    <w:p>
      <w:pPr>
        <w:jc w:val="both"/>
        <w:ind w:firstLine="568"/>
        <w:spacing w:after="0" w:line="267" w:lineRule="auto"/>
        <w:rPr>
          <w:sz w:val="20"/>
          <w:szCs w:val="20"/>
          <w:color w:val="auto"/>
        </w:rPr>
      </w:pPr>
      <w:r>
        <w:rPr>
          <w:rFonts w:ascii="Arial" w:cs="Arial" w:eastAsia="Arial" w:hAnsi="Arial"/>
          <w:sz w:val="19"/>
          <w:szCs w:val="19"/>
          <w:color w:val="auto"/>
        </w:rPr>
        <w:t>In some cases, the FDA may require, or companies may voluntarily pursue, additional clinical trials after a product is approved to gain more information about the product. These so-called Phase 4 studies, may be conducted after initial marketing approval, and may be used to gain additional experience from the treatment of patients in the intended therapeutic indication. In certain instances, the FDA may mandate the performance of Phase 4 clinical trials as a condition of approval of an NDA.</w:t>
      </w:r>
    </w:p>
    <w:p>
      <w:pPr>
        <w:spacing w:after="0" w:line="210"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drug. In addition, appropriate packaging must be selected and tested, and stability studies must be conducted to demonstrate that the product candidate does not undergo unacceptable deterioration over its shelf life.</w:t>
      </w:r>
    </w:p>
    <w:p>
      <w:pPr>
        <w:spacing w:after="0" w:line="214"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 xml:space="preserve">While the IND is active and before approval, progress reports summarizing the results of the clinical trials and nonclinical studies performed since the last progress report must be submitted at least annually to the FDA, and written IND safety reports must be submitted to the FDA and investigators for serious and unexpected suspected adverse events, findings from other studies suggesting a significant risk to humans exposed to the same or similar drugs, findings from animal or </w:t>
      </w:r>
      <w:r>
        <w:rPr>
          <w:rFonts w:ascii="Arial" w:cs="Arial" w:eastAsia="Arial" w:hAnsi="Arial"/>
          <w:sz w:val="17"/>
          <w:szCs w:val="17"/>
          <w:i w:val="1"/>
          <w:iCs w:val="1"/>
          <w:color w:val="auto"/>
        </w:rPr>
        <w:t>in vitro</w:t>
      </w:r>
      <w:r>
        <w:rPr>
          <w:rFonts w:ascii="Arial" w:cs="Arial" w:eastAsia="Arial" w:hAnsi="Arial"/>
          <w:sz w:val="17"/>
          <w:szCs w:val="17"/>
          <w:color w:val="auto"/>
        </w:rPr>
        <w:t xml:space="preserve"> testing suggesting a significant risk to humans, and any clinically important increased incidence of a serious suspected adverse reaction compared to that listed in the protocol or investigator brochure.</w:t>
      </w:r>
    </w:p>
    <w:p>
      <w:pPr>
        <w:spacing w:after="0" w:line="181"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In addition, 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the FDA to reach agreement on the next phase of development. Sponsors typically use the meetings at the end of the Phase 2 trial to discuss Phase 2 clinical results and present plans for the pivotal Phase 3 clinical trials that they believe will support approval of the new drug.</w:t>
      </w:r>
    </w:p>
    <w:p>
      <w:pPr>
        <w:spacing w:after="0" w:line="181"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Unlike NDA products which must be shown to be safe and effective for their intended use, ANDA products must be shown to be the same as, and bioequivalent to, a reference listed drug, or RLD, and superior over the vehicle. A product is considered bioequivalent if there is no significant difference in the rate and extent to which the active ingredient in the generic product and in the RLD becomes available at the site of drug action when administered at the same molar dose under similar conditions in an appropriately designed study. Accordingly, an applicant typically compares the systemic exposure profile of the generic test drug product to that of the RLD at the same regimen and exposure period as the RLD to demonstrate bioequivalence. For most ANDAs, bioequivalence must be shown in human clinical trials, but in some cases, FDA will accept in vitro data. Specific requirements are typically outlined by FDA in product-specific bioequivalence guidance.</w:t>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Submission of an NDA to the FDA</w:t>
      </w:r>
    </w:p>
    <w:p>
      <w:pPr>
        <w:spacing w:after="0" w:line="255"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Assuming successful completion of all required testing with all applicable regulatory requirements, 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application user fees, as well as the annual program fees required for approved products, can be substantial. The NDA application review fee alone can exceed $2.5 million, subject to certain limited deferrals, waivers and reductions that may be available.</w:t>
      </w:r>
    </w:p>
    <w:p>
      <w:pPr>
        <w:spacing w:after="0" w:line="196"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5" w:name="page76"/>
    <w:bookmarkEnd w:id="75"/>
    <w:p>
      <w:pPr>
        <w:jc w:val="both"/>
        <w:ind w:right="20" w:firstLine="568"/>
        <w:spacing w:after="0" w:line="263" w:lineRule="auto"/>
        <w:rPr>
          <w:sz w:val="20"/>
          <w:szCs w:val="20"/>
          <w:color w:val="auto"/>
        </w:rPr>
      </w:pPr>
      <w:r>
        <w:rPr>
          <w:rFonts w:ascii="Arial" w:cs="Arial" w:eastAsia="Arial" w:hAnsi="Arial"/>
          <w:sz w:val="19"/>
          <w:szCs w:val="19"/>
          <w:color w:val="auto"/>
        </w:rPr>
        <w:t>Under the PDUFA, the FDA has agreed to certain performance goals in the review of NDAs through a two-tiered classification system, Standard Review and Priority Review. An NDA is eligible for Priority Review if the product candidate is designed to treat serious or life-threatening disease or condition, and if approved, would provide a significant improvement in the treatment, diagnosis or prevention of a serious disease or condition compared to marketed products. For non-new molecular entities, such as those typically submitted in 505(b)(2) applications, the FDA endeavors to review applications subject to Standard Review within approximately 10 months of receipt, whereas the FDA’s goal is to review Priority Review applications within approximately six months of receipt. The FDA, however, may not approve a drug within these established goals, as the review process is often significantly extended by FDA requests for additional information or clarification, and its review goals are subject to change from time to time.</w:t>
      </w:r>
    </w:p>
    <w:p>
      <w:pPr>
        <w:spacing w:after="0" w:line="213"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 The FDA is not bound by the recommendations of an advisory committee, but it considers such recommendations carefully when making decisions.</w:t>
      </w:r>
    </w:p>
    <w:p>
      <w:pPr>
        <w:spacing w:after="0" w:line="196"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After the FDA evaluates the NDA and the manufacturing facilities, it issues either an approval letter or a complete response letter. An approval letter authorizes commercial marketing of the product with specific prescribing information for specific indications. A complete response letter indicates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w:t>
      </w:r>
    </w:p>
    <w:p>
      <w:pPr>
        <w:spacing w:after="0" w:line="216"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If a product is approved, the approval will impose limitations on the indicated uses for which the product may be marketed, may require that warning statements be included in the product 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191"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manufacturers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6" w:name="page77"/>
    <w:bookmarkEnd w:id="76"/>
    <w:p>
      <w:pPr>
        <w:spacing w:after="0"/>
        <w:rPr>
          <w:sz w:val="20"/>
          <w:szCs w:val="20"/>
          <w:color w:val="auto"/>
        </w:rPr>
      </w:pPr>
      <w:r>
        <w:rPr>
          <w:rFonts w:ascii="Arial" w:cs="Arial" w:eastAsia="Arial" w:hAnsi="Arial"/>
          <w:sz w:val="19"/>
          <w:szCs w:val="19"/>
          <w:b w:val="1"/>
          <w:bCs w:val="1"/>
          <w:i w:val="1"/>
          <w:iCs w:val="1"/>
          <w:color w:val="auto"/>
        </w:rPr>
        <w:t>Post-Approval Requirements</w:t>
      </w:r>
    </w:p>
    <w:p>
      <w:pPr>
        <w:spacing w:after="0" w:line="255"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Any drug products receiving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w:t>
      </w:r>
    </w:p>
    <w:p>
      <w:pPr>
        <w:spacing w:after="0" w:line="216"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196"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The manufacturing of any drug products must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 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188"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program user fee requirements for any approved products, as well as new application fees for supplemental applications with clinical data.</w:t>
      </w:r>
    </w:p>
    <w:p>
      <w:pPr>
        <w:spacing w:after="0" w:line="213" w:lineRule="exact"/>
        <w:rPr>
          <w:sz w:val="20"/>
          <w:szCs w:val="20"/>
          <w:color w:val="auto"/>
        </w:rPr>
      </w:pPr>
    </w:p>
    <w:p>
      <w:pPr>
        <w:jc w:val="both"/>
        <w:ind w:right="20" w:firstLine="568"/>
        <w:spacing w:after="0" w:line="345" w:lineRule="auto"/>
        <w:rPr>
          <w:sz w:val="20"/>
          <w:szCs w:val="20"/>
          <w:color w:val="auto"/>
        </w:rPr>
      </w:pPr>
      <w:r>
        <w:rPr>
          <w:rFonts w:ascii="Arial" w:cs="Arial" w:eastAsia="Arial" w:hAnsi="Arial"/>
          <w:sz w:val="17"/>
          <w:szCs w:val="17"/>
          <w:color w:val="auto"/>
        </w:rPr>
        <w:t>The FDA also may require post-marketing testing, or Phase IV testing, as well as risk minimization action plans and surveillance to monitor the effects of an approved product or place conditions on an approval that could otherwise restrict the distribution or use of our product candidates.</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7" w:name="page78"/>
    <w:bookmarkEnd w:id="77"/>
    <w:p>
      <w:pPr>
        <w:jc w:val="both"/>
        <w:ind w:firstLine="568"/>
        <w:spacing w:after="0" w:line="304" w:lineRule="auto"/>
        <w:rPr>
          <w:sz w:val="20"/>
          <w:szCs w:val="20"/>
          <w:color w:val="auto"/>
        </w:rPr>
      </w:pPr>
      <w:r>
        <w:rPr>
          <w:rFonts w:ascii="Arial" w:cs="Arial" w:eastAsia="Arial" w:hAnsi="Arial"/>
          <w:sz w:val="17"/>
          <w:szCs w:val="17"/>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176" w:lineRule="exact"/>
        <w:rPr>
          <w:sz w:val="20"/>
          <w:szCs w:val="20"/>
          <w:color w:val="auto"/>
        </w:rPr>
      </w:pPr>
    </w:p>
    <w:p>
      <w:pPr>
        <w:ind w:left="740" w:hanging="426"/>
        <w:spacing w:after="0"/>
        <w:tabs>
          <w:tab w:leader="none" w:pos="7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restrictions on the marketing or manufacturing of the product, complete withdrawal of the product from the market or product recalls;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fines, warning letters or holds on post-approval clinical trials;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refusal of the FDA to approve pending NDAs or supplements to approved NDAs, or suspension or revocation of product approvals;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product seizure or detention, or refusal to permit the import or export of products; or</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injunctions or the imposition of civil or criminal penalties.</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Pediatric trials and exclusivity</w:t>
      </w:r>
    </w:p>
    <w:p>
      <w:pPr>
        <w:spacing w:after="0" w:line="255"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Sponsors must also submit pediatric study plans prior to the assessment data. Those plans must contain an outline of the proposed pediatric trials the applicant plans to conduct, including trial objectives and design, any deferral or waiver requests, and other information required by the statute. The applicant, the FDA, and the FDA’s internal review committee must then review the information submitted, consult with each other, and agree upon a final plan. The FDA or the applicant may request an amendment to the plan at any time.</w:t>
      </w:r>
    </w:p>
    <w:p>
      <w:pPr>
        <w:spacing w:after="0" w:line="202"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The FDA may also, on its own initiative or at the request of the applicant, grant deferrals for submission of some or all pediatric data until after approval of the product for use in adults, or full or partial waivers from the pediatric data requirements.</w:t>
      </w:r>
    </w:p>
    <w:p>
      <w:pPr>
        <w:spacing w:after="0" w:line="193"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Separately, in the event the FDA makes a written request for pediatric data relating to a drug product, an NDA sponsor who submits such data may be entitled to pediatric exclusivity. Pediatric exclusivity is another type of non-patent marketing exclusivity in the United States and, if granted, provides for the attachment of an additional six months of marketing protection to the term of any existing non-patent exclusivity.</w:t>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The Hatch-Waxman Amendments</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ANDA Approval Process</w:t>
      </w:r>
    </w:p>
    <w:p>
      <w:pPr>
        <w:spacing w:after="0" w:line="255"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The Hatch-Waxman Amendments established abbreviated FDA approval procedures for drugs that are shown to be equivalent to proprietary drugs previously approved by the FDA through the NDA process. Approval to market and distribute these drugs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8" w:name="page79"/>
    <w:bookmarkEnd w:id="78"/>
    <w:p>
      <w:pPr>
        <w:spacing w:after="0"/>
        <w:rPr>
          <w:sz w:val="20"/>
          <w:szCs w:val="20"/>
          <w:color w:val="auto"/>
        </w:rPr>
      </w:pPr>
      <w:r>
        <w:rPr>
          <w:rFonts w:ascii="Arial" w:cs="Arial" w:eastAsia="Arial" w:hAnsi="Arial"/>
          <w:sz w:val="19"/>
          <w:szCs w:val="19"/>
          <w:i w:val="1"/>
          <w:iCs w:val="1"/>
          <w:color w:val="auto"/>
        </w:rPr>
        <w:t>505(b)(2) NDAs</w:t>
      </w:r>
    </w:p>
    <w:p>
      <w:pPr>
        <w:spacing w:after="0" w:line="255" w:lineRule="exact"/>
        <w:rPr>
          <w:sz w:val="20"/>
          <w:szCs w:val="20"/>
          <w:color w:val="auto"/>
        </w:rPr>
      </w:pPr>
    </w:p>
    <w:p>
      <w:pPr>
        <w:jc w:val="both"/>
        <w:ind w:right="20" w:firstLine="568"/>
        <w:spacing w:after="0" w:line="279" w:lineRule="auto"/>
        <w:rPr>
          <w:sz w:val="20"/>
          <w:szCs w:val="20"/>
          <w:color w:val="auto"/>
        </w:rPr>
      </w:pPr>
      <w:r>
        <w:rPr>
          <w:rFonts w:ascii="Arial" w:cs="Arial" w:eastAsia="Arial" w:hAnsi="Arial"/>
          <w:sz w:val="18"/>
          <w:szCs w:val="18"/>
          <w:color w:val="auto"/>
        </w:rPr>
        <w:t>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Section 505(b)(2) typically serves as an alternative path to FDA approval for modifications to formulations or uses of products previously approved by the FDA.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 new product candidate for all, or some, of the labeled indications for which the branded reference drug has been approved, as well as for any new indication sought by the 505(b)(2) applicant.</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Orange Book Listing</w:t>
      </w:r>
    </w:p>
    <w:p>
      <w:pPr>
        <w:spacing w:after="0" w:line="255"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In seeking approval for a drug through an NDA, including a 505(b)(2) NDA, applicants are required to list with the FDA certain patents whose claims cover the applicant’s product or method of using the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(1) that no patent information on the drug product that is the subject of the application has been submitted to the FDA; (2) that such patent has expired; (3) the date on which such patent expires; or (4) that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a patented method-of-use rather than certify to a listed method-of-use patent.</w:t>
      </w:r>
    </w:p>
    <w:p>
      <w:pPr>
        <w:spacing w:after="0" w:line="188" w:lineRule="exact"/>
        <w:rPr>
          <w:sz w:val="20"/>
          <w:szCs w:val="20"/>
          <w:color w:val="auto"/>
        </w:rPr>
      </w:pPr>
    </w:p>
    <w:p>
      <w:pPr>
        <w:jc w:val="both"/>
        <w:ind w:firstLine="568"/>
        <w:spacing w:after="0" w:line="293" w:lineRule="auto"/>
        <w:rPr>
          <w:sz w:val="20"/>
          <w:szCs w:val="20"/>
          <w:color w:val="auto"/>
        </w:rPr>
      </w:pPr>
      <w:r>
        <w:rPr>
          <w:rFonts w:ascii="Arial" w:cs="Arial" w:eastAsia="Arial" w:hAnsi="Arial"/>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188" w:lineRule="exact"/>
        <w:rPr>
          <w:sz w:val="20"/>
          <w:szCs w:val="20"/>
          <w:color w:val="auto"/>
        </w:rPr>
      </w:pPr>
    </w:p>
    <w:p>
      <w:pPr>
        <w:jc w:val="both"/>
        <w:ind w:firstLine="568"/>
        <w:spacing w:after="0" w:line="298" w:lineRule="auto"/>
        <w:rPr>
          <w:sz w:val="20"/>
          <w:szCs w:val="20"/>
          <w:color w:val="auto"/>
        </w:rPr>
      </w:pPr>
      <w:r>
        <w:rPr>
          <w:rFonts w:ascii="Arial" w:cs="Arial" w:eastAsia="Arial" w:hAnsi="Arial"/>
          <w:sz w:val="17"/>
          <w:szCs w:val="17"/>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187" w:lineRule="exact"/>
        <w:rPr>
          <w:sz w:val="20"/>
          <w:szCs w:val="20"/>
          <w:color w:val="auto"/>
        </w:rPr>
      </w:pPr>
    </w:p>
    <w:p>
      <w:pPr>
        <w:jc w:val="both"/>
        <w:ind w:right="20" w:firstLine="568"/>
        <w:spacing w:after="0" w:line="264" w:lineRule="auto"/>
        <w:rPr>
          <w:sz w:val="20"/>
          <w:szCs w:val="20"/>
          <w:color w:val="auto"/>
        </w:rPr>
      </w:pPr>
      <w:r>
        <w:rPr>
          <w:rFonts w:ascii="Arial" w:cs="Arial" w:eastAsia="Arial" w:hAnsi="Arial"/>
          <w:sz w:val="19"/>
          <w:szCs w:val="19"/>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79" w:name="page80"/>
    <w:bookmarkEnd w:id="79"/>
    <w:p>
      <w:pPr>
        <w:jc w:val="both"/>
        <w:ind w:firstLine="568"/>
        <w:spacing w:after="0" w:line="267" w:lineRule="auto"/>
        <w:rPr>
          <w:sz w:val="20"/>
          <w:szCs w:val="20"/>
          <w:color w:val="auto"/>
        </w:rPr>
      </w:pPr>
      <w:r>
        <w:rPr>
          <w:rFonts w:ascii="Arial" w:cs="Arial" w:eastAsia="Arial" w:hAnsi="Arial"/>
          <w:sz w:val="19"/>
          <w:szCs w:val="19"/>
          <w:color w:val="auto"/>
        </w:rPr>
        <w:t>Notwithstanding the approval of many products by the FDA pursuant to Section 505(b)(2), over the last few years, some pharmaceutical companies and others have objected to the FDA’s interpretation of Section 505(b)(2). If the FDA changes its interpretation of Section 505(b)(2), or if the FDA’s interpretation is successfully challenged in court, this could delay or even prevent the FDA from approving any Section 505(b)(2) NDA that we submit.</w:t>
      </w:r>
    </w:p>
    <w:p>
      <w:pPr>
        <w:spacing w:after="0" w:line="210"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Non-Patent Exclusivity</w:t>
      </w:r>
    </w:p>
    <w:p>
      <w:pPr>
        <w:spacing w:after="0" w:line="255"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In addition to patent exclusivity, NDA holders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w:t>
      </w:r>
    </w:p>
    <w:p>
      <w:pPr>
        <w:spacing w:after="0" w:line="202"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 or 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19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Review and Approval of Drug Products Outside the United States</w:t>
      </w:r>
    </w:p>
    <w:p>
      <w:pPr>
        <w:spacing w:after="0" w:line="25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214" w:lineRule="exact"/>
        <w:rPr>
          <w:sz w:val="20"/>
          <w:szCs w:val="20"/>
          <w:color w:val="auto"/>
        </w:rPr>
      </w:pPr>
    </w:p>
    <w:p>
      <w:pPr>
        <w:jc w:val="both"/>
        <w:ind w:firstLine="568"/>
        <w:spacing w:after="0" w:line="299" w:lineRule="auto"/>
        <w:rPr>
          <w:sz w:val="20"/>
          <w:szCs w:val="20"/>
          <w:color w:val="auto"/>
        </w:rPr>
      </w:pPr>
      <w:r>
        <w:rPr>
          <w:rFonts w:ascii="Arial" w:cs="Arial" w:eastAsia="Arial" w:hAnsi="Arial"/>
          <w:sz w:val="17"/>
          <w:szCs w:val="17"/>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188"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Pharmaceutical Coverage, Pricing and Reimbursement</w:t>
      </w:r>
    </w:p>
    <w:p>
      <w:pPr>
        <w:spacing w:after="0" w:line="255"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80" w:name="page81"/>
    <w:bookmarkEnd w:id="80"/>
    <w:p>
      <w:pPr>
        <w:jc w:val="both"/>
        <w:ind w:firstLine="568"/>
        <w:spacing w:after="0" w:line="282" w:lineRule="auto"/>
        <w:rPr>
          <w:sz w:val="20"/>
          <w:szCs w:val="20"/>
          <w:color w:val="auto"/>
        </w:rPr>
      </w:pPr>
      <w:r>
        <w:rPr>
          <w:rFonts w:ascii="Arial" w:cs="Arial" w:eastAsia="Arial" w:hAnsi="Arial"/>
          <w:sz w:val="18"/>
          <w:szCs w:val="18"/>
          <w:color w:val="auto"/>
        </w:rPr>
        <w:t>Third-party payors are increasingly challenging the price and examining the medical necessity and cost-effectiveness of medical products and services, in addition to their safety and efficacy. We may need to conduct expensive pharmacoeconomic studies in order to demonstrate the medical necessity and cost-effectiveness of Epsolay® and Twyneo®, in addition to the costs required to obtain the FDA approvals. For example, Epsolay® and Twyneo®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96"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191" w:lineRule="exact"/>
        <w:rPr>
          <w:sz w:val="20"/>
          <w:szCs w:val="20"/>
          <w:color w:val="auto"/>
        </w:rPr>
      </w:pPr>
    </w:p>
    <w:p>
      <w:pPr>
        <w:ind w:left="40"/>
        <w:spacing w:after="0"/>
        <w:rPr>
          <w:sz w:val="20"/>
          <w:szCs w:val="20"/>
          <w:color w:val="auto"/>
        </w:rPr>
      </w:pPr>
      <w:r>
        <w:rPr>
          <w:rFonts w:ascii="Arial" w:cs="Arial" w:eastAsia="Arial" w:hAnsi="Arial"/>
          <w:sz w:val="19"/>
          <w:szCs w:val="19"/>
          <w:b w:val="1"/>
          <w:bCs w:val="1"/>
          <w:i w:val="1"/>
          <w:iCs w:val="1"/>
          <w:color w:val="auto"/>
        </w:rPr>
        <w:t>Healthcare Reform</w:t>
      </w:r>
    </w:p>
    <w:p>
      <w:pPr>
        <w:spacing w:after="0" w:line="25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In March 2010, the President of the United States signed the Affordable Care Act, one of the most significant healthcare reform measures in decades. The Affordable Care Act substantially changed the way healthcare is financed by both governmental and private insurers, and significantly impacted the pharmaceutical industry. The Affordable Care Act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 Additionally, the Affordable Care Act increased the minimum level of rebates payable by manufacturers of brand-name drugs from 15.1% to 23.1%, and imposed a non-deductible annual fee on pharmaceutical manufacturers or importers who sell “branded prescription drugs” to specified federal government programs.</w:t>
      </w:r>
    </w:p>
    <w:p>
      <w:pPr>
        <w:spacing w:after="0" w:line="204"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Since its enactment, there have been judicial, executive and Congressional challenges to certain aspects of the Affordable Care Act. By way of example, the Tax Act was enacted, which, among other things, removes penalties for not complying with the Affordable Care Act’s individual mandate to carry health insurance. On December 14, 2018, a U.S. District Court Judge in the Northern District of Texas, ruled that the individual mandate is a critical and inseverable feature of the Affordable Care Act, and therefore, because it was repealed as part of the Tax Act, the remaining provisions of the Affordable Care Act are invalid as well. On December 18, 2019, the U.S. Court of Appeals for the 5th Circuit upheld the District Court's decision that the individual mandate was unconstitutional but remanded the case back to the District Court to determine whether the remaining provisions of the Affordable Care Act are invalid as well. The U.S. Supreme Court is currently reviewing the case, although it is unclear how the Supreme Court the rule. It is also unclear how other efforts, if any, to challenge, repeal or replace the Affordable Care Act will impact the law or our business.</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81" w:name="page82"/>
    <w:bookmarkEnd w:id="81"/>
    <w:p>
      <w:pPr>
        <w:jc w:val="both"/>
        <w:ind w:firstLine="568"/>
        <w:spacing w:after="0" w:line="301" w:lineRule="auto"/>
        <w:rPr>
          <w:sz w:val="20"/>
          <w:szCs w:val="20"/>
          <w:color w:val="auto"/>
        </w:rPr>
      </w:pPr>
      <w:r>
        <w:rPr>
          <w:rFonts w:ascii="Arial" w:cs="Arial" w:eastAsia="Arial" w:hAnsi="Arial"/>
          <w:sz w:val="17"/>
          <w:szCs w:val="17"/>
          <w:color w:val="auto"/>
        </w:rPr>
        <w:t>In addition, other legislative changes have been proposed and adopted since the Affordable Care Act was enacted. For example, the Budget Control Act of 2011 resulted in aggregate reductions to Medicare payments to providers of 2% per fiscal year, which went into effect on April 1, 2013 and, due to subsequent legislative amendments to the statute, will stay in effect through 2030, with the exception of a temporary suspension from May 1, 2020 through March 31, 2021,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w:t>
      </w:r>
    </w:p>
    <w:p>
      <w:pPr>
        <w:spacing w:after="0" w:line="18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Recently there has also been heightened governmental scrutiny over the manner in which manufacturers set prices for their marketed products, which has resulted in several Congressional inquiries and proposed and enacted legislation designed to, among other things, bring more transparency to product pricing, review the relationship between pricing and manufacturer patient programs and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our product candidates, if approved.</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Healthcare Laws and Regulations</w:t>
      </w:r>
    </w:p>
    <w:p>
      <w:pPr>
        <w:spacing w:after="0" w:line="25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Although we do not currently have any product candidates on the market, other than the first generic version of Zovirax® (acyclovir) cream, 5% for which Perrigo, our collaborator, received final FDA approval in February 2019, 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privacy and security, price reporting and physician and other healthcare provider payment transparency laws. Some of our pre-commercial activities are subject to some of these laws.</w:t>
      </w:r>
    </w:p>
    <w:p>
      <w:pPr>
        <w:spacing w:after="0" w:line="214" w:lineRule="exact"/>
        <w:rPr>
          <w:sz w:val="20"/>
          <w:szCs w:val="20"/>
          <w:color w:val="auto"/>
        </w:rPr>
      </w:pPr>
    </w:p>
    <w:p>
      <w:pPr>
        <w:jc w:val="both"/>
        <w:ind w:firstLine="568"/>
        <w:spacing w:after="0" w:line="277" w:lineRule="auto"/>
        <w:rPr>
          <w:sz w:val="20"/>
          <w:szCs w:val="20"/>
          <w:color w:val="auto"/>
        </w:rPr>
      </w:pPr>
      <w:r>
        <w:rPr>
          <w:rFonts w:ascii="Arial" w:cs="Arial" w:eastAsia="Arial" w:hAnsi="Arial"/>
          <w:sz w:val="18"/>
          <w:szCs w:val="18"/>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w:t>
      </w:r>
    </w:p>
    <w:p>
      <w:pPr>
        <w:spacing w:after="0" w:line="203"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knowingly making, using or causing to be made or used, a false record or statement material to a false or fraudulent claim, or from knowingly making a false statement to avoid, decrease or conceal an obligation to pay money to a federal program.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Moreover, a claim including items or services resulting from a violation of the federal Anti-Kickback Statute constitutes a false or fraudulent claim for purposes of the federal civil False Claims Act.</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82" w:name="page83"/>
    <w:bookmarkEnd w:id="82"/>
    <w:p>
      <w:pPr>
        <w:jc w:val="both"/>
        <w:ind w:firstLine="568"/>
        <w:spacing w:after="0" w:line="282" w:lineRule="auto"/>
        <w:rPr>
          <w:sz w:val="20"/>
          <w:szCs w:val="20"/>
          <w:color w:val="auto"/>
        </w:rPr>
      </w:pPr>
      <w:r>
        <w:rPr>
          <w:rFonts w:ascii="Arial" w:cs="Arial" w:eastAsia="Arial" w:hAnsi="Arial"/>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196"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206"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The Affordable Care Act imposed, among other things, new annual reporting requirements for covered manufacturers for certain payments and other transfers of value provided to physicians (defined to include doctors, dentists, optometrists, podiatrists and chiropractors), certain other health care providers beginning in 2022, and teaching hospitals, as well as certain ownership and investment interests held by physicians as defined by statute and their immediate family members.</w:t>
      </w:r>
    </w:p>
    <w:p>
      <w:pPr>
        <w:spacing w:after="0" w:line="210"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195"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or similar programs in other countries or jurisdictions, integrity oversight and reporting obligations, and imprisonment, any of which could adversely affect our ability to operate our business and our financial results.</w:t>
      </w:r>
    </w:p>
    <w:p>
      <w:pPr>
        <w:spacing w:after="0" w:line="19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Data Privacy and Security</w:t>
      </w:r>
    </w:p>
    <w:p>
      <w:pPr>
        <w:spacing w:after="0" w:line="255"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The collection and use of personal health data in the European Union, previously governed by the provisions of the Data Protection Directive, is now governed by the GDPR, which became effective on May 25, 2018. While the Data Protection Directive did not apply to organizations based outside the EU, the GDPR has expanded its reach to include any business, regardless of its location, that provides goods or services to residents in the EU. This expansion would incorporate any clinical trial activities in EU members states. The GDPR imposes strict requirements on controllers and processors of personal data, including special protections for “sensitive information” which includes health and genetic information of data subjects residing in the EU. GDPR grants individuals the opportunity to object to the processing of their personal information, allows them to request deletion of personal information in certain circumstances, and provides the individual with an express right to seek legal remedies in the event the individual believes his or her rights have been violated. Further, the GDPR imposes strict rules on the transfer of personal data out of the European Union to the United States or other regions that have not been deemed to offer “adequate” privacy protections. Failure to comply with the requirements of the GDPR and the related national data protection laws of the European Union Member States, which may deviate slightly from the GDPR, may result in fines of up to 4% of global revenues, or € 20,000,000, whichever is greater. Additionally, following the United Kingdom’s withdrawal from the European Union, we will have to comply with the GDPR and the United Kingdom GDPR, each regime having the ability to fine up to the greater of €20 million/ £17.5 million or 4% of global turnover. The relationship between the United Kingdom and the European Union in relation to certain aspects of data protection law remains unclear, for example around how data can lawfully be transferred between each jurisdiction, which exposes us to further compliance risk.</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83" w:name="page84"/>
    <w:bookmarkEnd w:id="83"/>
    <w:p>
      <w:pPr>
        <w:jc w:val="both"/>
        <w:ind w:firstLine="568"/>
        <w:spacing w:after="0" w:line="294" w:lineRule="auto"/>
        <w:rPr>
          <w:sz w:val="20"/>
          <w:szCs w:val="20"/>
          <w:color w:val="auto"/>
        </w:rPr>
      </w:pPr>
      <w:r>
        <w:rPr>
          <w:rFonts w:ascii="Arial" w:cs="Arial" w:eastAsia="Arial" w:hAnsi="Arial"/>
          <w:sz w:val="17"/>
          <w:szCs w:val="17"/>
          <w:color w:val="auto"/>
        </w:rPr>
        <w:t>HIPAA, as amended by HITECH, and their implementing regulations, including the final omnibus rule published on January 25, 2013, mandates, among other things, the adoption of uniform standards for the electronic exchange of information in common healthcare transactions, as well as standards relating to the privacy and security of individually identifiable health information, which require the adoption of administrative, physical and technical safeguards to protect such information. Among other things, HITECH makes HIPAA’s security standards directly applicable to business associates, defined as independent contractors or agents of covered entities that create, receive or obtain protected health information in connection with providing a service for or on behalf of a covered entity. HITECH also increased the civil and criminal penalties that may be imposed against covered entities and business associates, and gave state attorneys general new authority to file civil actions for damages or injunctions in federal courts to enforce the federal HIPAA laws and seek attorney’s fees and costs associated with pursuing federal civil actions. In addition, certain state laws govern the privacy and security of health information in certain circumstances, some of which are more stringent than HIPAA and many of which differ from each other in significant ways and may not have the same effect, thus complicating compliance efforts. Failure to comply with these laws, where applicable, can result in the imposition of significant civil and/or criminal penalties. By way of example, California enacted the California Consumer Privacy Act, or CCPA, on June 28, 2018, which went into effect on January 1, 2020. The CCPA gives California residents expanded rights to access and delete their personal information, opt out of certain personal information sharing, and receive detailed information about how their personal information is used. The CCPA provides for civil penalties for violations, as well as a private right of action for data breaches that is expected to increase data breach litigation. The CCPA may increase our compliance costs and potential liability.</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Innovation Authority</w:t>
      </w:r>
    </w:p>
    <w:p>
      <w:pPr>
        <w:spacing w:after="0" w:line="255"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We have received royalty-bearing grants from the government of Israel through the IIA, for the financing of a portion of our research and development expenditures in Israel.</w:t>
      </w:r>
    </w:p>
    <w:p>
      <w:pPr>
        <w:spacing w:after="0" w:line="19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Under the Innovation Law and the IIA’s rules and guidelines, recipients of grants, or Recipient Company(ies), are subject to certain obligations including, the following:</w:t>
      </w:r>
    </w:p>
    <w:p>
      <w:pPr>
        <w:spacing w:after="0" w:line="187" w:lineRule="exact"/>
        <w:rPr>
          <w:sz w:val="20"/>
          <w:szCs w:val="20"/>
          <w:color w:val="auto"/>
        </w:rPr>
      </w:pPr>
    </w:p>
    <w:p>
      <w:pPr>
        <w:jc w:val="both"/>
        <w:ind w:left="740" w:hanging="426"/>
        <w:spacing w:after="0" w:line="273" w:lineRule="auto"/>
        <w:tabs>
          <w:tab w:leader="none" w:pos="740" w:val="left"/>
        </w:tabs>
        <w:numPr>
          <w:ilvl w:val="0"/>
          <w:numId w:val="58"/>
        </w:numPr>
        <w:rPr>
          <w:rFonts w:ascii="Arial" w:cs="Arial" w:eastAsia="Arial" w:hAnsi="Arial"/>
          <w:sz w:val="15"/>
          <w:szCs w:val="15"/>
          <w:color w:val="auto"/>
        </w:rPr>
      </w:pPr>
      <w:r>
        <w:rPr>
          <w:rFonts w:ascii="Arial" w:cs="Arial" w:eastAsia="Arial" w:hAnsi="Arial"/>
          <w:sz w:val="15"/>
          <w:szCs w:val="15"/>
          <w:color w:val="auto"/>
        </w:rPr>
        <w:t>In general, the Recipient Company is obligated to pay the IIA royalties from the revenues generated from the sale of products (and related services) developed (in all or in part) as a result of, a research and development program funded by the IIA at rates which are determined under the IIA’s rules and guidelines (currently a yearly rate of 1.3% to 5% on sales of products or services developed under the approved programs, depending on the type of the Recipient Company — i.e., whether it is a “Small Company,” a “Large Company” or a “Traditional Industrial Company” as such terms are defined in the IIA’s rules and guidelines), up to the aggregate amount of the total grants received by the IIA, plus annual interest (as determined in the IIA’s rules and guidelines);</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84" w:name="page85"/>
    <w:bookmarkEnd w:id="84"/>
    <w:p>
      <w:pPr>
        <w:jc w:val="both"/>
        <w:ind w:left="740" w:right="20" w:hanging="426"/>
        <w:spacing w:after="0" w:line="269" w:lineRule="auto"/>
        <w:tabs>
          <w:tab w:leader="none" w:pos="740" w:val="left"/>
        </w:tabs>
        <w:numPr>
          <w:ilvl w:val="0"/>
          <w:numId w:val="59"/>
        </w:numPr>
        <w:rPr>
          <w:rFonts w:ascii="Arial" w:cs="Arial" w:eastAsia="Arial" w:hAnsi="Arial"/>
          <w:sz w:val="15"/>
          <w:szCs w:val="15"/>
          <w:color w:val="auto"/>
        </w:rPr>
      </w:pPr>
      <w:r>
        <w:rPr>
          <w:rFonts w:ascii="Arial" w:cs="Arial" w:eastAsia="Arial" w:hAnsi="Arial"/>
          <w:sz w:val="15"/>
          <w:szCs w:val="15"/>
          <w:color w:val="auto"/>
        </w:rPr>
        <w:t>Products developed as a result of the IIA funded R&amp;D must, as a general matter, be manufactured in Israel. The Recipient Company is prohibited from manufacturing products developed using these IIA grants outside of the State of Israel without receiving prior approval from the IIA (except for the transfer of less than 10% of the manufacturing capacity in the aggregate which requires only a notice). If the Recipient Company receives approval to manufacture products developed with government grants outside of Israel, it will be required to pay increased royalties to the IIA, up to 300% of the grant amount plus interest, depending on the manufacturing volume that is performed outside of Israel. The Recipient Company may also be subject to an accelerated royalty repayment rate. A Recipient Company also has the option of declaring in its IIA grant application its intention to exercise a portion of the manufacturing capacity abroad, thus avoiding the need to obtain additional approval following the receipt of the grant; and</w:t>
      </w:r>
    </w:p>
    <w:p>
      <w:pPr>
        <w:spacing w:after="0" w:line="207" w:lineRule="exact"/>
        <w:rPr>
          <w:rFonts w:ascii="Arial" w:cs="Arial" w:eastAsia="Arial" w:hAnsi="Arial"/>
          <w:sz w:val="15"/>
          <w:szCs w:val="15"/>
          <w:color w:val="auto"/>
        </w:rPr>
      </w:pPr>
    </w:p>
    <w:p>
      <w:pPr>
        <w:jc w:val="both"/>
        <w:ind w:left="740" w:right="20" w:hanging="426"/>
        <w:spacing w:after="0" w:line="282" w:lineRule="auto"/>
        <w:tabs>
          <w:tab w:leader="none" w:pos="740" w:val="left"/>
        </w:tabs>
        <w:numPr>
          <w:ilvl w:val="0"/>
          <w:numId w:val="59"/>
        </w:numPr>
        <w:rPr>
          <w:rFonts w:ascii="Arial" w:cs="Arial" w:eastAsia="Arial" w:hAnsi="Arial"/>
          <w:sz w:val="15"/>
          <w:szCs w:val="15"/>
          <w:color w:val="auto"/>
        </w:rPr>
      </w:pPr>
      <w:r>
        <w:rPr>
          <w:rFonts w:ascii="Arial" w:cs="Arial" w:eastAsia="Arial" w:hAnsi="Arial"/>
          <w:sz w:val="15"/>
          <w:szCs w:val="15"/>
          <w:color w:val="auto"/>
        </w:rPr>
        <w:t>Under the IIA’s rules and guidelines, a Recipient Company is prohibited from transferring the IIA-financed know-how and related intellectual property rights outside of Israel except under limited circumstances, and only with the approval of the Research Committee and subject to certain payments to the IIA calculated according to formulas provided under the IIA’s rules and guidelines (which are capped to amounts specified under such rules and guidelines).</w:t>
      </w:r>
    </w:p>
    <w:p>
      <w:pPr>
        <w:spacing w:after="0" w:line="202" w:lineRule="exact"/>
        <w:rPr>
          <w:sz w:val="20"/>
          <w:szCs w:val="20"/>
          <w:color w:val="auto"/>
        </w:rPr>
      </w:pPr>
    </w:p>
    <w:p>
      <w:pPr>
        <w:jc w:val="both"/>
        <w:ind w:firstLine="568"/>
        <w:spacing w:after="0" w:line="293" w:lineRule="auto"/>
        <w:rPr>
          <w:sz w:val="20"/>
          <w:szCs w:val="20"/>
          <w:color w:val="auto"/>
        </w:rPr>
      </w:pPr>
      <w:r>
        <w:rPr>
          <w:rFonts w:ascii="Arial" w:cs="Arial" w:eastAsia="Arial" w:hAnsi="Arial"/>
          <w:sz w:val="18"/>
          <w:szCs w:val="18"/>
          <w:color w:val="auto"/>
        </w:rPr>
        <w:t>We have received grants from the IIA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w:t>
      </w:r>
    </w:p>
    <w:p>
      <w:pPr>
        <w:spacing w:after="0" w:line="188" w:lineRule="exact"/>
        <w:rPr>
          <w:sz w:val="20"/>
          <w:szCs w:val="20"/>
          <w:color w:val="auto"/>
        </w:rPr>
      </w:pPr>
    </w:p>
    <w:p>
      <w:pPr>
        <w:jc w:val="both"/>
        <w:ind w:right="20" w:firstLine="568"/>
        <w:spacing w:after="0" w:line="267" w:lineRule="auto"/>
        <w:rPr>
          <w:sz w:val="20"/>
          <w:szCs w:val="20"/>
          <w:color w:val="auto"/>
        </w:rPr>
      </w:pPr>
      <w:r>
        <w:rPr>
          <w:rFonts w:ascii="Arial" w:cs="Arial" w:eastAsia="Arial" w:hAnsi="Arial"/>
          <w:sz w:val="19"/>
          <w:szCs w:val="19"/>
          <w:color w:val="auto"/>
        </w:rPr>
        <w:t>Even if our IIA funded know-how is transferred to another Israeli entity, the transfer would require the IIA’s approval but will not be subject to the payment of a redemption fee (we note that there will be an obligation to pay royalties to the IIA from the income of such sale transaction as part of the royalty payment obligation). In such case, the acquiring company would have to assume all of our responsibilities towards the IIA as a condition to the IIA’s approval.</w:t>
      </w:r>
    </w:p>
    <w:p>
      <w:pPr>
        <w:spacing w:after="0" w:line="210"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The government of Israel does not own intellectual property rights in technology developed with IIA funding and there is no restriction on the export of products manufactured using technology developed with IIA funding. However, the know-how is subject to transfer of know-how and manufacturing rights restrictions as described above. The IIA’s approval is not required for the export of any products resulting from the IIA research or development grants. In addition, the IIA has recently published new rules and guidelines for the granting of licenses to use know-how developed as a result of research financed by the IIA to foreign entities. According to such rules, we will be required to receive the IIA’s prior approval for the grant of such use rights, and we will be subject to the IIA in accordance with the formula stipulated under these rules and guidelines.</w:t>
      </w:r>
    </w:p>
    <w:p>
      <w:pPr>
        <w:spacing w:after="0" w:line="216"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Pursuant to Amendment No. 7 of the Innovation Law, the IIA is authorized to change the restrictions imposed on the recipients of grants that were stipulated under the Innovation Law prior to the effectiveness of Amendment No. 7 with a new set of arrangements in connection with ownership obligations of know-how (including with respect to restrictions on transfer of know-how and manufacturing activities outside of Israel), as well as royalties obligations associated with approved programs. Amendment No. 7 also includes provisions with respect to sanctions imposed for violations of the Innovation Law. The IIA published rules for the most part adopted the principal provisions and restrictions specified in the Innovation Law prior to the effectiveness of Amendment No. 7.</w:t>
      </w:r>
    </w:p>
    <w:p>
      <w:pPr>
        <w:spacing w:after="0" w:line="214"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We may not receive the required approvals for any actual proposed transfer and, if received, we may be required to pay the IIA a portion of the consideration that we receive upon any sale of the IIA funded know-how to a non-Israeli entity. The scope of the support received, the royalties that we have already paid to the IIA, the amount of time that has elapsed between the date on which the know-how was transferred and the date on which the IIA grants were received and the sale price and the form of transaction will be taken into account in calculating the amount of the payment to the IIA.</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85" w:name="page86"/>
    <w:bookmarkEnd w:id="85"/>
    <w:p>
      <w:pPr>
        <w:ind w:left="5"/>
        <w:spacing w:after="0"/>
        <w:rPr>
          <w:sz w:val="20"/>
          <w:szCs w:val="20"/>
          <w:color w:val="auto"/>
        </w:rPr>
      </w:pPr>
      <w:r>
        <w:rPr>
          <w:rFonts w:ascii="Arial" w:cs="Arial" w:eastAsia="Arial" w:hAnsi="Arial"/>
          <w:sz w:val="19"/>
          <w:szCs w:val="19"/>
          <w:b w:val="1"/>
          <w:bCs w:val="1"/>
          <w:color w:val="auto"/>
        </w:rPr>
        <w:t>Environmental, Health and Safety Matters</w:t>
      </w:r>
    </w:p>
    <w:p>
      <w:pPr>
        <w:spacing w:after="0" w:line="261" w:lineRule="exact"/>
        <w:rPr>
          <w:sz w:val="20"/>
          <w:szCs w:val="20"/>
          <w:color w:val="auto"/>
        </w:rPr>
      </w:pPr>
    </w:p>
    <w:p>
      <w:pPr>
        <w:jc w:val="both"/>
        <w:ind w:left="5" w:firstLine="568"/>
        <w:spacing w:after="0" w:line="298" w:lineRule="auto"/>
        <w:rPr>
          <w:sz w:val="20"/>
          <w:szCs w:val="20"/>
          <w:color w:val="auto"/>
        </w:rPr>
      </w:pPr>
      <w:r>
        <w:rPr>
          <w:rFonts w:ascii="Arial" w:cs="Arial" w:eastAsia="Arial" w:hAnsi="Arial"/>
          <w:sz w:val="17"/>
          <w:szCs w:val="17"/>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Our business permit is currently in effect until December 31, 2026.</w:t>
      </w:r>
    </w:p>
    <w:p>
      <w:pPr>
        <w:spacing w:after="0" w:line="187" w:lineRule="exact"/>
        <w:rPr>
          <w:sz w:val="20"/>
          <w:szCs w:val="20"/>
          <w:color w:val="auto"/>
        </w:rPr>
      </w:pPr>
    </w:p>
    <w:p>
      <w:pPr>
        <w:jc w:val="both"/>
        <w:ind w:left="5" w:firstLine="568"/>
        <w:spacing w:after="0" w:line="299" w:lineRule="auto"/>
        <w:rPr>
          <w:sz w:val="20"/>
          <w:szCs w:val="20"/>
          <w:color w:val="auto"/>
        </w:rPr>
      </w:pPr>
      <w:r>
        <w:rPr>
          <w:rFonts w:ascii="Arial" w:cs="Arial" w:eastAsia="Arial" w:hAnsi="Arial"/>
          <w:sz w:val="17"/>
          <w:szCs w:val="17"/>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188" w:lineRule="exact"/>
        <w:rPr>
          <w:sz w:val="20"/>
          <w:szCs w:val="20"/>
          <w:color w:val="auto"/>
        </w:rPr>
      </w:pPr>
    </w:p>
    <w:p>
      <w:pPr>
        <w:jc w:val="both"/>
        <w:ind w:left="5" w:right="20" w:firstLine="568"/>
        <w:spacing w:after="0" w:line="345" w:lineRule="auto"/>
        <w:rPr>
          <w:sz w:val="20"/>
          <w:szCs w:val="20"/>
          <w:color w:val="auto"/>
        </w:rPr>
      </w:pPr>
      <w:r>
        <w:rPr>
          <w:rFonts w:ascii="Arial" w:cs="Arial" w:eastAsia="Arial" w:hAnsi="Arial"/>
          <w:sz w:val="17"/>
          <w:szCs w:val="17"/>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148" w:lineRule="exact"/>
        <w:rPr>
          <w:sz w:val="20"/>
          <w:szCs w:val="20"/>
          <w:color w:val="auto"/>
        </w:rPr>
      </w:pPr>
    </w:p>
    <w:p>
      <w:pPr>
        <w:jc w:val="both"/>
        <w:ind w:left="5" w:right="20" w:firstLine="568"/>
        <w:spacing w:after="0" w:line="267" w:lineRule="auto"/>
        <w:rPr>
          <w:sz w:val="20"/>
          <w:szCs w:val="20"/>
          <w:color w:val="auto"/>
        </w:rPr>
      </w:pPr>
      <w:r>
        <w:rPr>
          <w:rFonts w:ascii="Arial" w:cs="Arial" w:eastAsia="Arial" w:hAnsi="Arial"/>
          <w:sz w:val="19"/>
          <w:szCs w:val="19"/>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204"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Properties</w:t>
      </w:r>
    </w:p>
    <w:p>
      <w:pPr>
        <w:spacing w:after="0" w:line="261" w:lineRule="exact"/>
        <w:rPr>
          <w:sz w:val="20"/>
          <w:szCs w:val="20"/>
          <w:color w:val="auto"/>
        </w:rPr>
      </w:pPr>
    </w:p>
    <w:p>
      <w:pPr>
        <w:jc w:val="both"/>
        <w:ind w:left="5" w:right="20" w:firstLine="568"/>
        <w:spacing w:after="0" w:line="313" w:lineRule="auto"/>
        <w:rPr>
          <w:sz w:val="20"/>
          <w:szCs w:val="20"/>
          <w:color w:val="auto"/>
        </w:rPr>
      </w:pPr>
      <w:r>
        <w:rPr>
          <w:rFonts w:ascii="Arial" w:cs="Arial" w:eastAsia="Arial" w:hAnsi="Arial"/>
          <w:sz w:val="18"/>
          <w:szCs w:val="18"/>
          <w:color w:val="auto"/>
        </w:rPr>
        <w:t>Our principal executive offices are located in a leased facility in Weizmann Science Park, Ness Ziona 7403650, Israel. The facility is 2,040 square meters, and houses our offices, warehouse, laboratories and production area. Our lease will expire on December 31, 2023.</w:t>
      </w:r>
    </w:p>
    <w:p>
      <w:pPr>
        <w:spacing w:after="0" w:line="170"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We have a U.S. headquarters in Whippany, New Jersey. The facility is 3,361 square feet and houses our U.S. marketing and sales team. Our lease will expire on October 1, 2023.</w:t>
      </w:r>
    </w:p>
    <w:p>
      <w:pPr>
        <w:spacing w:after="0" w:line="187"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Legal Proceedings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We are not subject to any material legal proceedings.</w:t>
      </w:r>
    </w:p>
    <w:p>
      <w:pPr>
        <w:spacing w:after="0" w:line="249" w:lineRule="exact"/>
        <w:rPr>
          <w:sz w:val="20"/>
          <w:szCs w:val="20"/>
          <w:color w:val="auto"/>
        </w:rPr>
      </w:pPr>
    </w:p>
    <w:p>
      <w:pPr>
        <w:ind w:left="705" w:hanging="705"/>
        <w:spacing w:after="0"/>
        <w:tabs>
          <w:tab w:leader="none" w:pos="705" w:val="left"/>
        </w:tabs>
        <w:numPr>
          <w:ilvl w:val="0"/>
          <w:numId w:val="60"/>
        </w:numPr>
        <w:rPr>
          <w:rFonts w:ascii="Arial" w:cs="Arial" w:eastAsia="Arial" w:hAnsi="Arial"/>
          <w:sz w:val="19"/>
          <w:szCs w:val="19"/>
          <w:b w:val="1"/>
          <w:bCs w:val="1"/>
          <w:color w:val="auto"/>
        </w:rPr>
      </w:pPr>
      <w:r>
        <w:rPr>
          <w:rFonts w:ascii="Arial" w:cs="Arial" w:eastAsia="Arial" w:hAnsi="Arial"/>
          <w:sz w:val="19"/>
          <w:szCs w:val="19"/>
          <w:b w:val="1"/>
          <w:bCs w:val="1"/>
          <w:color w:val="auto"/>
        </w:rPr>
        <w:t>Organizational Structure</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05" w:hanging="705"/>
        <w:spacing w:after="0"/>
        <w:tabs>
          <w:tab w:leader="none" w:pos="705" w:val="left"/>
        </w:tabs>
        <w:numPr>
          <w:ilvl w:val="0"/>
          <w:numId w:val="61"/>
        </w:numPr>
        <w:rPr>
          <w:rFonts w:ascii="Arial" w:cs="Arial" w:eastAsia="Arial" w:hAnsi="Arial"/>
          <w:sz w:val="19"/>
          <w:szCs w:val="19"/>
          <w:b w:val="1"/>
          <w:bCs w:val="1"/>
          <w:color w:val="auto"/>
        </w:rPr>
      </w:pPr>
      <w:r>
        <w:rPr>
          <w:rFonts w:ascii="Arial" w:cs="Arial" w:eastAsia="Arial" w:hAnsi="Arial"/>
          <w:sz w:val="19"/>
          <w:szCs w:val="19"/>
          <w:b w:val="1"/>
          <w:bCs w:val="1"/>
          <w:color w:val="auto"/>
        </w:rPr>
        <w:t>Property, Plant and Equipment</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See “Item 4. Information on the Company—B. Business Overview—Properties”.</w:t>
      </w:r>
    </w:p>
    <w:p>
      <w:pPr>
        <w:spacing w:after="0" w:line="39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86" w:name="page87"/>
    <w:bookmarkEnd w:id="86"/>
    <w:p>
      <w:pPr>
        <w:ind w:left="2"/>
        <w:spacing w:after="0"/>
        <w:tabs>
          <w:tab w:leader="none" w:pos="1242" w:val="left"/>
        </w:tabs>
        <w:rPr>
          <w:sz w:val="20"/>
          <w:szCs w:val="20"/>
          <w:color w:val="auto"/>
        </w:rPr>
      </w:pPr>
      <w:r>
        <w:rPr>
          <w:rFonts w:ascii="Arial" w:cs="Arial" w:eastAsia="Arial" w:hAnsi="Arial"/>
          <w:sz w:val="19"/>
          <w:szCs w:val="19"/>
          <w:b w:val="1"/>
          <w:bCs w:val="1"/>
          <w:color w:val="auto"/>
        </w:rPr>
        <w:t>ITEM 4A.</w:t>
      </w:r>
      <w:r>
        <w:rPr>
          <w:sz w:val="20"/>
          <w:szCs w:val="20"/>
          <w:color w:val="auto"/>
        </w:rPr>
        <w:tab/>
      </w:r>
      <w:r>
        <w:rPr>
          <w:rFonts w:ascii="Arial" w:cs="Arial" w:eastAsia="Arial" w:hAnsi="Arial"/>
          <w:sz w:val="18"/>
          <w:szCs w:val="18"/>
          <w:b w:val="1"/>
          <w:bCs w:val="1"/>
          <w:color w:val="auto"/>
        </w:rPr>
        <w:t>UNRESOLVED STAFF COMMENTS</w:t>
      </w:r>
    </w:p>
    <w:p>
      <w:pPr>
        <w:spacing w:after="0" w:line="261" w:lineRule="exact"/>
        <w:rPr>
          <w:sz w:val="20"/>
          <w:szCs w:val="20"/>
          <w:color w:val="auto"/>
        </w:rPr>
      </w:pPr>
    </w:p>
    <w:p>
      <w:pPr>
        <w:ind w:left="2"/>
        <w:spacing w:after="0"/>
        <w:rPr>
          <w:sz w:val="20"/>
          <w:szCs w:val="20"/>
          <w:color w:val="auto"/>
        </w:rPr>
      </w:pPr>
      <w:r>
        <w:rPr>
          <w:rFonts w:ascii="Arial" w:cs="Arial" w:eastAsia="Arial" w:hAnsi="Arial"/>
          <w:sz w:val="19"/>
          <w:szCs w:val="19"/>
          <w:color w:val="auto"/>
        </w:rPr>
        <w:t>None.</w:t>
      </w:r>
    </w:p>
    <w:p>
      <w:pPr>
        <w:spacing w:after="0" w:line="249" w:lineRule="exact"/>
        <w:rPr>
          <w:sz w:val="20"/>
          <w:szCs w:val="20"/>
          <w:color w:val="auto"/>
        </w:rPr>
      </w:pPr>
    </w:p>
    <w:p>
      <w:pPr>
        <w:ind w:left="2"/>
        <w:spacing w:after="0"/>
        <w:tabs>
          <w:tab w:leader="none" w:pos="1242" w:val="left"/>
        </w:tabs>
        <w:rPr>
          <w:sz w:val="20"/>
          <w:szCs w:val="20"/>
          <w:color w:val="auto"/>
        </w:rPr>
      </w:pPr>
      <w:r>
        <w:rPr>
          <w:rFonts w:ascii="Arial" w:cs="Arial" w:eastAsia="Arial" w:hAnsi="Arial"/>
          <w:sz w:val="19"/>
          <w:szCs w:val="19"/>
          <w:b w:val="1"/>
          <w:bCs w:val="1"/>
          <w:color w:val="auto"/>
        </w:rPr>
        <w:t>ITEM 5.</w:t>
      </w:r>
      <w:r>
        <w:rPr>
          <w:sz w:val="20"/>
          <w:szCs w:val="20"/>
          <w:color w:val="auto"/>
        </w:rPr>
        <w:tab/>
      </w:r>
      <w:r>
        <w:rPr>
          <w:rFonts w:ascii="Arial" w:cs="Arial" w:eastAsia="Arial" w:hAnsi="Arial"/>
          <w:sz w:val="18"/>
          <w:szCs w:val="18"/>
          <w:b w:val="1"/>
          <w:bCs w:val="1"/>
          <w:color w:val="auto"/>
        </w:rPr>
        <w:t>OPERATING AND FINANCIAL REVIEW AND PROSPECTS</w:t>
      </w:r>
    </w:p>
    <w:p>
      <w:pPr>
        <w:spacing w:after="0" w:line="261" w:lineRule="exact"/>
        <w:rPr>
          <w:sz w:val="20"/>
          <w:szCs w:val="20"/>
          <w:color w:val="auto"/>
        </w:rPr>
      </w:pPr>
    </w:p>
    <w:p>
      <w:pPr>
        <w:jc w:val="both"/>
        <w:ind w:left="2"/>
        <w:spacing w:after="0" w:line="265" w:lineRule="auto"/>
        <w:rPr>
          <w:sz w:val="20"/>
          <w:szCs w:val="20"/>
          <w:color w:val="auto"/>
        </w:rPr>
      </w:pPr>
      <w:r>
        <w:rPr>
          <w:rFonts w:ascii="Arial" w:cs="Arial" w:eastAsia="Arial" w:hAnsi="Arial"/>
          <w:sz w:val="19"/>
          <w:szCs w:val="19"/>
          <w:i w:val="1"/>
          <w:iCs w:val="1"/>
          <w:color w:val="auto"/>
        </w:rPr>
        <w:t>You should read the following discussion of our financial condition and results of operations in conjunction with the consolidated financial statements and the notes thereto included elsewhere in this annual report.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particularly those in “Item 3. Key Information – D. Risk Factors.”</w:t>
      </w:r>
    </w:p>
    <w:p>
      <w:pPr>
        <w:spacing w:after="0" w:line="207" w:lineRule="exact"/>
        <w:rPr>
          <w:sz w:val="20"/>
          <w:szCs w:val="20"/>
          <w:color w:val="auto"/>
        </w:rPr>
      </w:pPr>
    </w:p>
    <w:p>
      <w:pPr>
        <w:ind w:left="2"/>
        <w:spacing w:after="0"/>
        <w:rPr>
          <w:sz w:val="20"/>
          <w:szCs w:val="20"/>
          <w:color w:val="auto"/>
        </w:rPr>
      </w:pPr>
      <w:r>
        <w:rPr>
          <w:rFonts w:ascii="Arial" w:cs="Arial" w:eastAsia="Arial" w:hAnsi="Arial"/>
          <w:sz w:val="19"/>
          <w:szCs w:val="19"/>
          <w:b w:val="1"/>
          <w:bCs w:val="1"/>
          <w:color w:val="auto"/>
        </w:rPr>
        <w:t>Overview</w:t>
      </w:r>
    </w:p>
    <w:p>
      <w:pPr>
        <w:spacing w:after="0" w:line="261" w:lineRule="exact"/>
        <w:rPr>
          <w:sz w:val="20"/>
          <w:szCs w:val="20"/>
          <w:color w:val="auto"/>
        </w:rPr>
      </w:pPr>
    </w:p>
    <w:p>
      <w:pPr>
        <w:jc w:val="both"/>
        <w:ind w:left="2" w:firstLine="568"/>
        <w:spacing w:after="0" w:line="230" w:lineRule="auto"/>
        <w:rPr>
          <w:sz w:val="20"/>
          <w:szCs w:val="20"/>
          <w:color w:val="auto"/>
        </w:rPr>
      </w:pPr>
      <w:r>
        <w:rPr>
          <w:rFonts w:ascii="Arial" w:cs="Arial" w:eastAsia="Arial" w:hAnsi="Arial"/>
          <w:sz w:val="18"/>
          <w:szCs w:val="18"/>
          <w:color w:val="auto"/>
        </w:rPr>
        <w:t>We are a clinical-stage dermatology company focused on identifying, developing and commercializing branded and generic topical drug products for the treatment of skin diseases. Our current product candidate pipeline consists of late-stage and early-stage branded product candidates, some of which leverage our proprietary, silica-based microencapsulation technology platform, and several generic product candidates across multiple indications. Our branded product candidate, Twyneo</w:t>
      </w:r>
      <w:r>
        <w:rPr>
          <w:rFonts w:ascii="Arial" w:cs="Arial" w:eastAsia="Arial" w:hAnsi="Arial"/>
          <w:sz w:val="30"/>
          <w:szCs w:val="30"/>
          <w:color w:val="auto"/>
          <w:vertAlign w:val="superscript"/>
        </w:rPr>
        <w:t>®</w:t>
      </w:r>
      <w:r>
        <w:rPr>
          <w:rFonts w:ascii="Arial" w:cs="Arial" w:eastAsia="Arial" w:hAnsi="Arial"/>
          <w:sz w:val="18"/>
          <w:szCs w:val="18"/>
          <w:color w:val="auto"/>
        </w:rPr>
        <w:t>, is a novel, once-daily, non-antibiotic topical cream that we are developing for the treatment of acne vulgaris, or acne. We completed a 726 subject, double-blind, placebo-controlled, six-arm, multi-center Phase II clinical trial designed to assess the safety and efficacy of Twyneo</w:t>
      </w:r>
      <w:r>
        <w:rPr>
          <w:rFonts w:ascii="Arial" w:cs="Arial" w:eastAsia="Arial" w:hAnsi="Arial"/>
          <w:sz w:val="30"/>
          <w:szCs w:val="30"/>
          <w:color w:val="auto"/>
          <w:vertAlign w:val="superscript"/>
        </w:rPr>
        <w:t>®</w:t>
      </w:r>
      <w:r>
        <w:rPr>
          <w:rFonts w:ascii="Arial" w:cs="Arial" w:eastAsia="Arial" w:hAnsi="Arial"/>
          <w:sz w:val="18"/>
          <w:szCs w:val="18"/>
          <w:color w:val="auto"/>
        </w:rPr>
        <w:t xml:space="preserve"> in subjects with facial acne. In this trial, Twyneo</w:t>
      </w:r>
      <w:r>
        <w:rPr>
          <w:rFonts w:ascii="Arial" w:cs="Arial" w:eastAsia="Arial" w:hAnsi="Arial"/>
          <w:sz w:val="30"/>
          <w:szCs w:val="30"/>
          <w:color w:val="auto"/>
          <w:vertAlign w:val="superscript"/>
        </w:rPr>
        <w:t>®</w:t>
      </w:r>
      <w:r>
        <w:rPr>
          <w:rFonts w:ascii="Arial" w:cs="Arial" w:eastAsia="Arial" w:hAnsi="Arial"/>
          <w:sz w:val="18"/>
          <w:szCs w:val="18"/>
          <w:color w:val="auto"/>
        </w:rPr>
        <w:t xml:space="preserve"> demonstrated statistically significant improvements in all pre-defined co-primary and secondary efficacy endpoints, as compared to vehicle.</w:t>
      </w:r>
    </w:p>
    <w:p>
      <w:pPr>
        <w:spacing w:after="0" w:line="210" w:lineRule="exact"/>
        <w:rPr>
          <w:sz w:val="20"/>
          <w:szCs w:val="20"/>
          <w:color w:val="auto"/>
        </w:rPr>
      </w:pPr>
    </w:p>
    <w:p>
      <w:pPr>
        <w:jc w:val="both"/>
        <w:ind w:left="2" w:firstLine="566"/>
        <w:spacing w:after="0" w:line="210" w:lineRule="auto"/>
        <w:rPr>
          <w:sz w:val="20"/>
          <w:szCs w:val="20"/>
          <w:color w:val="auto"/>
        </w:rPr>
      </w:pPr>
      <w:r>
        <w:rPr>
          <w:rFonts w:ascii="Arial" w:cs="Arial" w:eastAsia="Arial" w:hAnsi="Arial"/>
          <w:sz w:val="17"/>
          <w:szCs w:val="17"/>
          <w:color w:val="auto"/>
        </w:rPr>
        <w:t>On December 30, 2019, we announced top-line results from two pivotal Phase 3 clinical trials evaluating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for the treatment of acne.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w:t>
      </w:r>
    </w:p>
    <w:p>
      <w:pPr>
        <w:spacing w:after="0" w:line="5" w:lineRule="exact"/>
        <w:rPr>
          <w:sz w:val="20"/>
          <w:szCs w:val="20"/>
          <w:color w:val="auto"/>
        </w:rPr>
      </w:pPr>
    </w:p>
    <w:p>
      <w:pPr>
        <w:jc w:val="both"/>
        <w:ind w:left="2" w:hanging="2"/>
        <w:spacing w:after="0" w:line="214" w:lineRule="auto"/>
        <w:tabs>
          <w:tab w:leader="none" w:pos="279" w:val="left"/>
        </w:tabs>
        <w:numPr>
          <w:ilvl w:val="0"/>
          <w:numId w:val="62"/>
        </w:numPr>
        <w:rPr>
          <w:rFonts w:ascii="Arial" w:cs="Arial" w:eastAsia="Arial" w:hAnsi="Arial"/>
          <w:sz w:val="19"/>
          <w:szCs w:val="19"/>
          <w:color w:val="auto"/>
        </w:rPr>
      </w:pPr>
      <w:r>
        <w:rPr>
          <w:rFonts w:ascii="Arial" w:cs="Arial" w:eastAsia="Arial" w:hAnsi="Arial"/>
          <w:sz w:val="19"/>
          <w:szCs w:val="19"/>
          <w:color w:val="auto"/>
        </w:rPr>
        <w:t>an absolute change from baseline in inflammatory lesion count at Week 12, and (3) and an absolute change from baseline in non-inflammatory lesion count at Week 12. In addition,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was found to be well-tolerated. Our NDA for Twyneo</w:t>
      </w:r>
      <w:r>
        <w:rPr>
          <w:rFonts w:ascii="Arial" w:cs="Arial" w:eastAsia="Arial" w:hAnsi="Arial"/>
          <w:sz w:val="31"/>
          <w:szCs w:val="31"/>
          <w:color w:val="auto"/>
          <w:vertAlign w:val="superscript"/>
        </w:rPr>
        <w:t>®</w:t>
      </w:r>
      <w:r>
        <w:rPr>
          <w:rFonts w:ascii="Arial" w:cs="Arial" w:eastAsia="Arial" w:hAnsi="Arial"/>
          <w:sz w:val="19"/>
          <w:szCs w:val="19"/>
          <w:color w:val="auto"/>
        </w:rPr>
        <w:t xml:space="preserve"> has been accepted for filing by the FDA, which assigned a PDUFA goal date of August 1, 2021.</w:t>
      </w:r>
    </w:p>
    <w:p>
      <w:pPr>
        <w:spacing w:after="0" w:line="229" w:lineRule="exact"/>
        <w:rPr>
          <w:sz w:val="20"/>
          <w:szCs w:val="20"/>
          <w:color w:val="auto"/>
        </w:rPr>
      </w:pPr>
    </w:p>
    <w:p>
      <w:pPr>
        <w:jc w:val="both"/>
        <w:ind w:left="2" w:firstLine="568"/>
        <w:spacing w:after="0" w:line="198" w:lineRule="auto"/>
        <w:rPr>
          <w:sz w:val="20"/>
          <w:szCs w:val="20"/>
          <w:color w:val="auto"/>
        </w:rPr>
      </w:pPr>
      <w:r>
        <w:rPr>
          <w:rFonts w:ascii="Arial" w:cs="Arial" w:eastAsia="Arial" w:hAnsi="Arial"/>
          <w:sz w:val="19"/>
          <w:szCs w:val="19"/>
          <w:color w:val="auto"/>
        </w:rPr>
        <w:t>Our branded product candidate, Epsolay</w:t>
      </w:r>
      <w:r>
        <w:rPr>
          <w:rFonts w:ascii="Arial" w:cs="Arial" w:eastAsia="Arial" w:hAnsi="Arial"/>
          <w:sz w:val="31"/>
          <w:szCs w:val="31"/>
          <w:color w:val="auto"/>
          <w:vertAlign w:val="superscript"/>
        </w:rPr>
        <w:t>®</w:t>
      </w:r>
      <w:r>
        <w:rPr>
          <w:rFonts w:ascii="Arial" w:cs="Arial" w:eastAsia="Arial" w:hAnsi="Arial"/>
          <w:sz w:val="19"/>
          <w:szCs w:val="19"/>
          <w:color w:val="auto"/>
        </w:rPr>
        <w:t>, is a novel, once-daily topical cream containing encapsulated benzoyl peroxide that we are developing for the treatment of papulopustular (subtype II) rosacea. On July 8, 2019, we announced positive top-line results from our Phase 3 program evaluating Epsolay</w:t>
      </w:r>
      <w:r>
        <w:rPr>
          <w:rFonts w:ascii="Arial" w:cs="Arial" w:eastAsia="Arial" w:hAnsi="Arial"/>
          <w:sz w:val="31"/>
          <w:szCs w:val="31"/>
          <w:color w:val="auto"/>
          <w:vertAlign w:val="superscript"/>
        </w:rPr>
        <w:t>®</w:t>
      </w:r>
      <w:r>
        <w:rPr>
          <w:rFonts w:ascii="Arial" w:cs="Arial" w:eastAsia="Arial" w:hAnsi="Arial"/>
          <w:sz w:val="19"/>
          <w:szCs w:val="19"/>
          <w:color w:val="auto"/>
        </w:rPr>
        <w:t>. The program enrolled 733 patients aged 18 and older in two identical, double-blind, vehicle-controlled Phase 3 clinical trials at 54 sites across the United States. Epsolay</w:t>
      </w:r>
      <w:r>
        <w:rPr>
          <w:rFonts w:ascii="Arial" w:cs="Arial" w:eastAsia="Arial" w:hAnsi="Arial"/>
          <w:sz w:val="31"/>
          <w:szCs w:val="31"/>
          <w:color w:val="auto"/>
          <w:vertAlign w:val="superscript"/>
        </w:rPr>
        <w:t>®</w:t>
      </w:r>
      <w:r>
        <w:rPr>
          <w:rFonts w:ascii="Arial" w:cs="Arial" w:eastAsia="Arial" w:hAnsi="Arial"/>
          <w:sz w:val="19"/>
          <w:szCs w:val="19"/>
          <w:color w:val="auto"/>
        </w:rPr>
        <w:t xml:space="preserve"> demonstrated statistically significant improvement in both co-primary endpoints of (1) the number of patients achieving “clear” or “almost clear” in the Investigator Global Assessment, or IGA, relative to baseline at week 12 and (2) absolute mean reduction from baseline in inflammatory lesion count at week 12. In an additional analysis, Epsolay</w:t>
      </w:r>
      <w:r>
        <w:rPr>
          <w:rFonts w:ascii="Arial" w:cs="Arial" w:eastAsia="Arial" w:hAnsi="Arial"/>
          <w:sz w:val="31"/>
          <w:szCs w:val="31"/>
          <w:color w:val="auto"/>
          <w:vertAlign w:val="superscript"/>
        </w:rPr>
        <w:t>®</w:t>
      </w:r>
      <w:r>
        <w:rPr>
          <w:rFonts w:ascii="Arial" w:cs="Arial" w:eastAsia="Arial" w:hAnsi="Arial"/>
          <w:sz w:val="19"/>
          <w:szCs w:val="19"/>
          <w:color w:val="auto"/>
        </w:rPr>
        <w:t xml:space="preserve"> demonstrated rapid efficacy, achieving statistically significant improvements on both co-primary endpoints compared with vehicle as early as Week 2. In addition, Epsolay® was found to be well-tolerated.</w:t>
      </w:r>
    </w:p>
    <w:p>
      <w:pPr>
        <w:spacing w:after="0" w:line="237" w:lineRule="exact"/>
        <w:rPr>
          <w:sz w:val="20"/>
          <w:szCs w:val="20"/>
          <w:color w:val="auto"/>
        </w:rPr>
      </w:pPr>
    </w:p>
    <w:p>
      <w:pPr>
        <w:jc w:val="both"/>
        <w:ind w:left="2" w:right="20" w:firstLine="566"/>
        <w:spacing w:after="0" w:line="227" w:lineRule="auto"/>
        <w:rPr>
          <w:sz w:val="20"/>
          <w:szCs w:val="20"/>
          <w:color w:val="auto"/>
        </w:rPr>
      </w:pPr>
      <w:r>
        <w:rPr>
          <w:rFonts w:ascii="Arial" w:cs="Arial" w:eastAsia="Arial" w:hAnsi="Arial"/>
          <w:sz w:val="17"/>
          <w:szCs w:val="17"/>
          <w:color w:val="auto"/>
        </w:rPr>
        <w:t>On February 12, 2020, we announced positive topline results from our open-label, long-term safety study, evaluating Epsolay® for a treatment duration up to 52 weeks. The study enrolled 547 subjects, all of whom had completed 12 weeks of treatment with Epsolay</w:t>
      </w:r>
      <w:r>
        <w:rPr>
          <w:rFonts w:ascii="Arial" w:cs="Arial" w:eastAsia="Arial" w:hAnsi="Arial"/>
          <w:sz w:val="28"/>
          <w:szCs w:val="28"/>
          <w:color w:val="auto"/>
          <w:vertAlign w:val="superscript"/>
        </w:rPr>
        <w:t>®</w:t>
      </w:r>
      <w:r>
        <w:rPr>
          <w:rFonts w:ascii="Arial" w:cs="Arial" w:eastAsia="Arial" w:hAnsi="Arial"/>
          <w:sz w:val="17"/>
          <w:szCs w:val="17"/>
          <w:color w:val="auto"/>
        </w:rPr>
        <w:t xml:space="preserve"> or vehicle in the preceding double-blind Phase 3 studies. Patients continued onto open-label treatment with Epsolay once-daily for up to an additional 40 weeks. The safety population of 535 subjects received Epsolay</w:t>
      </w:r>
      <w:r>
        <w:rPr>
          <w:rFonts w:ascii="Arial" w:cs="Arial" w:eastAsia="Arial" w:hAnsi="Arial"/>
          <w:sz w:val="28"/>
          <w:szCs w:val="28"/>
          <w:color w:val="auto"/>
          <w:vertAlign w:val="superscript"/>
        </w:rPr>
        <w:t>®</w:t>
      </w:r>
      <w:r>
        <w:rPr>
          <w:rFonts w:ascii="Arial" w:cs="Arial" w:eastAsia="Arial" w:hAnsi="Arial"/>
          <w:sz w:val="17"/>
          <w:szCs w:val="17"/>
          <w:color w:val="auto"/>
        </w:rPr>
        <w:t xml:space="preserve"> therapy for an overall period of at least 28 weeks. Of these 535 subjects, 209 subjects completed 52 weeks of treatment with Epsolay</w:t>
      </w:r>
      <w:r>
        <w:rPr>
          <w:rFonts w:ascii="Arial" w:cs="Arial" w:eastAsia="Arial" w:hAnsi="Arial"/>
          <w:sz w:val="28"/>
          <w:szCs w:val="28"/>
          <w:color w:val="auto"/>
          <w:vertAlign w:val="superscript"/>
        </w:rPr>
        <w:t>®</w:t>
      </w:r>
      <w:r>
        <w:rPr>
          <w:rFonts w:ascii="Arial" w:cs="Arial" w:eastAsia="Arial" w:hAnsi="Arial"/>
          <w:sz w:val="17"/>
          <w:szCs w:val="17"/>
          <w:color w:val="auto"/>
        </w:rPr>
        <w:t>, exceeding the sample size requirements previously defined by the FDA for the Epsolay</w:t>
      </w:r>
      <w:r>
        <w:rPr>
          <w:rFonts w:ascii="Arial" w:cs="Arial" w:eastAsia="Arial" w:hAnsi="Arial"/>
          <w:sz w:val="28"/>
          <w:szCs w:val="28"/>
          <w:color w:val="auto"/>
          <w:vertAlign w:val="superscript"/>
        </w:rPr>
        <w:t>®</w:t>
      </w:r>
      <w:r>
        <w:rPr>
          <w:rFonts w:ascii="Arial" w:cs="Arial" w:eastAsia="Arial" w:hAnsi="Arial"/>
          <w:sz w:val="17"/>
          <w:szCs w:val="17"/>
          <w:color w:val="auto"/>
        </w:rPr>
        <w:t xml:space="preserve"> one-year safety evaluation. Our NDA for Epsolay</w:t>
      </w:r>
      <w:r>
        <w:rPr>
          <w:rFonts w:ascii="Arial" w:cs="Arial" w:eastAsia="Arial" w:hAnsi="Arial"/>
          <w:sz w:val="28"/>
          <w:szCs w:val="28"/>
          <w:color w:val="auto"/>
          <w:vertAlign w:val="superscript"/>
        </w:rPr>
        <w:t>®</w:t>
      </w:r>
      <w:r>
        <w:rPr>
          <w:rFonts w:ascii="Arial" w:cs="Arial" w:eastAsia="Arial" w:hAnsi="Arial"/>
          <w:sz w:val="17"/>
          <w:szCs w:val="17"/>
          <w:color w:val="auto"/>
        </w:rPr>
        <w:t xml:space="preserve"> has been accepted for filing by the FDA, which assigned a PDUFA goal date of April 26, 2021.</w:t>
      </w:r>
    </w:p>
    <w:p>
      <w:pPr>
        <w:spacing w:after="0" w:line="210" w:lineRule="exact"/>
        <w:rPr>
          <w:sz w:val="20"/>
          <w:szCs w:val="20"/>
          <w:color w:val="auto"/>
        </w:rPr>
      </w:pPr>
    </w:p>
    <w:p>
      <w:pPr>
        <w:jc w:val="center"/>
        <w:ind w:right="-1"/>
        <w:spacing w:after="0"/>
        <w:rPr>
          <w:sz w:val="20"/>
          <w:szCs w:val="20"/>
          <w:color w:val="auto"/>
        </w:rPr>
      </w:pPr>
      <w:r>
        <w:rPr>
          <w:rFonts w:ascii="Arial" w:cs="Arial" w:eastAsia="Arial" w:hAnsi="Arial"/>
          <w:sz w:val="19"/>
          <w:szCs w:val="19"/>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38735</wp:posOffset>
            </wp:positionV>
            <wp:extent cx="7149465" cy="1524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2"/>
          </w:cols>
          <w:pgMar w:left="318" w:top="126" w:right="319" w:bottom="1440" w:gutter="0" w:footer="0" w:header="0"/>
        </w:sectPr>
      </w:pPr>
    </w:p>
    <w:bookmarkStart w:id="87" w:name="page88"/>
    <w:bookmarkEnd w:id="87"/>
    <w:p>
      <w:pPr>
        <w:jc w:val="both"/>
        <w:ind w:right="20" w:firstLine="568"/>
        <w:spacing w:after="0" w:line="284" w:lineRule="auto"/>
        <w:rPr>
          <w:sz w:val="20"/>
          <w:szCs w:val="20"/>
          <w:color w:val="auto"/>
        </w:rPr>
      </w:pPr>
      <w:r>
        <w:rPr>
          <w:rFonts w:ascii="Arial" w:cs="Arial" w:eastAsia="Arial" w:hAnsi="Arial"/>
          <w:sz w:val="19"/>
          <w:szCs w:val="19"/>
          <w:color w:val="auto"/>
        </w:rPr>
        <w:t>Our other branded product candidates are SGT-210 (erlotinib gel) that we are developing for the treatment of palmoplantar keratoderma (PPK), and erlotinib, tapinarof and roflumilast, each a potential treatment of various pharmaceutical indications.</w:t>
      </w:r>
    </w:p>
    <w:p>
      <w:pPr>
        <w:spacing w:after="0" w:line="193" w:lineRule="exact"/>
        <w:rPr>
          <w:sz w:val="20"/>
          <w:szCs w:val="20"/>
          <w:color w:val="auto"/>
        </w:rPr>
      </w:pPr>
    </w:p>
    <w:p>
      <w:pPr>
        <w:jc w:val="both"/>
        <w:ind w:firstLine="566"/>
        <w:spacing w:after="0" w:line="296" w:lineRule="auto"/>
        <w:rPr>
          <w:sz w:val="20"/>
          <w:szCs w:val="20"/>
          <w:color w:val="auto"/>
        </w:rPr>
      </w:pPr>
      <w:r>
        <w:rPr>
          <w:rFonts w:ascii="Arial" w:cs="Arial" w:eastAsia="Arial" w:hAnsi="Arial"/>
          <w:sz w:val="17"/>
          <w:szCs w:val="17"/>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have submitted NDAs for Twyneo and Epsolay under the FDA’s 505(b)(2) regulatory pathway, which may provide for a more efficient regulatory process by permitting us to rely, in part, upon the FDA’s previous findings of safety and efficacy of an approved product.</w:t>
      </w:r>
    </w:p>
    <w:p>
      <w:pPr>
        <w:spacing w:after="0" w:line="191" w:lineRule="exact"/>
        <w:rPr>
          <w:sz w:val="20"/>
          <w:szCs w:val="20"/>
          <w:color w:val="auto"/>
        </w:rPr>
      </w:pPr>
    </w:p>
    <w:p>
      <w:pPr>
        <w:jc w:val="both"/>
        <w:ind w:firstLine="566"/>
        <w:spacing w:after="0" w:line="304" w:lineRule="auto"/>
        <w:rPr>
          <w:sz w:val="20"/>
          <w:szCs w:val="20"/>
          <w:color w:val="auto"/>
        </w:rPr>
      </w:pPr>
      <w:r>
        <w:rPr>
          <w:rFonts w:ascii="Arial" w:cs="Arial" w:eastAsia="Arial" w:hAnsi="Arial"/>
          <w:sz w:val="17"/>
          <w:szCs w:val="17"/>
          <w:color w:val="auto"/>
        </w:rPr>
        <w:t>In order to commercialize our product candidates, if approved for commercial sale, we expect to collaborate with third parties that have sales and marketing experience. We intend to commercialize our late-stage branded product candidates in the United States, if approved, through one or more third party collaborators that have direct sales forces and established distribution systems in lieu of our own sales force and distribution systems. We are in discussions with potential partners regarding the commercialization of Twyneo® and Epsolay®. In other markets, we also expect to selectively pursue strategic collaborations with third parties in order to maximize the commercial potential of our product candidates.</w:t>
      </w:r>
    </w:p>
    <w:p>
      <w:pPr>
        <w:spacing w:after="0" w:line="181"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Since our inception, we have incurred significant operating losses. We incurred net losses of $32.2 million, $24.6 million and $29.3 million for the years ended December 31, 2018, 2019 and 2020, respectively. As of December 31, 2020, we had an accumulated deficit of $181.4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we may incur expenses in connection with the in-license or acquisition of additional product candidates.</w:t>
      </w:r>
    </w:p>
    <w:p>
      <w:pPr>
        <w:spacing w:after="0" w:line="181"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In February 2018 we closed our initial public offering, at which time we sold a total of 7,187,500 ordinary shares in the offering and received net proceeds of approximately $78.8 million, after deducting underwriting discounts and commissions and without deducting other offering expenses.</w:t>
      </w:r>
    </w:p>
    <w:p>
      <w:pPr>
        <w:spacing w:after="0" w:line="206"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On August 12, 2019, the Company completed an underwritten public offering, in which it issued 1,437,500 ordinary shares, including the full exercise by the underwriters of their option to purchase 187,500 additional ordinary shares, at a public offering price of $8.00 per ordinary share. The total proceeds received from the offering were approximately $10.8 million net of underwriting discounts and commissions and without deducting other offering expenses.</w:t>
      </w:r>
    </w:p>
    <w:p>
      <w:pPr>
        <w:spacing w:after="0" w:line="210"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On February 19, 2020 the Company completed an underwritten public offering in which it issued 2,091,907 ordinary shares together with ordinary share warrants to purchase 1,673,525 ordinary shares. The ordinary shares and warrants were sold together at a combined public offering price of $11.00 per ordinary share and accompanying warrant to purchase 0.80 of an ordinary share. The warrants have an initial exercise price of $14.00 per share, subject to certain adjustments, and will expire on February 19, 2023. The total proceeds received from the offering were approximately $21.6 million net of underwriting discounts and commissions and without deducting other offering expenses.</w:t>
      </w:r>
    </w:p>
    <w:p>
      <w:pPr>
        <w:spacing w:after="0" w:line="181" w:lineRule="exact"/>
        <w:rPr>
          <w:sz w:val="20"/>
          <w:szCs w:val="20"/>
          <w:color w:val="auto"/>
        </w:rPr>
      </w:pPr>
    </w:p>
    <w:p>
      <w:pPr>
        <w:jc w:val="both"/>
        <w:ind w:firstLine="566"/>
        <w:spacing w:after="0" w:line="265" w:lineRule="auto"/>
        <w:rPr>
          <w:sz w:val="20"/>
          <w:szCs w:val="20"/>
          <w:color w:val="auto"/>
        </w:rPr>
      </w:pPr>
      <w:r>
        <w:rPr>
          <w:rFonts w:ascii="Arial" w:cs="Arial" w:eastAsia="Arial" w:hAnsi="Arial"/>
          <w:sz w:val="19"/>
          <w:szCs w:val="19"/>
          <w:color w:val="auto"/>
        </w:rPr>
        <w:t>In addition, following the approval of the Company’s shareholders, M. Arkin Dermatology Ltd., the controlling shareholder of the Company, purchased 454,628 ordinary shares and warrants to purchase up to 363,702 ordinary shares in a concurrent private placement, exempt from the registration of the Securities Act of 1933, as amended, at a price equal to the public offering price of the ordinary shares and accompanying warrants in the February 2020 public offering. The private placement, which closed on April 13, 2020, generated proceeds of approximately $5 million.</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88" w:name="page89"/>
    <w:bookmarkEnd w:id="88"/>
    <w:p>
      <w:pPr>
        <w:ind w:left="5"/>
        <w:spacing w:after="0"/>
        <w:rPr>
          <w:sz w:val="20"/>
          <w:szCs w:val="20"/>
          <w:color w:val="auto"/>
        </w:rPr>
      </w:pPr>
      <w:r>
        <w:rPr>
          <w:rFonts w:ascii="Arial" w:cs="Arial" w:eastAsia="Arial" w:hAnsi="Arial"/>
          <w:sz w:val="19"/>
          <w:szCs w:val="19"/>
          <w:b w:val="1"/>
          <w:bCs w:val="1"/>
          <w:color w:val="auto"/>
        </w:rPr>
        <w:t>Collaboration Agreements</w:t>
      </w:r>
    </w:p>
    <w:p>
      <w:pPr>
        <w:spacing w:after="0" w:line="261" w:lineRule="exact"/>
        <w:rPr>
          <w:sz w:val="20"/>
          <w:szCs w:val="20"/>
          <w:color w:val="auto"/>
        </w:rPr>
      </w:pPr>
    </w:p>
    <w:p>
      <w:pPr>
        <w:ind w:left="5" w:firstLine="568"/>
        <w:spacing w:after="0" w:line="284" w:lineRule="auto"/>
        <w:rPr>
          <w:sz w:val="20"/>
          <w:szCs w:val="20"/>
          <w:color w:val="auto"/>
        </w:rPr>
      </w:pPr>
      <w:r>
        <w:rPr>
          <w:rFonts w:ascii="Arial" w:cs="Arial" w:eastAsia="Arial" w:hAnsi="Arial"/>
          <w:sz w:val="19"/>
          <w:szCs w:val="19"/>
          <w:color w:val="auto"/>
        </w:rPr>
        <w:t>For a description of our collaboration agreements, please see “Item 4. Information on the Company—B. Business Overview—Collaboration Agreements with Perrigo.”</w:t>
      </w:r>
    </w:p>
    <w:p>
      <w:pPr>
        <w:spacing w:after="0" w:line="187" w:lineRule="exact"/>
        <w:rPr>
          <w:sz w:val="20"/>
          <w:szCs w:val="20"/>
          <w:color w:val="auto"/>
        </w:rPr>
      </w:pPr>
    </w:p>
    <w:p>
      <w:pPr>
        <w:ind w:left="705" w:hanging="705"/>
        <w:spacing w:after="0"/>
        <w:tabs>
          <w:tab w:leader="none" w:pos="705" w:val="left"/>
        </w:tabs>
        <w:numPr>
          <w:ilvl w:val="0"/>
          <w:numId w:val="63"/>
        </w:numPr>
        <w:rPr>
          <w:rFonts w:ascii="Arial" w:cs="Arial" w:eastAsia="Arial" w:hAnsi="Arial"/>
          <w:sz w:val="19"/>
          <w:szCs w:val="19"/>
          <w:b w:val="1"/>
          <w:bCs w:val="1"/>
          <w:color w:val="auto"/>
        </w:rPr>
      </w:pPr>
      <w:r>
        <w:rPr>
          <w:rFonts w:ascii="Arial" w:cs="Arial" w:eastAsia="Arial" w:hAnsi="Arial"/>
          <w:sz w:val="19"/>
          <w:szCs w:val="19"/>
          <w:b w:val="1"/>
          <w:bCs w:val="1"/>
          <w:color w:val="auto"/>
        </w:rPr>
        <w:t>Operating Results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Collaboration Revenues</w:t>
      </w:r>
    </w:p>
    <w:p>
      <w:pPr>
        <w:spacing w:after="0" w:line="255" w:lineRule="exact"/>
        <w:rPr>
          <w:sz w:val="20"/>
          <w:szCs w:val="20"/>
          <w:color w:val="auto"/>
        </w:rPr>
      </w:pPr>
    </w:p>
    <w:p>
      <w:pPr>
        <w:jc w:val="both"/>
        <w:ind w:left="5" w:firstLine="568"/>
        <w:spacing w:after="0" w:line="299" w:lineRule="auto"/>
        <w:rPr>
          <w:sz w:val="20"/>
          <w:szCs w:val="20"/>
          <w:color w:val="auto"/>
        </w:rPr>
      </w:pPr>
      <w:r>
        <w:rPr>
          <w:rFonts w:ascii="Arial" w:cs="Arial" w:eastAsia="Arial" w:hAnsi="Arial"/>
          <w:sz w:val="17"/>
          <w:szCs w:val="17"/>
          <w:color w:val="auto"/>
        </w:rPr>
        <w:t>From 2013 until December 31, 2018, other than revenues of approximately $0.2 million and $0.1 million on royalties generated in 2017 and 2018, respectively, pursuant to sales of products overseas under past collaboration agreements with Merck, we did not recognize any revenue. In 2019, we generated approximately $0.1 million in revenues under such past collaboration agreements with Merck. In addition, in February 2019 we announced that Perrigo had received final approval from the FDA for of the first generic version of Zovirax® (acyclovir) cream, 5% . The product was developed in a collaboration between us and Perrigo in which we shared development costs with Perrigo and are sharing equally the gross profits generated from sales of the product. During the years ended December 31, 2019 and December 31, 2020, the Company recognized revenues from royalties related to sales of this product in the amount of $22.8 million and $8.7 million, respectively.</w:t>
      </w:r>
    </w:p>
    <w:p>
      <w:pPr>
        <w:spacing w:after="0" w:line="188"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Operating expenses</w:t>
      </w:r>
    </w:p>
    <w:p>
      <w:pPr>
        <w:spacing w:after="0" w:line="255" w:lineRule="exact"/>
        <w:rPr>
          <w:sz w:val="20"/>
          <w:szCs w:val="20"/>
          <w:color w:val="auto"/>
        </w:rPr>
      </w:pPr>
    </w:p>
    <w:p>
      <w:pPr>
        <w:ind w:left="565"/>
        <w:spacing w:after="0"/>
        <w:rPr>
          <w:sz w:val="20"/>
          <w:szCs w:val="20"/>
          <w:color w:val="auto"/>
        </w:rPr>
      </w:pPr>
      <w:r>
        <w:rPr>
          <w:rFonts w:ascii="Arial" w:cs="Arial" w:eastAsia="Arial" w:hAnsi="Arial"/>
          <w:sz w:val="19"/>
          <w:szCs w:val="19"/>
          <w:color w:val="auto"/>
        </w:rPr>
        <w:t>Our current operating expenses consist primarily of research and development as well as general and administrative expenses.</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Research and development expenses</w:t>
      </w:r>
    </w:p>
    <w:p>
      <w:pPr>
        <w:spacing w:after="0" w:line="255" w:lineRule="exact"/>
        <w:rPr>
          <w:sz w:val="20"/>
          <w:szCs w:val="20"/>
          <w:color w:val="auto"/>
        </w:rPr>
      </w:pPr>
    </w:p>
    <w:p>
      <w:pPr>
        <w:ind w:left="565"/>
        <w:spacing w:after="0"/>
        <w:rPr>
          <w:sz w:val="20"/>
          <w:szCs w:val="20"/>
          <w:color w:val="auto"/>
        </w:rPr>
      </w:pPr>
      <w:r>
        <w:rPr>
          <w:rFonts w:ascii="Arial" w:cs="Arial" w:eastAsia="Arial" w:hAnsi="Arial"/>
          <w:sz w:val="19"/>
          <w:szCs w:val="19"/>
          <w:color w:val="auto"/>
        </w:rPr>
        <w:t>Research and development expenses consist principally of:</w:t>
      </w:r>
    </w:p>
    <w:p>
      <w:pPr>
        <w:spacing w:after="0" w:line="249" w:lineRule="exact"/>
        <w:rPr>
          <w:sz w:val="20"/>
          <w:szCs w:val="20"/>
          <w:color w:val="auto"/>
        </w:rPr>
      </w:pPr>
    </w:p>
    <w:p>
      <w:pPr>
        <w:ind w:left="745" w:hanging="426"/>
        <w:spacing w:after="0"/>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salaries for research and development staff and related expenses, including employee benefits and share-based compensation expenses;</w:t>
      </w:r>
    </w:p>
    <w:p>
      <w:pPr>
        <w:spacing w:after="0" w:line="241" w:lineRule="exact"/>
        <w:rPr>
          <w:rFonts w:ascii="Arial" w:cs="Arial" w:eastAsia="Arial" w:hAnsi="Arial"/>
          <w:sz w:val="16"/>
          <w:szCs w:val="16"/>
          <w:color w:val="auto"/>
        </w:rPr>
      </w:pPr>
    </w:p>
    <w:p>
      <w:pPr>
        <w:ind w:left="745" w:right="20" w:hanging="426"/>
        <w:spacing w:after="0" w:line="268" w:lineRule="auto"/>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expenses paid to suppliers of disposables and raw materials, including drug substances, and related expenses, such as, external laboratory testing and development of analytical methods;</w:t>
      </w:r>
    </w:p>
    <w:p>
      <w:pPr>
        <w:spacing w:after="0" w:line="204" w:lineRule="exact"/>
        <w:rPr>
          <w:rFonts w:ascii="Arial" w:cs="Arial" w:eastAsia="Arial" w:hAnsi="Arial"/>
          <w:sz w:val="16"/>
          <w:szCs w:val="16"/>
          <w:color w:val="auto"/>
        </w:rPr>
      </w:pPr>
    </w:p>
    <w:p>
      <w:pPr>
        <w:ind w:left="745" w:hanging="426"/>
        <w:spacing w:after="0"/>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expenses for production of our product candidates both in-house and by contract manufacturers;</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64"/>
        </w:numPr>
        <w:rPr>
          <w:rFonts w:ascii="Arial" w:cs="Arial" w:eastAsia="Arial" w:hAnsi="Arial"/>
          <w:sz w:val="14"/>
          <w:szCs w:val="14"/>
          <w:color w:val="auto"/>
        </w:rPr>
      </w:pPr>
      <w:r>
        <w:rPr>
          <w:rFonts w:ascii="Arial" w:cs="Arial" w:eastAsia="Arial" w:hAnsi="Arial"/>
          <w:sz w:val="14"/>
          <w:szCs w:val="14"/>
          <w:color w:val="auto"/>
        </w:rPr>
        <w:t>expenses paid to contract research organizations and other third parties in connection with the performance of pre-clinical studies, clinical trials and related expenses;</w:t>
      </w:r>
    </w:p>
    <w:p>
      <w:pPr>
        <w:spacing w:after="0" w:line="264" w:lineRule="exact"/>
        <w:rPr>
          <w:rFonts w:ascii="Arial" w:cs="Arial" w:eastAsia="Arial" w:hAnsi="Arial"/>
          <w:sz w:val="14"/>
          <w:szCs w:val="14"/>
          <w:color w:val="auto"/>
        </w:rPr>
      </w:pPr>
    </w:p>
    <w:p>
      <w:pPr>
        <w:ind w:left="745" w:right="20" w:hanging="426"/>
        <w:spacing w:after="0" w:line="268" w:lineRule="auto"/>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expenses incurred under agreements with other third parties, including subcontractors, suppliers and consultants that conduct formulation development, regulatory activities and pre-clinical studies;</w:t>
      </w:r>
    </w:p>
    <w:p>
      <w:pPr>
        <w:spacing w:after="0" w:line="204" w:lineRule="exact"/>
        <w:rPr>
          <w:rFonts w:ascii="Arial" w:cs="Arial" w:eastAsia="Arial" w:hAnsi="Arial"/>
          <w:sz w:val="16"/>
          <w:szCs w:val="16"/>
          <w:color w:val="auto"/>
        </w:rPr>
      </w:pPr>
    </w:p>
    <w:p>
      <w:pPr>
        <w:ind w:left="745" w:hanging="426"/>
        <w:spacing w:after="0"/>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expenses incurred to acquire, develop and manufacture materials for use in pre-clinical and other studies;</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expenses incurred from the purchase and transfer of product candidates; and</w:t>
      </w:r>
    </w:p>
    <w:p>
      <w:pPr>
        <w:spacing w:after="0" w:line="241" w:lineRule="exact"/>
        <w:rPr>
          <w:rFonts w:ascii="Arial" w:cs="Arial" w:eastAsia="Arial" w:hAnsi="Arial"/>
          <w:sz w:val="16"/>
          <w:szCs w:val="16"/>
          <w:color w:val="auto"/>
        </w:rPr>
      </w:pPr>
    </w:p>
    <w:p>
      <w:pPr>
        <w:ind w:left="745" w:right="20" w:hanging="426"/>
        <w:spacing w:after="0" w:line="268" w:lineRule="auto"/>
        <w:tabs>
          <w:tab w:leader="none" w:pos="745" w:val="left"/>
        </w:tabs>
        <w:numPr>
          <w:ilvl w:val="0"/>
          <w:numId w:val="64"/>
        </w:numPr>
        <w:rPr>
          <w:rFonts w:ascii="Arial" w:cs="Arial" w:eastAsia="Arial" w:hAnsi="Arial"/>
          <w:sz w:val="16"/>
          <w:szCs w:val="16"/>
          <w:color w:val="auto"/>
        </w:rPr>
      </w:pPr>
      <w:r>
        <w:rPr>
          <w:rFonts w:ascii="Arial" w:cs="Arial" w:eastAsia="Arial" w:hAnsi="Arial"/>
          <w:sz w:val="16"/>
          <w:szCs w:val="16"/>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351"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89" w:name="page90"/>
    <w:bookmarkEnd w:id="89"/>
    <w:p>
      <w:pPr>
        <w:jc w:val="both"/>
        <w:ind w:right="20" w:firstLine="568"/>
        <w:spacing w:after="0" w:line="267" w:lineRule="auto"/>
        <w:rPr>
          <w:sz w:val="20"/>
          <w:szCs w:val="20"/>
          <w:color w:val="auto"/>
        </w:rPr>
      </w:pPr>
      <w:r>
        <w:rPr>
          <w:rFonts w:ascii="Arial" w:cs="Arial" w:eastAsia="Arial" w:hAnsi="Arial"/>
          <w:sz w:val="19"/>
          <w:szCs w:val="19"/>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to continue to incur research and development expenses over the next several years as we conduct pre-clinical studies and clinical trials and prepare regulatory filings for our product candidates.</w:t>
      </w:r>
    </w:p>
    <w:p>
      <w:pPr>
        <w:spacing w:after="0" w:line="210"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208" w:lineRule="exact"/>
        <w:rPr>
          <w:sz w:val="20"/>
          <w:szCs w:val="20"/>
          <w:color w:val="auto"/>
        </w:rPr>
      </w:pPr>
    </w:p>
    <w:p>
      <w:pPr>
        <w:ind w:left="740" w:hanging="426"/>
        <w:spacing w:after="0"/>
        <w:tabs>
          <w:tab w:leader="none" w:pos="7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scope, rate of progress and expense of our research and development activities;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clinical trials and early-stage results;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terms and timing of regulatory requirements and approvals;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expense of filing, prosecuting, defending and enforcing patent claims and other intellectual property rights;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ability to market, commercialize and achieve market acceptance of any product candidate that we are developing or may develop in the future.</w:t>
      </w:r>
    </w:p>
    <w:p>
      <w:pPr>
        <w:spacing w:after="0" w:line="247"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8"/>
          <w:szCs w:val="18"/>
          <w:color w:val="auto"/>
        </w:rPr>
        <w:t>While we are currently focused on advancing our product development, our future research and development expenses will depend on the clinical success of our product candidates, as well as ongoing assessments of the candidates’ commercial potential. As we obtain results from clinical trials, we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195"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General and administrative expenses</w:t>
      </w:r>
    </w:p>
    <w:p>
      <w:pPr>
        <w:spacing w:after="0" w:line="255" w:lineRule="exact"/>
        <w:rPr>
          <w:sz w:val="20"/>
          <w:szCs w:val="20"/>
          <w:color w:val="auto"/>
        </w:rPr>
      </w:pPr>
    </w:p>
    <w:p>
      <w:pPr>
        <w:jc w:val="both"/>
        <w:ind w:firstLine="568"/>
        <w:spacing w:after="0" w:line="345" w:lineRule="auto"/>
        <w:rPr>
          <w:sz w:val="20"/>
          <w:szCs w:val="20"/>
          <w:color w:val="auto"/>
        </w:rPr>
      </w:pPr>
      <w:r>
        <w:rPr>
          <w:rFonts w:ascii="Arial" w:cs="Arial" w:eastAsia="Arial" w:hAnsi="Arial"/>
          <w:sz w:val="17"/>
          <w:szCs w:val="17"/>
          <w:color w:val="auto"/>
        </w:rPr>
        <w:t>Our general and administrative expenses consist primarily of salaries and related expenses, including employee benefits and share-based compensation expenses, legal expenses and professional fees for auditors and other expenses not related to research and development activities.</w:t>
      </w:r>
    </w:p>
    <w:p>
      <w:pPr>
        <w:spacing w:after="0" w:line="148"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As we are in discussions with potential partners regarding the commercialization of Twyneo® and Epsolay® to occur if the product candidates receive regulatory approval from the FDA, we do not currently anticipate an increase in general and administrative expenses. However, if we are unable to enter into such arrangements on acceptable terms or at all, we may look to directly commercialize Twyneo® and Epsolay® on our own. In such case, our expenses related to product sales, marketing and distribution would increase significantly and we may be forced to raise additional capital sooner than anticipated.</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90" w:name="page91"/>
    <w:bookmarkEnd w:id="90"/>
    <w:p>
      <w:pPr>
        <w:spacing w:after="0"/>
        <w:rPr>
          <w:sz w:val="20"/>
          <w:szCs w:val="20"/>
          <w:color w:val="auto"/>
        </w:rPr>
      </w:pPr>
      <w:r>
        <w:rPr>
          <w:rFonts w:ascii="Arial" w:cs="Arial" w:eastAsia="Arial" w:hAnsi="Arial"/>
          <w:sz w:val="19"/>
          <w:szCs w:val="19"/>
          <w:b w:val="1"/>
          <w:bCs w:val="1"/>
          <w:i w:val="1"/>
          <w:iCs w:val="1"/>
          <w:color w:val="auto"/>
        </w:rPr>
        <w:t>Financial income, net</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Our financial income, net consists primarily of income generated on our marketable securities and bank deposits net of expenses related to bank charges and foreign currency exchange transactions.</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Results of operations</w:t>
      </w:r>
    </w:p>
    <w:p>
      <w:pPr>
        <w:spacing w:after="0" w:line="261"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following table summarizes our results of operations for the indicated periods:</w:t>
      </w:r>
    </w:p>
    <w:p>
      <w:pPr>
        <w:spacing w:after="0" w:line="245" w:lineRule="exact"/>
        <w:rPr>
          <w:sz w:val="20"/>
          <w:szCs w:val="20"/>
          <w:color w:val="auto"/>
        </w:rPr>
      </w:pPr>
    </w:p>
    <w:tbl>
      <w:tblPr>
        <w:tblLayout w:type="fixed"/>
        <w:tblInd w:w="56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69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2560" w:type="dxa"/>
            <w:vAlign w:val="bottom"/>
            <w:tcBorders>
              <w:bottom w:val="single" w:sz="8" w:color="auto"/>
            </w:tcBorders>
            <w:gridSpan w:val="6"/>
          </w:tcPr>
          <w:p>
            <w:pPr>
              <w:jc w:val="center"/>
              <w:ind w:left="521"/>
              <w:spacing w:after="0"/>
              <w:rPr>
                <w:sz w:val="20"/>
                <w:szCs w:val="20"/>
                <w:color w:val="auto"/>
              </w:rPr>
            </w:pPr>
            <w:r>
              <w:rPr>
                <w:rFonts w:ascii="Arial" w:cs="Arial" w:eastAsia="Arial" w:hAnsi="Arial"/>
                <w:sz w:val="16"/>
                <w:szCs w:val="16"/>
                <w:b w:val="1"/>
                <w:bCs w:val="1"/>
                <w:color w:val="auto"/>
                <w:w w:val="88"/>
              </w:rPr>
              <w:t>Year ended December 31,</w:t>
            </w:r>
          </w:p>
        </w:tc>
        <w:tc>
          <w:tcPr>
            <w:tcW w:w="8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9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301"/>
              <w:spacing w:after="0"/>
              <w:rPr>
                <w:sz w:val="20"/>
                <w:szCs w:val="20"/>
                <w:color w:val="auto"/>
              </w:rPr>
            </w:pPr>
            <w:r>
              <w:rPr>
                <w:rFonts w:ascii="Arial" w:cs="Arial" w:eastAsia="Arial" w:hAnsi="Arial"/>
                <w:sz w:val="16"/>
                <w:szCs w:val="16"/>
                <w:b w:val="1"/>
                <w:bCs w:val="1"/>
                <w:color w:val="auto"/>
              </w:rPr>
              <w:t>2018</w:t>
            </w:r>
          </w:p>
        </w:tc>
        <w:tc>
          <w:tcPr>
            <w:tcW w:w="2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141"/>
              <w:spacing w:after="0"/>
              <w:rPr>
                <w:sz w:val="20"/>
                <w:szCs w:val="20"/>
                <w:color w:val="auto"/>
              </w:rPr>
            </w:pPr>
            <w:r>
              <w:rPr>
                <w:rFonts w:ascii="Arial" w:cs="Arial" w:eastAsia="Arial" w:hAnsi="Arial"/>
                <w:sz w:val="16"/>
                <w:szCs w:val="16"/>
                <w:b w:val="1"/>
                <w:bCs w:val="1"/>
                <w:color w:val="auto"/>
                <w:w w:val="89"/>
              </w:rPr>
              <w:t>2019</w:t>
            </w:r>
          </w:p>
        </w:tc>
        <w:tc>
          <w:tcPr>
            <w:tcW w:w="2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9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7"/>
              </w:rPr>
              <w:t>(in thousands)</w:t>
            </w:r>
          </w:p>
        </w:tc>
        <w:tc>
          <w:tcPr>
            <w:tcW w:w="2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6"/>
                <w:szCs w:val="16"/>
                <w:color w:val="auto"/>
              </w:rPr>
              <w:t>Collaboration Revenues</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w:t>
            </w:r>
          </w:p>
        </w:tc>
        <w:tc>
          <w:tcPr>
            <w:tcW w:w="2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85"/>
              <w:spacing w:after="0"/>
              <w:rPr>
                <w:sz w:val="20"/>
                <w:szCs w:val="20"/>
                <w:color w:val="auto"/>
              </w:rPr>
            </w:pPr>
            <w:r>
              <w:rPr>
                <w:rFonts w:ascii="Arial" w:cs="Arial" w:eastAsia="Arial" w:hAnsi="Arial"/>
                <w:sz w:val="15"/>
                <w:szCs w:val="15"/>
                <w:color w:val="auto"/>
                <w:w w:val="71"/>
              </w:rPr>
              <w:t>$</w:t>
            </w: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22,904</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8,771</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94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28,146</w:t>
            </w:r>
          </w:p>
        </w:tc>
        <w:tc>
          <w:tcPr>
            <w:tcW w:w="2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40,578</w:t>
            </w:r>
          </w:p>
        </w:tc>
        <w:tc>
          <w:tcPr>
            <w:tcW w:w="240" w:type="dxa"/>
            <w:vAlign w:val="bottom"/>
          </w:tcPr>
          <w:p>
            <w:pPr>
              <w:spacing w:after="0"/>
              <w:rPr>
                <w:sz w:val="16"/>
                <w:szCs w:val="16"/>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27,913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6"/>
                <w:szCs w:val="16"/>
                <w:color w:val="auto"/>
              </w:rPr>
              <w:t>General and administrative</w:t>
            </w:r>
          </w:p>
        </w:tc>
        <w:tc>
          <w:tcPr>
            <w:tcW w:w="240" w:type="dxa"/>
            <w:vAlign w:val="bottom"/>
            <w:shd w:val="clear" w:color="auto" w:fill="CCEEFF"/>
          </w:tcPr>
          <w:p>
            <w:pPr>
              <w:spacing w:after="0"/>
              <w:rPr>
                <w:sz w:val="16"/>
                <w:szCs w:val="16"/>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5,504</w:t>
            </w:r>
          </w:p>
        </w:tc>
        <w:tc>
          <w:tcPr>
            <w:tcW w:w="2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8,276</w:t>
            </w:r>
          </w:p>
        </w:tc>
        <w:tc>
          <w:tcPr>
            <w:tcW w:w="24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11,091</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69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vMerge w:val="continue"/>
          </w:tcPr>
          <w:p>
            <w:pPr>
              <w:spacing w:after="0"/>
              <w:rPr>
                <w:sz w:val="16"/>
                <w:szCs w:val="16"/>
                <w:color w:val="auto"/>
              </w:rPr>
            </w:pPr>
          </w:p>
        </w:tc>
        <w:tc>
          <w:tcPr>
            <w:tcW w:w="6940" w:type="dxa"/>
            <w:vAlign w:val="bottom"/>
          </w:tcPr>
          <w:p>
            <w:pPr>
              <w:spacing w:after="0"/>
              <w:rPr>
                <w:sz w:val="20"/>
                <w:szCs w:val="20"/>
                <w:color w:val="auto"/>
              </w:rPr>
            </w:pPr>
            <w:r>
              <w:rPr>
                <w:rFonts w:ascii="Arial" w:cs="Arial" w:eastAsia="Arial" w:hAnsi="Arial"/>
                <w:sz w:val="16"/>
                <w:szCs w:val="16"/>
                <w:color w:val="auto"/>
              </w:rPr>
              <w:t>Total operating loss</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33,521</w:t>
            </w:r>
          </w:p>
        </w:tc>
        <w:tc>
          <w:tcPr>
            <w:tcW w:w="2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25,950</w:t>
            </w:r>
          </w:p>
        </w:tc>
        <w:tc>
          <w:tcPr>
            <w:tcW w:w="240" w:type="dxa"/>
            <w:vAlign w:val="bottom"/>
          </w:tcPr>
          <w:p>
            <w:pPr>
              <w:spacing w:after="0"/>
              <w:rPr>
                <w:sz w:val="16"/>
                <w:szCs w:val="16"/>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30,233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6"/>
                <w:szCs w:val="16"/>
                <w:color w:val="auto"/>
              </w:rPr>
              <w:t>Financial income, net</w:t>
            </w: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(1.318)</w:t>
            </w: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(1,374)</w:t>
            </w:r>
          </w:p>
        </w:tc>
        <w:tc>
          <w:tcPr>
            <w:tcW w:w="240" w:type="dxa"/>
            <w:vAlign w:val="bottom"/>
            <w:shd w:val="clear" w:color="auto" w:fill="CCEEFF"/>
          </w:tcPr>
          <w:p>
            <w:pPr>
              <w:spacing w:after="0"/>
              <w:rPr>
                <w:sz w:val="16"/>
                <w:szCs w:val="16"/>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943</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69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3"/>
        </w:trPr>
        <w:tc>
          <w:tcPr>
            <w:tcW w:w="20" w:type="dxa"/>
            <w:vAlign w:val="bottom"/>
            <w:vMerge w:val="continue"/>
          </w:tcPr>
          <w:p>
            <w:pPr>
              <w:spacing w:after="0"/>
              <w:rPr>
                <w:sz w:val="16"/>
                <w:szCs w:val="16"/>
                <w:color w:val="auto"/>
              </w:rPr>
            </w:pPr>
          </w:p>
        </w:tc>
        <w:tc>
          <w:tcPr>
            <w:tcW w:w="6940" w:type="dxa"/>
            <w:vAlign w:val="bottom"/>
          </w:tcPr>
          <w:p>
            <w:pPr>
              <w:spacing w:after="0"/>
              <w:rPr>
                <w:sz w:val="20"/>
                <w:szCs w:val="20"/>
                <w:color w:val="auto"/>
              </w:rPr>
            </w:pPr>
            <w:r>
              <w:rPr>
                <w:rFonts w:ascii="Arial" w:cs="Arial" w:eastAsia="Arial" w:hAnsi="Arial"/>
                <w:sz w:val="16"/>
                <w:szCs w:val="16"/>
                <w:color w:val="auto"/>
              </w:rPr>
              <w:t>Loss before income taxes</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32,203</w:t>
            </w:r>
          </w:p>
        </w:tc>
        <w:tc>
          <w:tcPr>
            <w:tcW w:w="2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24,576</w:t>
            </w:r>
          </w:p>
        </w:tc>
        <w:tc>
          <w:tcPr>
            <w:tcW w:w="240" w:type="dxa"/>
            <w:vAlign w:val="bottom"/>
          </w:tcPr>
          <w:p>
            <w:pPr>
              <w:spacing w:after="0"/>
              <w:rPr>
                <w:sz w:val="16"/>
                <w:szCs w:val="16"/>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29,290</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Income taxes</w:t>
            </w: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40" w:type="dxa"/>
            <w:vAlign w:val="bottom"/>
            <w:tcBorders>
              <w:top w:val="single" w:sz="8" w:color="auto"/>
              <w:bottom w:val="single" w:sz="8" w:color="auto"/>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22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20" w:type="dxa"/>
            <w:vAlign w:val="bottom"/>
            <w:tcBorders>
              <w:top w:val="single" w:sz="8" w:color="auto"/>
              <w:bottom w:val="single" w:sz="8" w:color="auto"/>
            </w:tcBorders>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940" w:type="dxa"/>
            <w:vAlign w:val="bottom"/>
          </w:tcPr>
          <w:p>
            <w:pPr>
              <w:spacing w:after="0"/>
              <w:rPr>
                <w:sz w:val="20"/>
                <w:szCs w:val="20"/>
                <w:color w:val="auto"/>
              </w:rPr>
            </w:pPr>
            <w:r>
              <w:rPr>
                <w:rFonts w:ascii="Arial" w:cs="Arial" w:eastAsia="Arial" w:hAnsi="Arial"/>
                <w:sz w:val="16"/>
                <w:szCs w:val="16"/>
                <w:color w:val="auto"/>
              </w:rPr>
              <w:t>Loss for the year</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32,203</w:t>
            </w:r>
          </w:p>
        </w:tc>
        <w:tc>
          <w:tcPr>
            <w:tcW w:w="200" w:type="dxa"/>
            <w:vAlign w:val="bottom"/>
          </w:tcPr>
          <w:p>
            <w:pPr>
              <w:spacing w:after="0"/>
              <w:rPr>
                <w:sz w:val="16"/>
                <w:szCs w:val="16"/>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24,609</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29,290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Year ended December 31, 2019 compared to year ended December 31, 2020</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Collaboration Revenues</w:t>
      </w:r>
    </w:p>
    <w:p>
      <w:pPr>
        <w:spacing w:after="0" w:line="255" w:lineRule="exact"/>
        <w:rPr>
          <w:sz w:val="20"/>
          <w:szCs w:val="20"/>
          <w:color w:val="auto"/>
        </w:rPr>
      </w:pPr>
    </w:p>
    <w:p>
      <w:pPr>
        <w:jc w:val="both"/>
        <w:ind w:firstLine="568"/>
        <w:spacing w:after="0" w:line="318" w:lineRule="auto"/>
        <w:rPr>
          <w:sz w:val="20"/>
          <w:szCs w:val="20"/>
          <w:color w:val="auto"/>
        </w:rPr>
      </w:pPr>
      <w:r>
        <w:rPr>
          <w:rFonts w:ascii="Arial" w:cs="Arial" w:eastAsia="Arial" w:hAnsi="Arial"/>
          <w:sz w:val="17"/>
          <w:szCs w:val="17"/>
          <w:color w:val="auto"/>
        </w:rPr>
        <w:t>Revenues are comprised mainly of royalties earned under a collaboration agreement with Perrigo related to the first generic version of Zovirax® (acyclovir) cream, 5%, which generated$8.7 million in 2020, compared with $22.8 million in 2019. The decrease in revenues in 2020 resulted mainly from the entrance of an additional generic version of this product into the market and to a certain extent the impact of COVID-19.</w:t>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Research and development expenses</w:t>
      </w:r>
    </w:p>
    <w:p>
      <w:pPr>
        <w:spacing w:after="0" w:line="255"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following table describes the breakdown of our research and development expenses for the indicated periods:</w:t>
      </w:r>
    </w:p>
    <w:p>
      <w:pPr>
        <w:spacing w:after="0" w:line="245" w:lineRule="exact"/>
        <w:rPr>
          <w:sz w:val="20"/>
          <w:szCs w:val="20"/>
          <w:color w:val="auto"/>
        </w:rPr>
      </w:pPr>
    </w:p>
    <w:tbl>
      <w:tblPr>
        <w:tblLayout w:type="fixed"/>
        <w:tblInd w:w="56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8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60" w:type="dxa"/>
            <w:vAlign w:val="bottom"/>
            <w:gridSpan w:val="5"/>
          </w:tcPr>
          <w:p>
            <w:pPr>
              <w:jc w:val="right"/>
              <w:ind w:right="400"/>
              <w:spacing w:after="0"/>
              <w:rPr>
                <w:sz w:val="20"/>
                <w:szCs w:val="20"/>
                <w:color w:val="auto"/>
              </w:rPr>
            </w:pPr>
            <w:r>
              <w:rPr>
                <w:rFonts w:ascii="Arial" w:cs="Arial" w:eastAsia="Arial" w:hAnsi="Arial"/>
                <w:sz w:val="16"/>
                <w:szCs w:val="16"/>
                <w:b w:val="1"/>
                <w:bCs w:val="1"/>
                <w:color w:val="auto"/>
                <w:w w:val="93"/>
              </w:rPr>
              <w:t>Year Ended December 31,</w:t>
            </w: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860" w:type="dxa"/>
            <w:vAlign w:val="bottom"/>
            <w:tcBorders>
              <w:top w:val="single" w:sz="8" w:color="auto"/>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rPr>
              <w:t>2019</w:t>
            </w:r>
          </w:p>
        </w:tc>
        <w:tc>
          <w:tcPr>
            <w:tcW w:w="220" w:type="dxa"/>
            <w:vAlign w:val="bottom"/>
            <w:tcBorders>
              <w:top w:val="single" w:sz="8" w:color="auto"/>
            </w:tcBorders>
          </w:tcPr>
          <w:p>
            <w:pPr>
              <w:spacing w:after="0"/>
              <w:rPr>
                <w:sz w:val="16"/>
                <w:szCs w:val="16"/>
                <w:color w:val="auto"/>
              </w:rPr>
            </w:pPr>
          </w:p>
        </w:tc>
        <w:tc>
          <w:tcPr>
            <w:tcW w:w="380" w:type="dxa"/>
            <w:vAlign w:val="bottom"/>
            <w:tcBorders>
              <w:top w:val="single" w:sz="8" w:color="auto"/>
              <w:bottom w:val="single" w:sz="8" w:color="auto"/>
            </w:tcBorders>
          </w:tcPr>
          <w:p>
            <w:pPr>
              <w:spacing w:after="0"/>
              <w:rPr>
                <w:sz w:val="16"/>
                <w:szCs w:val="16"/>
                <w:color w:val="auto"/>
              </w:rPr>
            </w:pPr>
          </w:p>
        </w:tc>
        <w:tc>
          <w:tcPr>
            <w:tcW w:w="680" w:type="dxa"/>
            <w:vAlign w:val="bottom"/>
            <w:tcBorders>
              <w:top w:val="single" w:sz="8" w:color="auto"/>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w w:val="84"/>
              </w:rPr>
              <w:t>2020</w:t>
            </w:r>
          </w:p>
        </w:tc>
        <w:tc>
          <w:tcPr>
            <w:tcW w:w="120" w:type="dxa"/>
            <w:vAlign w:val="bottom"/>
          </w:tcPr>
          <w:p>
            <w:pPr>
              <w:spacing w:after="0"/>
              <w:rPr>
                <w:sz w:val="16"/>
                <w:szCs w:val="16"/>
                <w:color w:val="auto"/>
              </w:rPr>
            </w:pP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01"/>
              <w:spacing w:after="0"/>
              <w:rPr>
                <w:sz w:val="20"/>
                <w:szCs w:val="20"/>
                <w:color w:val="auto"/>
              </w:rPr>
            </w:pPr>
            <w:r>
              <w:rPr>
                <w:rFonts w:ascii="Arial" w:cs="Arial" w:eastAsia="Arial" w:hAnsi="Arial"/>
                <w:sz w:val="16"/>
                <w:szCs w:val="16"/>
                <w:b w:val="1"/>
                <w:bCs w:val="1"/>
                <w:color w:val="auto"/>
              </w:rPr>
              <w:t>(in</w:t>
            </w:r>
          </w:p>
        </w:tc>
        <w:tc>
          <w:tcPr>
            <w:tcW w:w="600" w:type="dxa"/>
            <w:vAlign w:val="bottom"/>
            <w:tcBorders>
              <w:bottom w:val="single" w:sz="8" w:color="auto"/>
            </w:tcBorders>
            <w:gridSpan w:val="2"/>
          </w:tcPr>
          <w:p>
            <w:pPr>
              <w:jc w:val="right"/>
              <w:spacing w:after="0"/>
              <w:rPr>
                <w:sz w:val="20"/>
                <w:szCs w:val="20"/>
                <w:color w:val="auto"/>
              </w:rPr>
            </w:pPr>
            <w:r>
              <w:rPr>
                <w:rFonts w:ascii="Arial" w:cs="Arial" w:eastAsia="Arial" w:hAnsi="Arial"/>
                <w:sz w:val="15"/>
                <w:szCs w:val="15"/>
                <w:b w:val="1"/>
                <w:bCs w:val="1"/>
                <w:color w:val="auto"/>
                <w:w w:val="71"/>
              </w:rPr>
              <w:t>thousands)</w:t>
            </w:r>
          </w:p>
        </w:tc>
        <w:tc>
          <w:tcPr>
            <w:tcW w:w="6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Payroll and related expenses</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6,001</w:t>
            </w:r>
          </w:p>
        </w:tc>
        <w:tc>
          <w:tcPr>
            <w:tcW w:w="220" w:type="dxa"/>
            <w:vAlign w:val="bottom"/>
            <w:shd w:val="clear" w:color="auto" w:fill="CCEEFF"/>
          </w:tcPr>
          <w:p>
            <w:pPr>
              <w:spacing w:after="0"/>
              <w:rPr>
                <w:sz w:val="16"/>
                <w:szCs w:val="16"/>
                <w:color w:val="auto"/>
              </w:rPr>
            </w:pPr>
          </w:p>
        </w:tc>
        <w:tc>
          <w:tcPr>
            <w:tcW w:w="380" w:type="dxa"/>
            <w:vAlign w:val="bottom"/>
            <w:shd w:val="clear" w:color="auto" w:fill="CCEEFF"/>
          </w:tcPr>
          <w:p>
            <w:pPr>
              <w:jc w:val="right"/>
              <w:ind w:right="227"/>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6,194</w:t>
            </w:r>
          </w:p>
        </w:tc>
        <w:tc>
          <w:tcPr>
            <w:tcW w:w="120" w:type="dxa"/>
            <w:vAlign w:val="bottom"/>
            <w:shd w:val="clear" w:color="auto" w:fill="CCEEFF"/>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Clinical trial expenses</w:t>
            </w:r>
          </w:p>
        </w:tc>
        <w:tc>
          <w:tcPr>
            <w:tcW w:w="20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23,037</w:t>
            </w:r>
          </w:p>
        </w:tc>
        <w:tc>
          <w:tcPr>
            <w:tcW w:w="2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6"/>
                <w:szCs w:val="16"/>
                <w:color w:val="auto"/>
              </w:rPr>
              <w:t>5,179</w:t>
            </w: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Professional consulting and subcontracted work</w:t>
            </w:r>
          </w:p>
        </w:tc>
        <w:tc>
          <w:tcPr>
            <w:tcW w:w="20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7,425</w:t>
            </w:r>
          </w:p>
        </w:tc>
        <w:tc>
          <w:tcPr>
            <w:tcW w:w="22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12,855</w:t>
            </w: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Other</w:t>
            </w:r>
          </w:p>
        </w:tc>
        <w:tc>
          <w:tcPr>
            <w:tcW w:w="20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4,115</w:t>
            </w:r>
          </w:p>
        </w:tc>
        <w:tc>
          <w:tcPr>
            <w:tcW w:w="2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6"/>
                <w:szCs w:val="16"/>
                <w:color w:val="auto"/>
              </w:rPr>
              <w:t>3,685</w:t>
            </w:r>
          </w:p>
        </w:tc>
      </w:tr>
      <w:tr>
        <w:trPr>
          <w:trHeight w:val="229"/>
        </w:trPr>
        <w:tc>
          <w:tcPr>
            <w:tcW w:w="20" w:type="dxa"/>
            <w:vAlign w:val="bottom"/>
          </w:tcPr>
          <w:p>
            <w:pPr>
              <w:spacing w:after="0"/>
              <w:rPr>
                <w:sz w:val="19"/>
                <w:szCs w:val="19"/>
                <w:color w:val="auto"/>
              </w:rPr>
            </w:pPr>
          </w:p>
        </w:tc>
        <w:tc>
          <w:tcPr>
            <w:tcW w:w="8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research and development expenses</w:t>
            </w: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40,578</w:t>
            </w:r>
          </w:p>
        </w:tc>
        <w:tc>
          <w:tcPr>
            <w:tcW w:w="22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top w:val="single" w:sz="8" w:color="auto"/>
              <w:bottom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27,913</w:t>
            </w:r>
          </w:p>
        </w:tc>
        <w:tc>
          <w:tcPr>
            <w:tcW w:w="120" w:type="dxa"/>
            <w:vAlign w:val="bottom"/>
            <w:tcBorders>
              <w:bottom w:val="single" w:sz="8" w:color="CCEEFF"/>
            </w:tcBorders>
            <w:shd w:val="clear" w:color="auto" w:fill="CCEEFF"/>
          </w:tcPr>
          <w:p>
            <w:pPr>
              <w:spacing w:after="0"/>
              <w:rPr>
                <w:sz w:val="19"/>
                <w:szCs w:val="19"/>
                <w:color w:val="auto"/>
              </w:rPr>
            </w:pPr>
          </w:p>
        </w:tc>
      </w:tr>
    </w:tbl>
    <w:p>
      <w:pPr>
        <w:spacing w:after="0" w:line="229" w:lineRule="exact"/>
        <w:rPr>
          <w:sz w:val="20"/>
          <w:szCs w:val="20"/>
          <w:color w:val="auto"/>
        </w:rPr>
      </w:pPr>
    </w:p>
    <w:p>
      <w:pPr>
        <w:jc w:val="both"/>
        <w:ind w:firstLine="568"/>
        <w:spacing w:after="0" w:line="287" w:lineRule="auto"/>
        <w:rPr>
          <w:sz w:val="20"/>
          <w:szCs w:val="20"/>
          <w:color w:val="auto"/>
        </w:rPr>
      </w:pPr>
      <w:r>
        <w:rPr>
          <w:rFonts w:ascii="Arial" w:cs="Arial" w:eastAsia="Arial" w:hAnsi="Arial"/>
          <w:sz w:val="18"/>
          <w:szCs w:val="18"/>
          <w:color w:val="auto"/>
        </w:rPr>
        <w:t>Our research and development expenses were $40.6 million for the year ended December 31, 2019, compared to $27.9 million for the year ended December 31, 2020. The decrease of $12.7 million was mainly attributed to a decrease of $17.9 million in clinical trial expenses, mainly related to the completion of the clinical trials of Epsolay and Twyneo, towards the end of 2019, a decrease of $0.4 million in other expenses, mainly purchase of raw material for manufacturing, partially offset by an increase of $5.4 million in manufacturing expenses.</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91" w:name="page92"/>
    <w:bookmarkEnd w:id="91"/>
    <w:p>
      <w:pPr>
        <w:spacing w:after="0"/>
        <w:rPr>
          <w:sz w:val="20"/>
          <w:szCs w:val="20"/>
          <w:color w:val="auto"/>
        </w:rPr>
      </w:pPr>
      <w:r>
        <w:rPr>
          <w:rFonts w:ascii="Arial" w:cs="Arial" w:eastAsia="Arial" w:hAnsi="Arial"/>
          <w:sz w:val="19"/>
          <w:szCs w:val="19"/>
          <w:b w:val="1"/>
          <w:bCs w:val="1"/>
          <w:i w:val="1"/>
          <w:iCs w:val="1"/>
          <w:color w:val="auto"/>
        </w:rPr>
        <w:t>General and administrative expenses</w:t>
      </w:r>
    </w:p>
    <w:p>
      <w:pPr>
        <w:spacing w:after="0" w:line="255"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Our general and administrative expenses were $8.3 million for the year ended December 31, 2019, compared to $11.1 million for the year ended December 31, 2020. The increase of $2.8 million was mainly attributed to an increase of $3.0 million in commercialization expenses and an increase of $0.4 million in patent related expenses, partially offset by a decrease of $0.7 million in stock based compensation expenses.</w:t>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Financial income, net</w:t>
      </w:r>
    </w:p>
    <w:p>
      <w:pPr>
        <w:spacing w:after="0" w:line="255"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Our financial income, net, was $1.4 million for the year ended December 31, 2019 compared to $0.9 million for the year ended December 31, 2020.</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Year ended December 31, 2018 compared to year ended December 31, 2019</w:t>
      </w:r>
    </w:p>
    <w:p>
      <w:pPr>
        <w:spacing w:after="0" w:line="261" w:lineRule="exact"/>
        <w:rPr>
          <w:sz w:val="20"/>
          <w:szCs w:val="20"/>
          <w:color w:val="auto"/>
        </w:rPr>
      </w:pPr>
    </w:p>
    <w:p>
      <w:pPr>
        <w:ind w:left="560"/>
        <w:spacing w:after="0" w:line="219" w:lineRule="exact"/>
        <w:rPr>
          <w:sz w:val="20"/>
          <w:szCs w:val="20"/>
          <w:color w:val="auto"/>
        </w:rPr>
      </w:pPr>
      <w:r>
        <w:rPr>
          <w:rFonts w:ascii="Arial" w:cs="Arial" w:eastAsia="Arial" w:hAnsi="Arial"/>
          <w:sz w:val="19"/>
          <w:szCs w:val="19"/>
          <w:color w:val="auto"/>
        </w:rPr>
        <w:t>This analysis can be found in Item 5 of the Company’s Annual Report on Form 20</w:t>
      </w:r>
      <w:r>
        <w:rPr>
          <w:rFonts w:ascii="MS PGothic" w:cs="MS PGothic" w:eastAsia="MS PGothic" w:hAnsi="MS PGothic"/>
          <w:sz w:val="19"/>
          <w:szCs w:val="19"/>
          <w:color w:val="auto"/>
        </w:rPr>
        <w:t>‑</w:t>
      </w:r>
      <w:r>
        <w:rPr>
          <w:rFonts w:ascii="Arial" w:cs="Arial" w:eastAsia="Arial" w:hAnsi="Arial"/>
          <w:sz w:val="19"/>
          <w:szCs w:val="19"/>
          <w:color w:val="auto"/>
        </w:rPr>
        <w:t>F for the year ended December 31, 2019.</w:t>
      </w: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Significant Accounting Policies and Estimates</w:t>
      </w:r>
    </w:p>
    <w:p>
      <w:pPr>
        <w:spacing w:after="0" w:line="261"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We prepare our consolidated financial statements in conformity with U.S. GAAP. We describe our significant accounting policies and estimates more fully in Note 2 to our consolidated financial statements as of and for the year ended December 31, 2020, included elsewhere in this annual report. We believe that the accounting policies and estimates below are critical in order to fully understand and evaluate our financial condition and results of operations. In preparing these consolidated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consolidated financial statements included in this annual report, the most significant estimates and assumptions relate to the fair value of share-based compensation.</w:t>
      </w:r>
    </w:p>
    <w:p>
      <w:pPr>
        <w:spacing w:after="0" w:line="19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Share-based Compensation</w:t>
      </w:r>
    </w:p>
    <w:p>
      <w:pPr>
        <w:spacing w:after="0" w:line="261"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19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Options Valuation</w:t>
      </w:r>
    </w:p>
    <w:p>
      <w:pPr>
        <w:spacing w:after="0" w:line="255"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We selected the Black-Scholes option pricing model as the most appropriate method for determining the estimated fair value of the shared based compensation.</w:t>
      </w:r>
    </w:p>
    <w:p>
      <w:pPr>
        <w:spacing w:after="0" w:line="193"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These parameters include the expected volatility of our share price over the expected term of the options, the risk-free interest rate assumption, and the term the that options are expected to remain outstanding.</w:t>
      </w:r>
    </w:p>
    <w:p>
      <w:pPr>
        <w:spacing w:after="0" w:line="204" w:lineRule="exact"/>
        <w:rPr>
          <w:sz w:val="20"/>
          <w:szCs w:val="20"/>
          <w:color w:val="auto"/>
        </w:rPr>
      </w:pPr>
    </w:p>
    <w:p>
      <w:pPr>
        <w:ind w:left="40"/>
        <w:spacing w:after="0"/>
        <w:rPr>
          <w:sz w:val="20"/>
          <w:szCs w:val="20"/>
          <w:color w:val="auto"/>
        </w:rPr>
      </w:pPr>
      <w:r>
        <w:rPr>
          <w:rFonts w:ascii="Arial" w:cs="Arial" w:eastAsia="Arial" w:hAnsi="Arial"/>
          <w:sz w:val="19"/>
          <w:szCs w:val="19"/>
          <w:b w:val="1"/>
          <w:bCs w:val="1"/>
          <w:color w:val="auto"/>
        </w:rPr>
        <w:t>JOBS Act</w:t>
      </w:r>
    </w:p>
    <w:p>
      <w:pPr>
        <w:spacing w:after="0" w:line="261" w:lineRule="exact"/>
        <w:rPr>
          <w:sz w:val="20"/>
          <w:szCs w:val="20"/>
          <w:color w:val="auto"/>
        </w:rPr>
      </w:pPr>
    </w:p>
    <w:p>
      <w:pPr>
        <w:jc w:val="both"/>
        <w:ind w:firstLine="568"/>
        <w:spacing w:after="0" w:line="262" w:lineRule="auto"/>
        <w:rPr>
          <w:sz w:val="20"/>
          <w:szCs w:val="20"/>
          <w:color w:val="auto"/>
        </w:rPr>
      </w:pPr>
      <w:r>
        <w:rPr>
          <w:rFonts w:ascii="Arial" w:cs="Arial" w:eastAsia="Arial" w:hAnsi="Arial"/>
          <w:sz w:val="19"/>
          <w:szCs w:val="19"/>
          <w:color w:val="auto"/>
        </w:rPr>
        <w:t>On April 5, 2012, the JOBS Act was signed into law. Subject to certain conditions set forth in the JOBS Act, as an “emerging growth company,” we elected or may elect to rely on certain exemptions, including without limitation, not (i) providing an auditor’s attestation report on our system of internal controls over financial reporting pursuant to Section 404 and (ii) 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w:t>
      </w:r>
    </w:p>
    <w:p>
      <w:pPr>
        <w:sectPr>
          <w:pgSz w:w="11900" w:h="16838" w:orient="portrait"/>
          <w:cols w:equalWidth="0" w:num="1">
            <w:col w:w="11260"/>
          </w:cols>
          <w:pgMar w:left="320" w:top="132" w:right="319" w:bottom="1440" w:gutter="0" w:footer="0" w:header="0"/>
        </w:sectPr>
      </w:pPr>
    </w:p>
    <w:p>
      <w:pPr>
        <w:spacing w:after="0" w:line="361"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53340</wp:posOffset>
            </wp:positionV>
            <wp:extent cx="7149465" cy="1524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type w:val="continuous"/>
        </w:sectPr>
      </w:pPr>
    </w:p>
    <w:bookmarkStart w:id="92" w:name="page93"/>
    <w:bookmarkEnd w:id="92"/>
    <w:p>
      <w:pPr>
        <w:ind w:left="745" w:hanging="745"/>
        <w:spacing w:after="0"/>
        <w:tabs>
          <w:tab w:leader="none" w:pos="745" w:val="left"/>
        </w:tabs>
        <w:numPr>
          <w:ilvl w:val="0"/>
          <w:numId w:val="66"/>
        </w:numPr>
        <w:rPr>
          <w:rFonts w:ascii="Arial" w:cs="Arial" w:eastAsia="Arial" w:hAnsi="Arial"/>
          <w:sz w:val="19"/>
          <w:szCs w:val="19"/>
          <w:b w:val="1"/>
          <w:bCs w:val="1"/>
          <w:color w:val="auto"/>
        </w:rPr>
      </w:pPr>
      <w:r>
        <w:rPr>
          <w:rFonts w:ascii="Arial" w:cs="Arial" w:eastAsia="Arial" w:hAnsi="Arial"/>
          <w:sz w:val="19"/>
          <w:szCs w:val="19"/>
          <w:b w:val="1"/>
          <w:bCs w:val="1"/>
          <w:color w:val="auto"/>
        </w:rPr>
        <w:t>Liquidity and Capital Resources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Overview</w:t>
      </w:r>
    </w:p>
    <w:p>
      <w:pPr>
        <w:spacing w:after="0" w:line="255" w:lineRule="exact"/>
        <w:rPr>
          <w:sz w:val="20"/>
          <w:szCs w:val="20"/>
          <w:color w:val="auto"/>
        </w:rPr>
      </w:pPr>
    </w:p>
    <w:p>
      <w:pPr>
        <w:jc w:val="both"/>
        <w:ind w:left="5" w:firstLine="568"/>
        <w:spacing w:after="0" w:line="308" w:lineRule="auto"/>
        <w:rPr>
          <w:sz w:val="20"/>
          <w:szCs w:val="20"/>
          <w:color w:val="auto"/>
        </w:rPr>
      </w:pPr>
      <w:r>
        <w:rPr>
          <w:rFonts w:ascii="Arial" w:cs="Arial" w:eastAsia="Arial" w:hAnsi="Arial"/>
          <w:sz w:val="17"/>
          <w:szCs w:val="17"/>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Although we are expected to launch an additional generic product in 2021, we do not currently have any approved products other than the first generic version of Zovirax® (acyclovir) cream, 5% for which Perrigo, our collaborator, received final FDA approval in February 2019.</w:t>
      </w:r>
    </w:p>
    <w:p>
      <w:pPr>
        <w:spacing w:after="0" w:line="179" w:lineRule="exact"/>
        <w:rPr>
          <w:sz w:val="20"/>
          <w:szCs w:val="20"/>
          <w:color w:val="auto"/>
        </w:rPr>
      </w:pPr>
    </w:p>
    <w:p>
      <w:pPr>
        <w:jc w:val="both"/>
        <w:ind w:left="5" w:firstLine="568"/>
        <w:spacing w:after="0" w:line="263" w:lineRule="auto"/>
        <w:rPr>
          <w:sz w:val="20"/>
          <w:szCs w:val="20"/>
          <w:color w:val="auto"/>
        </w:rPr>
      </w:pPr>
      <w:r>
        <w:rPr>
          <w:rFonts w:ascii="Arial" w:cs="Arial" w:eastAsia="Arial" w:hAnsi="Arial"/>
          <w:sz w:val="19"/>
          <w:szCs w:val="19"/>
          <w:color w:val="auto"/>
        </w:rPr>
        <w:t>From inception through December 31, 2020, we have funded our operations primarily through proceeds from our public offerings, the issuance of equity securities to and loans and investments from our controlling shareholder, funding received from the IIA and from amounts received pursuant to past and current collaboration agreements. We automatically converted our outstanding promissory note between us and our controlling shareholder into an aggregate of 5,444,825 ordinary shares immediately prior to the closing of our initial public offering. For a description of the conversion of our shareholder loan agreement, see “Item 7. Major Shareholders and Related Party Transactions – B. Related Party Transactions — Loan Agreements with Our Controlling Shareholder.” As of December 31, 2020, our cash and cash equivalents, bank deposits and marketable securities were $50.2 million.</w:t>
      </w:r>
    </w:p>
    <w:p>
      <w:pPr>
        <w:spacing w:after="0" w:line="216" w:lineRule="exact"/>
        <w:rPr>
          <w:sz w:val="20"/>
          <w:szCs w:val="20"/>
          <w:color w:val="auto"/>
        </w:rPr>
      </w:pPr>
    </w:p>
    <w:p>
      <w:pPr>
        <w:jc w:val="both"/>
        <w:ind w:left="5" w:firstLine="637"/>
        <w:spacing w:after="0" w:line="267" w:lineRule="auto"/>
        <w:rPr>
          <w:sz w:val="20"/>
          <w:szCs w:val="20"/>
          <w:color w:val="auto"/>
        </w:rPr>
      </w:pPr>
      <w:r>
        <w:rPr>
          <w:rFonts w:ascii="Arial" w:cs="Arial" w:eastAsia="Arial" w:hAnsi="Arial"/>
          <w:sz w:val="19"/>
          <w:szCs w:val="19"/>
          <w:color w:val="auto"/>
        </w:rPr>
        <w:t>On February 5, 2018, we announced the closing of our initial public offering of 7,187,500 ordinary shares at a public offering price of $12.00 per ordinary share, which included the exercise in full by the underwriters of their option to purchase up to 937,500 additional shares. The aggregate net proceeds to us from the offering were approximately $78.8 million, after deducting underwriting discounts and commissions and before deducting other offering expenses.</w:t>
      </w:r>
    </w:p>
    <w:p>
      <w:pPr>
        <w:spacing w:after="0" w:line="210" w:lineRule="exact"/>
        <w:rPr>
          <w:sz w:val="20"/>
          <w:szCs w:val="20"/>
          <w:color w:val="auto"/>
        </w:rPr>
      </w:pPr>
    </w:p>
    <w:p>
      <w:pPr>
        <w:jc w:val="both"/>
        <w:ind w:left="5" w:right="20" w:firstLine="568"/>
        <w:spacing w:after="0" w:line="267" w:lineRule="auto"/>
        <w:rPr>
          <w:sz w:val="20"/>
          <w:szCs w:val="20"/>
          <w:color w:val="auto"/>
        </w:rPr>
      </w:pPr>
      <w:r>
        <w:rPr>
          <w:rFonts w:ascii="Arial" w:cs="Arial" w:eastAsia="Arial" w:hAnsi="Arial"/>
          <w:sz w:val="19"/>
          <w:szCs w:val="19"/>
          <w:color w:val="auto"/>
        </w:rPr>
        <w:t>On August 12, 2019, the Company completed an underwritten public offering in which it issued 1,437,500 ordinary shares, including the full exercise by the underwriters of their option to purchase 187,500 additional ordinary shares, at a public offering price of $8.00 per ordinary share. The total proceeds received from the offering were approximately $10.8 million net of underwriting discounts and commissions and without deducting other offering expenses.</w:t>
      </w:r>
    </w:p>
    <w:p>
      <w:pPr>
        <w:spacing w:after="0" w:line="210" w:lineRule="exact"/>
        <w:rPr>
          <w:sz w:val="20"/>
          <w:szCs w:val="20"/>
          <w:color w:val="auto"/>
        </w:rPr>
      </w:pPr>
    </w:p>
    <w:p>
      <w:pPr>
        <w:jc w:val="both"/>
        <w:ind w:left="5" w:firstLine="568"/>
        <w:spacing w:after="0" w:line="282" w:lineRule="auto"/>
        <w:rPr>
          <w:sz w:val="20"/>
          <w:szCs w:val="20"/>
          <w:color w:val="auto"/>
        </w:rPr>
      </w:pPr>
      <w:r>
        <w:rPr>
          <w:rFonts w:ascii="Arial" w:cs="Arial" w:eastAsia="Arial" w:hAnsi="Arial"/>
          <w:sz w:val="18"/>
          <w:szCs w:val="18"/>
          <w:color w:val="auto"/>
        </w:rPr>
        <w:t>On February 19, 2020 the Company completed an underwritten public offering in which it issued 2,091,907 ordinary shares together with ordinary share warrants to purchase 1,673,525 ordinary shares. The ordinary shares and accompanying warrants were sold together at a combined public offering price of $11.00 per ordinary share and accompanying warrant. Each warrant sold in the underwritten public offering is exercisable for 0.80 of an ordinary share and has an initial exercise price of $14.00 per share, subject to certain adjustments. The warrants are immediately exercisable and will expire on February 19, 2023. The total proceeds received from the offering were approximately $21.6 million net of underwriting discounts and commissions and without deducting other offering expenses.</w:t>
      </w:r>
    </w:p>
    <w:p>
      <w:pPr>
        <w:spacing w:after="0" w:line="196"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In addition M. Arkin Dermatology Ltd., the controlling shareholder of the Company, has purchased 454,628 ordinary shares and warrants to purchase up to 363,702 ordinary shares in a concurrent private placement, exempt from the registration of the Securities Act of 1933, as amended, at a price equal to the public offering price of the ordinary shares and accompanying warrants in the underwritten public offering. The private placement has generated proceeds of approximately $5 million.</w:t>
      </w:r>
    </w:p>
    <w:p>
      <w:pPr>
        <w:spacing w:after="0" w:line="210"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The Company was informed by its collaboration partner that the launch of an FDA-approved generic drug is expected in the second quarter of 2021. Annual sales of the brand name exceed $180 million in the United States in 2019.</w:t>
      </w:r>
    </w:p>
    <w:p>
      <w:pPr>
        <w:spacing w:after="0" w:line="33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93" w:name="page94"/>
    <w:bookmarkEnd w:id="93"/>
    <w:p>
      <w:pPr>
        <w:spacing w:after="0"/>
        <w:rPr>
          <w:sz w:val="20"/>
          <w:szCs w:val="20"/>
          <w:color w:val="auto"/>
        </w:rPr>
      </w:pPr>
      <w:r>
        <w:rPr>
          <w:rFonts w:ascii="Arial" w:cs="Arial" w:eastAsia="Arial" w:hAnsi="Arial"/>
          <w:sz w:val="19"/>
          <w:szCs w:val="19"/>
          <w:color w:val="auto"/>
        </w:rPr>
        <w:t>The table below summarizes our cash flow activities for the indicated periods: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20" w:type="dxa"/>
            <w:vAlign w:val="bottom"/>
          </w:tcPr>
          <w:p>
            <w:pPr>
              <w:spacing w:after="0"/>
              <w:rPr>
                <w:sz w:val="16"/>
                <w:szCs w:val="16"/>
                <w:color w:val="auto"/>
              </w:rPr>
            </w:pPr>
          </w:p>
        </w:tc>
        <w:tc>
          <w:tcPr>
            <w:tcW w:w="7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0"/>
              </w:rPr>
              <w:t>Year Ended</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3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gridSpan w:val="2"/>
          </w:tcPr>
          <w:p>
            <w:pPr>
              <w:jc w:val="center"/>
              <w:ind w:right="260"/>
              <w:spacing w:after="0"/>
              <w:rPr>
                <w:sz w:val="20"/>
                <w:szCs w:val="20"/>
                <w:color w:val="auto"/>
              </w:rPr>
            </w:pPr>
            <w:r>
              <w:rPr>
                <w:rFonts w:ascii="Arial" w:cs="Arial" w:eastAsia="Arial" w:hAnsi="Arial"/>
                <w:sz w:val="16"/>
                <w:szCs w:val="16"/>
                <w:b w:val="1"/>
                <w:bCs w:val="1"/>
                <w:color w:val="auto"/>
                <w:w w:val="88"/>
              </w:rPr>
              <w:t>December 31,</w:t>
            </w:r>
          </w:p>
        </w:tc>
        <w:tc>
          <w:tcPr>
            <w:tcW w:w="8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3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2018</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2019</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3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7"/>
              </w:rPr>
              <w:t>(in thousands)</w:t>
            </w:r>
          </w:p>
        </w:tc>
        <w:tc>
          <w:tcPr>
            <w:tcW w:w="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6"/>
                <w:szCs w:val="16"/>
                <w:color w:val="auto"/>
              </w:rPr>
              <w:t>Net cash used in operating activities</w:t>
            </w: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(23,467)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(22,500)</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(25,241)</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300" w:type="dxa"/>
            <w:vAlign w:val="bottom"/>
          </w:tcPr>
          <w:p>
            <w:pPr>
              <w:spacing w:after="0"/>
              <w:rPr>
                <w:sz w:val="20"/>
                <w:szCs w:val="20"/>
                <w:color w:val="auto"/>
              </w:rPr>
            </w:pPr>
            <w:r>
              <w:rPr>
                <w:rFonts w:ascii="Arial" w:cs="Arial" w:eastAsia="Arial" w:hAnsi="Arial"/>
                <w:sz w:val="16"/>
                <w:szCs w:val="16"/>
                <w:color w:val="auto"/>
              </w:rPr>
              <w:t>Net cash provided by (used in) investing activities</w:t>
            </w:r>
          </w:p>
        </w:tc>
        <w:tc>
          <w:tcPr>
            <w:tcW w:w="26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(54,735)</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16,024</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(2,694)</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6"/>
                <w:szCs w:val="16"/>
                <w:color w:val="auto"/>
              </w:rPr>
              <w:t>Net cash provided by financing activities</w:t>
            </w: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78,819</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10,613</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26,457</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730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vMerge w:val="continue"/>
          </w:tcPr>
          <w:p>
            <w:pPr>
              <w:spacing w:after="0"/>
              <w:rPr>
                <w:sz w:val="16"/>
                <w:szCs w:val="16"/>
                <w:color w:val="auto"/>
              </w:rPr>
            </w:pPr>
          </w:p>
        </w:tc>
        <w:tc>
          <w:tcPr>
            <w:tcW w:w="7300" w:type="dxa"/>
            <w:vAlign w:val="bottom"/>
          </w:tcPr>
          <w:p>
            <w:pPr>
              <w:spacing w:after="0"/>
              <w:rPr>
                <w:sz w:val="20"/>
                <w:szCs w:val="20"/>
                <w:color w:val="auto"/>
              </w:rPr>
            </w:pPr>
            <w:r>
              <w:rPr>
                <w:rFonts w:ascii="Arial" w:cs="Arial" w:eastAsia="Arial" w:hAnsi="Arial"/>
                <w:sz w:val="16"/>
                <w:szCs w:val="16"/>
                <w:color w:val="auto"/>
              </w:rPr>
              <w:t>Increase (decrease) in cash and cash equivalents</w:t>
            </w: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617</w:t>
            </w:r>
          </w:p>
        </w:tc>
        <w:tc>
          <w:tcPr>
            <w:tcW w:w="140" w:type="dxa"/>
            <w:vAlign w:val="bottom"/>
          </w:tcPr>
          <w:p>
            <w:pPr>
              <w:spacing w:after="0"/>
              <w:rPr>
                <w:sz w:val="16"/>
                <w:szCs w:val="16"/>
                <w:color w:val="auto"/>
              </w:rPr>
            </w:pP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4,137</w:t>
            </w:r>
          </w:p>
        </w:tc>
        <w:tc>
          <w:tcPr>
            <w:tcW w:w="3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(1,478)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Operating Activities</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Net cash used in operating activities was $22.5 million during the year ended December 31, 2019, compared to $25.2 million during the year ended December 31, 2020.</w:t>
      </w:r>
    </w:p>
    <w:p>
      <w:pPr>
        <w:spacing w:after="0" w:line="193" w:lineRule="exact"/>
        <w:rPr>
          <w:sz w:val="20"/>
          <w:szCs w:val="20"/>
          <w:color w:val="auto"/>
        </w:rPr>
      </w:pPr>
    </w:p>
    <w:p>
      <w:pPr>
        <w:ind w:right="120" w:firstLine="568"/>
        <w:spacing w:after="0" w:line="271" w:lineRule="auto"/>
        <w:rPr>
          <w:sz w:val="20"/>
          <w:szCs w:val="20"/>
          <w:color w:val="auto"/>
        </w:rPr>
      </w:pPr>
      <w:r>
        <w:rPr>
          <w:rFonts w:ascii="Arial" w:cs="Arial" w:eastAsia="Arial" w:hAnsi="Arial"/>
          <w:sz w:val="19"/>
          <w:szCs w:val="19"/>
          <w:color w:val="auto"/>
        </w:rPr>
        <w:t>Net cash used in operating activities in the year ended December 31, 2020 primarily resulted from our loss of $29.3 million during the period, $1.6 million of net changes in working capital and non-cash expenses of $1.2 million share-based compensation expenses and $0.9 million of depreciation of property and equipment.</w:t>
      </w:r>
    </w:p>
    <w:p>
      <w:pPr>
        <w:spacing w:after="0" w:line="206" w:lineRule="exact"/>
        <w:rPr>
          <w:sz w:val="20"/>
          <w:szCs w:val="20"/>
          <w:color w:val="auto"/>
        </w:rPr>
      </w:pPr>
    </w:p>
    <w:p>
      <w:pPr>
        <w:ind w:right="420" w:firstLine="568"/>
        <w:spacing w:after="0" w:line="271" w:lineRule="auto"/>
        <w:rPr>
          <w:sz w:val="20"/>
          <w:szCs w:val="20"/>
          <w:color w:val="auto"/>
        </w:rPr>
      </w:pPr>
      <w:r>
        <w:rPr>
          <w:rFonts w:ascii="Arial" w:cs="Arial" w:eastAsia="Arial" w:hAnsi="Arial"/>
          <w:sz w:val="19"/>
          <w:szCs w:val="19"/>
          <w:color w:val="auto"/>
        </w:rPr>
        <w:t>Net cash used in operating activities in the year ended December 31, 2019 primarily resulted from our loss of $24.6 million during the period, a net increase of $1.5 million in working capital, net of non-cash expenses of $2.6 million share-based compensation expenses and $0.9 million of depreciation of property and equipment.</w:t>
      </w:r>
    </w:p>
    <w:p>
      <w:pPr>
        <w:spacing w:after="0" w:line="206" w:lineRule="exact"/>
        <w:rPr>
          <w:sz w:val="20"/>
          <w:szCs w:val="20"/>
          <w:color w:val="auto"/>
        </w:rPr>
      </w:pPr>
    </w:p>
    <w:p>
      <w:pPr>
        <w:ind w:right="20" w:firstLine="568"/>
        <w:spacing w:after="0" w:line="284" w:lineRule="auto"/>
        <w:rPr>
          <w:sz w:val="20"/>
          <w:szCs w:val="20"/>
          <w:color w:val="auto"/>
        </w:rPr>
      </w:pPr>
      <w:r>
        <w:rPr>
          <w:rFonts w:ascii="Arial" w:cs="Arial" w:eastAsia="Arial" w:hAnsi="Arial"/>
          <w:sz w:val="19"/>
          <w:szCs w:val="19"/>
          <w:color w:val="auto"/>
        </w:rPr>
        <w:t>Net cash used in operating activities was $23.5 million during the year ended December 31, 2018, compared to $22.5 million during the year ended December 31, 2019.</w:t>
      </w:r>
    </w:p>
    <w:p>
      <w:pPr>
        <w:spacing w:after="0" w:line="193" w:lineRule="exact"/>
        <w:rPr>
          <w:sz w:val="20"/>
          <w:szCs w:val="20"/>
          <w:color w:val="auto"/>
        </w:rPr>
      </w:pPr>
    </w:p>
    <w:p>
      <w:pPr>
        <w:ind w:right="120" w:firstLine="568"/>
        <w:spacing w:after="0" w:line="271" w:lineRule="auto"/>
        <w:rPr>
          <w:sz w:val="20"/>
          <w:szCs w:val="20"/>
          <w:color w:val="auto"/>
        </w:rPr>
      </w:pPr>
      <w:r>
        <w:rPr>
          <w:rFonts w:ascii="Arial" w:cs="Arial" w:eastAsia="Arial" w:hAnsi="Arial"/>
          <w:sz w:val="19"/>
          <w:szCs w:val="19"/>
          <w:color w:val="auto"/>
        </w:rPr>
        <w:t>Net cash used in operating activities in the year ended December 31, 2018 primarily resulted from our loss of $32.2 million during the period, $3.2 million of net changes in working capital and non- cash expenses of $4.7 million share-based compensation expenses and $0.8 million of depreciation of property and equipment.</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Investing Activities</w:t>
      </w:r>
    </w:p>
    <w:p>
      <w:pPr>
        <w:spacing w:after="0" w:line="255" w:lineRule="exact"/>
        <w:rPr>
          <w:sz w:val="20"/>
          <w:szCs w:val="20"/>
          <w:color w:val="auto"/>
        </w:rPr>
      </w:pPr>
    </w:p>
    <w:p>
      <w:pPr>
        <w:ind w:right="80"/>
        <w:spacing w:after="0" w:line="284" w:lineRule="auto"/>
        <w:rPr>
          <w:sz w:val="20"/>
          <w:szCs w:val="20"/>
          <w:color w:val="auto"/>
        </w:rPr>
      </w:pPr>
      <w:r>
        <w:rPr>
          <w:rFonts w:ascii="Arial" w:cs="Arial" w:eastAsia="Arial" w:hAnsi="Arial"/>
          <w:sz w:val="18"/>
          <w:szCs w:val="18"/>
          <w:color w:val="auto"/>
        </w:rPr>
        <w:t>Net cash provided by investing activities was $16.0 million during the year ended December 31, 2019, compared to net cash used in investing activities of $2.7 million during the year ended December 31, 2020. The 2019 net cash provided by investing activities resulted mainly from $15.6 million proceeds from marketable securities, net, and $1.0 million proceeds from bank deposits offset by investment of $0.6 million in property and equipment. The 2020 net cash used in investing activities resulted mainly from $19.2 million proceeds from marketable securities, net, offset by investment of $0.5 million in property and equipment and investment of $21.4 million in bank deposits.</w:t>
      </w:r>
    </w:p>
    <w:p>
      <w:pPr>
        <w:spacing w:after="0" w:line="195"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Net cash used in investing activities was $54.7 million during the year ended December 31, 2018, compared to net cash provided by investing activities of $16.0 million during the year ended December 31, 2019. The 2018 net cash used in investing activities resulted mainly from $56.7 million investment in marketable securities, net, and investment of $1.0 million in property and equipment offset by $3.0 million proceeds from bank deposits.</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94" w:name="page95"/>
    <w:bookmarkEnd w:id="94"/>
    <w:p>
      <w:pPr>
        <w:spacing w:after="0"/>
        <w:rPr>
          <w:sz w:val="20"/>
          <w:szCs w:val="20"/>
          <w:color w:val="auto"/>
        </w:rPr>
      </w:pPr>
      <w:r>
        <w:rPr>
          <w:rFonts w:ascii="Arial" w:cs="Arial" w:eastAsia="Arial" w:hAnsi="Arial"/>
          <w:sz w:val="19"/>
          <w:szCs w:val="19"/>
          <w:b w:val="1"/>
          <w:bCs w:val="1"/>
          <w:i w:val="1"/>
          <w:iCs w:val="1"/>
          <w:color w:val="auto"/>
        </w:rPr>
        <w:t>Financing Activities</w:t>
      </w:r>
    </w:p>
    <w:p>
      <w:pPr>
        <w:spacing w:after="0" w:line="255" w:lineRule="exact"/>
        <w:rPr>
          <w:sz w:val="20"/>
          <w:szCs w:val="20"/>
          <w:color w:val="auto"/>
        </w:rPr>
      </w:pPr>
    </w:p>
    <w:p>
      <w:pPr>
        <w:jc w:val="both"/>
        <w:ind w:right="20" w:firstLine="568"/>
        <w:spacing w:after="0" w:line="293" w:lineRule="auto"/>
        <w:rPr>
          <w:sz w:val="20"/>
          <w:szCs w:val="20"/>
          <w:color w:val="auto"/>
        </w:rPr>
      </w:pPr>
      <w:r>
        <w:rPr>
          <w:rFonts w:ascii="Arial" w:cs="Arial" w:eastAsia="Arial" w:hAnsi="Arial"/>
          <w:sz w:val="18"/>
          <w:szCs w:val="18"/>
          <w:color w:val="auto"/>
        </w:rPr>
        <w:t>Net cash from financing activities was $10.6 million during the year ended December 31, 2019, compared to $26.4 million during the year ended December 31, 2020. The increase was principally due to our underwritten public offering in 2019, net of issuance cost, of $10.6 million, compared to our underwritten public offering and private placement in 2020, net of issuance cost, of $26.3 million.</w:t>
      </w:r>
    </w:p>
    <w:p>
      <w:pPr>
        <w:spacing w:after="0" w:line="188"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Net cash from financing activities was $78.8 million during the year ended December 31, 2018, compared to $10.6 million during the year ended December 31, 2019. The decrease was due to our initial public offering in 2018, net of issuance cost, of $78.9 million, compared to our underwritten public offering in 2019, net of issuance cost, of $10.6 million.</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Funding Requirements</w:t>
      </w:r>
    </w:p>
    <w:p>
      <w:pPr>
        <w:spacing w:after="0" w:line="255"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 our product candidates. We believe that our existing cash resources will be sufficient to enable us to fund our operating expenses and capital expenditure requirements into the third quarter of 2022.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196"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Developing drugs, conducting clinical trials, obtaining commercial manufacturing capabilities and commercializing products is expensive and we will need to raise substantial additional funds 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189" w:lineRule="exact"/>
        <w:rPr>
          <w:sz w:val="20"/>
          <w:szCs w:val="20"/>
          <w:color w:val="auto"/>
        </w:rPr>
      </w:pPr>
    </w:p>
    <w:p>
      <w:pPr>
        <w:ind w:left="740" w:hanging="426"/>
        <w:spacing w:after="0"/>
        <w:tabs>
          <w:tab w:leader="none" w:pos="74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progress and expenses of our pre-clinical studies, clinical trials and other research and development activities;</w:t>
      </w:r>
    </w:p>
    <w:p>
      <w:pPr>
        <w:spacing w:after="0" w:line="16" w:lineRule="exact"/>
        <w:rPr>
          <w:rFonts w:ascii="Arial" w:cs="Arial" w:eastAsia="Arial" w:hAnsi="Arial"/>
          <w:sz w:val="16"/>
          <w:szCs w:val="16"/>
          <w:color w:val="auto"/>
        </w:rPr>
      </w:pPr>
    </w:p>
    <w:p>
      <w:pPr>
        <w:ind w:left="740" w:hanging="426"/>
        <w:spacing w:after="0"/>
        <w:tabs>
          <w:tab w:leader="none" w:pos="74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scope, prioritization and number of our clinical trials and other research and development programs;</w:t>
      </w:r>
    </w:p>
    <w:p>
      <w:pPr>
        <w:spacing w:after="0" w:line="5" w:lineRule="exact"/>
        <w:rPr>
          <w:rFonts w:ascii="Arial" w:cs="Arial" w:eastAsia="Arial" w:hAnsi="Arial"/>
          <w:sz w:val="16"/>
          <w:szCs w:val="16"/>
          <w:color w:val="auto"/>
        </w:rPr>
      </w:pPr>
    </w:p>
    <w:p>
      <w:pPr>
        <w:ind w:left="740" w:hanging="426"/>
        <w:spacing w:after="0"/>
        <w:tabs>
          <w:tab w:leader="none" w:pos="74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expenses and timing of obtaining regulatory approval, if any, for our product candidates;</w:t>
      </w:r>
    </w:p>
    <w:p>
      <w:pPr>
        <w:spacing w:after="0" w:line="5" w:lineRule="exact"/>
        <w:rPr>
          <w:rFonts w:ascii="Arial" w:cs="Arial" w:eastAsia="Arial" w:hAnsi="Arial"/>
          <w:sz w:val="16"/>
          <w:szCs w:val="16"/>
          <w:color w:val="auto"/>
        </w:rPr>
      </w:pPr>
    </w:p>
    <w:p>
      <w:pPr>
        <w:ind w:left="740" w:hanging="426"/>
        <w:spacing w:after="0"/>
        <w:tabs>
          <w:tab w:leader="none" w:pos="74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expenses of filing, prosecuting, enforcing and defending patent claims and other intellectual property rights;</w:t>
      </w:r>
    </w:p>
    <w:p>
      <w:pPr>
        <w:spacing w:after="0" w:line="5" w:lineRule="exact"/>
        <w:rPr>
          <w:rFonts w:ascii="Arial" w:cs="Arial" w:eastAsia="Arial" w:hAnsi="Arial"/>
          <w:sz w:val="16"/>
          <w:szCs w:val="16"/>
          <w:color w:val="auto"/>
        </w:rPr>
      </w:pPr>
    </w:p>
    <w:p>
      <w:pPr>
        <w:ind w:left="740" w:right="20" w:hanging="426"/>
        <w:spacing w:after="0" w:line="246" w:lineRule="auto"/>
        <w:tabs>
          <w:tab w:leader="none" w:pos="74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expenses of, and timing for, expanding our manufacturing agreements for production of sufficient clinical and commercial quantities of our product candidates; and</w:t>
      </w:r>
    </w:p>
    <w:p>
      <w:pPr>
        <w:spacing w:after="0" w:line="1" w:lineRule="exact"/>
        <w:rPr>
          <w:rFonts w:ascii="Arial" w:cs="Arial" w:eastAsia="Arial" w:hAnsi="Arial"/>
          <w:sz w:val="16"/>
          <w:szCs w:val="16"/>
          <w:color w:val="auto"/>
        </w:rPr>
      </w:pPr>
    </w:p>
    <w:p>
      <w:pPr>
        <w:ind w:left="740" w:hanging="426"/>
        <w:spacing w:after="0"/>
        <w:tabs>
          <w:tab w:leader="none" w:pos="74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potential expenses of contracting with third parties to provide marketing and distribution services for us or for building such capacities internally.</w:t>
      </w:r>
    </w:p>
    <w:p>
      <w:pPr>
        <w:spacing w:after="0" w:line="236"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Other than revenue that we expect to generate from a collaboration between us and Perrigo with respect to the first generic version of Zovirax® (acyclovir) cream, 5% and from a second partnered generic dermatology product with an anticipated launched date in the second quarter of 2021, until we can generate recurring revenues, we expect to satisfy our future cash needs through existing cash resources, additional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 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45" w:right="319" w:bottom="1440" w:gutter="0" w:footer="0" w:header="0"/>
        </w:sectPr>
      </w:pPr>
    </w:p>
    <w:bookmarkStart w:id="95" w:name="page96"/>
    <w:bookmarkEnd w:id="95"/>
    <w:p>
      <w:pPr>
        <w:ind w:left="705" w:hanging="705"/>
        <w:spacing w:after="0"/>
        <w:tabs>
          <w:tab w:leader="none" w:pos="705" w:val="left"/>
        </w:tabs>
        <w:numPr>
          <w:ilvl w:val="0"/>
          <w:numId w:val="68"/>
        </w:numPr>
        <w:rPr>
          <w:rFonts w:ascii="Arial" w:cs="Arial" w:eastAsia="Arial" w:hAnsi="Arial"/>
          <w:sz w:val="19"/>
          <w:szCs w:val="19"/>
          <w:b w:val="1"/>
          <w:bCs w:val="1"/>
          <w:color w:val="auto"/>
        </w:rPr>
      </w:pPr>
      <w:r>
        <w:rPr>
          <w:rFonts w:ascii="Arial" w:cs="Arial" w:eastAsia="Arial" w:hAnsi="Arial"/>
          <w:sz w:val="19"/>
          <w:szCs w:val="19"/>
          <w:b w:val="1"/>
          <w:bCs w:val="1"/>
          <w:color w:val="auto"/>
        </w:rPr>
        <w:t>Research and Development, Patents and Licenses</w:t>
      </w:r>
    </w:p>
    <w:p>
      <w:pPr>
        <w:spacing w:after="0" w:line="261" w:lineRule="exact"/>
        <w:rPr>
          <w:sz w:val="20"/>
          <w:szCs w:val="20"/>
          <w:color w:val="auto"/>
        </w:rPr>
      </w:pPr>
    </w:p>
    <w:p>
      <w:pPr>
        <w:jc w:val="both"/>
        <w:ind w:left="5" w:firstLine="568"/>
        <w:spacing w:after="0" w:line="304" w:lineRule="auto"/>
        <w:rPr>
          <w:sz w:val="20"/>
          <w:szCs w:val="20"/>
          <w:color w:val="auto"/>
        </w:rPr>
      </w:pPr>
      <w:r>
        <w:rPr>
          <w:rFonts w:ascii="Arial" w:cs="Arial" w:eastAsia="Arial" w:hAnsi="Arial"/>
          <w:sz w:val="17"/>
          <w:szCs w:val="17"/>
          <w:color w:val="auto"/>
        </w:rPr>
        <w:t>For a description of our research and development programs and the amounts that we have incurred over the last two years pursuant to those programs, please see “Item 5. Operating and Financial Review and Prospects — A. Operating Results — Research and Development Expenses”; and “Item 5. Operating and Financial Review and Prospects — A. Operating Results — Year Ended December 31, 2019 compared to Year ended December 31, 2020 - Research and Development Expenses.”; and “Item 5. Operating and Financial Review and Prospects — A. Operating Results — Year Ended December 31, 2018 compared to Year ended December 31, 2019 - Research and Development Expenses.”</w:t>
      </w:r>
    </w:p>
    <w:p>
      <w:pPr>
        <w:spacing w:after="0" w:line="175" w:lineRule="exact"/>
        <w:rPr>
          <w:sz w:val="20"/>
          <w:szCs w:val="20"/>
          <w:color w:val="auto"/>
        </w:rPr>
      </w:pPr>
    </w:p>
    <w:p>
      <w:pPr>
        <w:ind w:left="705" w:hanging="705"/>
        <w:spacing w:after="0"/>
        <w:tabs>
          <w:tab w:leader="none" w:pos="705" w:val="left"/>
        </w:tabs>
        <w:numPr>
          <w:ilvl w:val="0"/>
          <w:numId w:val="69"/>
        </w:numPr>
        <w:rPr>
          <w:rFonts w:ascii="Arial" w:cs="Arial" w:eastAsia="Arial" w:hAnsi="Arial"/>
          <w:sz w:val="19"/>
          <w:szCs w:val="19"/>
          <w:b w:val="1"/>
          <w:bCs w:val="1"/>
          <w:color w:val="auto"/>
        </w:rPr>
      </w:pPr>
      <w:r>
        <w:rPr>
          <w:rFonts w:ascii="Arial" w:cs="Arial" w:eastAsia="Arial" w:hAnsi="Arial"/>
          <w:sz w:val="19"/>
          <w:szCs w:val="19"/>
          <w:b w:val="1"/>
          <w:bCs w:val="1"/>
          <w:color w:val="auto"/>
        </w:rPr>
        <w:t>Trend Information</w:t>
      </w:r>
    </w:p>
    <w:p>
      <w:pPr>
        <w:spacing w:after="0" w:line="261"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Other than as disclosed elsewhere in this annual report, we are not aware of any trends, uncertainties, demands, commitments or events for the period from January 1, 2020 to December 31, 2020 that are reasonably likely to have a material adverse effect on our revenue, income, profitability, liquidity or capital resources, or that caused that disclosed financial information to be not necessarily indicative of future operating results or financial condition.</w:t>
      </w:r>
    </w:p>
    <w:p>
      <w:pPr>
        <w:spacing w:after="0" w:line="204" w:lineRule="exact"/>
        <w:rPr>
          <w:sz w:val="20"/>
          <w:szCs w:val="20"/>
          <w:color w:val="auto"/>
        </w:rPr>
      </w:pPr>
    </w:p>
    <w:p>
      <w:pPr>
        <w:ind w:left="745" w:hanging="745"/>
        <w:spacing w:after="0"/>
        <w:tabs>
          <w:tab w:leader="none" w:pos="745" w:val="left"/>
        </w:tabs>
        <w:numPr>
          <w:ilvl w:val="0"/>
          <w:numId w:val="70"/>
        </w:numPr>
        <w:rPr>
          <w:rFonts w:ascii="Arial" w:cs="Arial" w:eastAsia="Arial" w:hAnsi="Arial"/>
          <w:sz w:val="19"/>
          <w:szCs w:val="19"/>
          <w:b w:val="1"/>
          <w:bCs w:val="1"/>
          <w:color w:val="auto"/>
        </w:rPr>
      </w:pPr>
      <w:r>
        <w:rPr>
          <w:rFonts w:ascii="Arial" w:cs="Arial" w:eastAsia="Arial" w:hAnsi="Arial"/>
          <w:sz w:val="19"/>
          <w:szCs w:val="19"/>
          <w:b w:val="1"/>
          <w:bCs w:val="1"/>
          <w:color w:val="auto"/>
        </w:rPr>
        <w:t>Off-Balance Sheet Arrangements</w:t>
      </w:r>
    </w:p>
    <w:p>
      <w:pPr>
        <w:spacing w:after="0" w:line="261" w:lineRule="exact"/>
        <w:rPr>
          <w:sz w:val="20"/>
          <w:szCs w:val="20"/>
          <w:color w:val="auto"/>
        </w:rPr>
      </w:pPr>
    </w:p>
    <w:p>
      <w:pPr>
        <w:ind w:left="5" w:right="20" w:firstLine="568"/>
        <w:spacing w:after="0" w:line="284" w:lineRule="auto"/>
        <w:rPr>
          <w:sz w:val="20"/>
          <w:szCs w:val="20"/>
          <w:color w:val="auto"/>
        </w:rPr>
      </w:pPr>
      <w:r>
        <w:rPr>
          <w:rFonts w:ascii="Arial" w:cs="Arial" w:eastAsia="Arial" w:hAnsi="Arial"/>
          <w:sz w:val="19"/>
          <w:szCs w:val="19"/>
          <w:color w:val="auto"/>
        </w:rPr>
        <w:t>We do not have any, and during the periods presented we did not have any, off-balance sheet arrangements as defined in the rules and regulations of the SEC.</w:t>
      </w:r>
    </w:p>
    <w:p>
      <w:pPr>
        <w:spacing w:after="0" w:line="187" w:lineRule="exact"/>
        <w:rPr>
          <w:sz w:val="20"/>
          <w:szCs w:val="20"/>
          <w:color w:val="auto"/>
        </w:rPr>
      </w:pPr>
    </w:p>
    <w:p>
      <w:pPr>
        <w:ind w:left="705" w:hanging="705"/>
        <w:spacing w:after="0"/>
        <w:tabs>
          <w:tab w:leader="none" w:pos="705" w:val="left"/>
        </w:tabs>
        <w:numPr>
          <w:ilvl w:val="0"/>
          <w:numId w:val="71"/>
        </w:numPr>
        <w:rPr>
          <w:rFonts w:ascii="Arial" w:cs="Arial" w:eastAsia="Arial" w:hAnsi="Arial"/>
          <w:sz w:val="19"/>
          <w:szCs w:val="19"/>
          <w:b w:val="1"/>
          <w:bCs w:val="1"/>
          <w:color w:val="auto"/>
        </w:rPr>
      </w:pPr>
      <w:r>
        <w:rPr>
          <w:rFonts w:ascii="Arial" w:cs="Arial" w:eastAsia="Arial" w:hAnsi="Arial"/>
          <w:sz w:val="19"/>
          <w:szCs w:val="19"/>
          <w:b w:val="1"/>
          <w:bCs w:val="1"/>
          <w:color w:val="auto"/>
        </w:rPr>
        <w:t>Tabular Disclosure of Contractual Obligations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The following table summarizes our contractual obligations as of December 31, 2020:</w:t>
      </w:r>
    </w:p>
    <w:p>
      <w:pPr>
        <w:spacing w:after="0" w:line="245" w:lineRule="exact"/>
        <w:rPr>
          <w:sz w:val="20"/>
          <w:szCs w:val="20"/>
          <w:color w:val="auto"/>
        </w:rPr>
      </w:pPr>
    </w:p>
    <w:tbl>
      <w:tblPr>
        <w:tblLayout w:type="fixed"/>
        <w:tblInd w:w="5" w:type="dxa"/>
        <w:tblCellMar>
          <w:top w:w="0" w:type="dxa"/>
          <w:left w:w="0" w:type="dxa"/>
          <w:bottom w:w="0" w:type="dxa"/>
          <w:right w:w="0" w:type="dxa"/>
        </w:tblCellMar>
      </w:tblPr>
      <w:tr>
        <w:trPr>
          <w:trHeight w:val="189"/>
        </w:trPr>
        <w:tc>
          <w:tcPr>
            <w:tcW w:w="20" w:type="dxa"/>
            <w:vAlign w:val="bottom"/>
          </w:tcPr>
          <w:p>
            <w:pPr>
              <w:spacing w:after="0"/>
              <w:rPr>
                <w:sz w:val="16"/>
                <w:szCs w:val="16"/>
                <w:color w:val="auto"/>
              </w:rPr>
            </w:pPr>
          </w:p>
        </w:tc>
        <w:tc>
          <w:tcPr>
            <w:tcW w:w="46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0" w:type="dxa"/>
            <w:vAlign w:val="bottom"/>
            <w:gridSpan w:val="2"/>
          </w:tcPr>
          <w:p>
            <w:pPr>
              <w:ind w:left="240"/>
              <w:spacing w:after="0"/>
              <w:rPr>
                <w:sz w:val="20"/>
                <w:szCs w:val="20"/>
                <w:color w:val="auto"/>
              </w:rPr>
            </w:pPr>
            <w:r>
              <w:rPr>
                <w:rFonts w:ascii="Arial" w:cs="Arial" w:eastAsia="Arial" w:hAnsi="Arial"/>
                <w:sz w:val="16"/>
                <w:szCs w:val="16"/>
                <w:b w:val="1"/>
                <w:bCs w:val="1"/>
                <w:color w:val="auto"/>
                <w:w w:val="99"/>
              </w:rPr>
              <w:t>Less than</w:t>
            </w: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gridSpan w:val="3"/>
          </w:tcPr>
          <w:p>
            <w:pPr>
              <w:ind w:left="120"/>
              <w:spacing w:after="0"/>
              <w:rPr>
                <w:sz w:val="20"/>
                <w:szCs w:val="20"/>
                <w:color w:val="auto"/>
              </w:rPr>
            </w:pPr>
            <w:r>
              <w:rPr>
                <w:rFonts w:ascii="Arial" w:cs="Arial" w:eastAsia="Arial" w:hAnsi="Arial"/>
                <w:sz w:val="16"/>
                <w:szCs w:val="16"/>
                <w:b w:val="1"/>
                <w:bCs w:val="1"/>
                <w:color w:val="auto"/>
              </w:rPr>
              <w:t>More than</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560" w:type="dxa"/>
            <w:vAlign w:val="bottom"/>
          </w:tcPr>
          <w:p>
            <w:pPr>
              <w:spacing w:after="0"/>
              <w:rPr>
                <w:sz w:val="20"/>
                <w:szCs w:val="20"/>
                <w:color w:val="auto"/>
              </w:rPr>
            </w:pPr>
            <w:r>
              <w:rPr>
                <w:rFonts w:ascii="Arial" w:cs="Arial" w:eastAsia="Arial" w:hAnsi="Arial"/>
                <w:sz w:val="16"/>
                <w:szCs w:val="16"/>
                <w:b w:val="1"/>
                <w:bCs w:val="1"/>
                <w:color w:val="auto"/>
              </w:rPr>
              <w:t>Total</w:t>
            </w:r>
          </w:p>
        </w:tc>
        <w:tc>
          <w:tcPr>
            <w:tcW w:w="580" w:type="dxa"/>
            <w:vAlign w:val="bottom"/>
          </w:tcPr>
          <w:p>
            <w:pPr>
              <w:spacing w:after="0"/>
              <w:rPr>
                <w:sz w:val="18"/>
                <w:szCs w:val="18"/>
                <w:color w:val="auto"/>
              </w:rPr>
            </w:pPr>
          </w:p>
        </w:tc>
        <w:tc>
          <w:tcPr>
            <w:tcW w:w="1000" w:type="dxa"/>
            <w:vAlign w:val="bottom"/>
            <w:gridSpan w:val="2"/>
          </w:tcPr>
          <w:p>
            <w:pPr>
              <w:ind w:left="240"/>
              <w:spacing w:after="0"/>
              <w:rPr>
                <w:sz w:val="20"/>
                <w:szCs w:val="20"/>
                <w:color w:val="auto"/>
              </w:rPr>
            </w:pPr>
            <w:r>
              <w:rPr>
                <w:rFonts w:ascii="Arial" w:cs="Arial" w:eastAsia="Arial" w:hAnsi="Arial"/>
                <w:sz w:val="16"/>
                <w:szCs w:val="16"/>
                <w:b w:val="1"/>
                <w:bCs w:val="1"/>
                <w:color w:val="auto"/>
              </w:rPr>
              <w:t>1 year</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ind w:left="120"/>
              <w:spacing w:after="0"/>
              <w:rPr>
                <w:sz w:val="20"/>
                <w:szCs w:val="20"/>
                <w:color w:val="auto"/>
              </w:rPr>
            </w:pPr>
            <w:r>
              <w:rPr>
                <w:rFonts w:ascii="Arial" w:cs="Arial" w:eastAsia="Arial" w:hAnsi="Arial"/>
                <w:sz w:val="16"/>
                <w:szCs w:val="16"/>
                <w:b w:val="1"/>
                <w:bCs w:val="1"/>
                <w:color w:val="auto"/>
                <w:w w:val="87"/>
              </w:rPr>
              <w:t>1 – 3 years</w:t>
            </w:r>
          </w:p>
        </w:tc>
        <w:tc>
          <w:tcPr>
            <w:tcW w:w="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20"/>
                <w:szCs w:val="20"/>
                <w:color w:val="auto"/>
              </w:rPr>
            </w:pPr>
            <w:r>
              <w:rPr>
                <w:rFonts w:ascii="Arial" w:cs="Arial" w:eastAsia="Arial" w:hAnsi="Arial"/>
                <w:sz w:val="16"/>
                <w:szCs w:val="16"/>
                <w:b w:val="1"/>
                <w:bCs w:val="1"/>
                <w:color w:val="auto"/>
              </w:rPr>
              <w:t>3 – 5 years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3"/>
          </w:tcPr>
          <w:p>
            <w:pPr>
              <w:ind w:left="120"/>
              <w:spacing w:after="0"/>
              <w:rPr>
                <w:sz w:val="20"/>
                <w:szCs w:val="20"/>
                <w:color w:val="auto"/>
              </w:rPr>
            </w:pPr>
            <w:r>
              <w:rPr>
                <w:rFonts w:ascii="Arial" w:cs="Arial" w:eastAsia="Arial" w:hAnsi="Arial"/>
                <w:sz w:val="16"/>
                <w:szCs w:val="16"/>
                <w:b w:val="1"/>
                <w:bCs w:val="1"/>
                <w:color w:val="auto"/>
              </w:rPr>
              <w:t>5 years</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00" w:type="dxa"/>
            <w:vAlign w:val="bottom"/>
          </w:tcPr>
          <w:p>
            <w:pPr>
              <w:spacing w:after="0"/>
              <w:rPr>
                <w:sz w:val="16"/>
                <w:szCs w:val="16"/>
                <w:color w:val="auto"/>
              </w:rPr>
            </w:pPr>
          </w:p>
        </w:tc>
        <w:tc>
          <w:tcPr>
            <w:tcW w:w="56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spacing w:after="0"/>
              <w:rPr>
                <w:sz w:val="16"/>
                <w:szCs w:val="16"/>
                <w:color w:val="auto"/>
              </w:rPr>
            </w:pPr>
          </w:p>
        </w:tc>
        <w:tc>
          <w:tcPr>
            <w:tcW w:w="360" w:type="dxa"/>
            <w:vAlign w:val="bottom"/>
            <w:tcBorders>
              <w:top w:val="single" w:sz="8" w:color="auto"/>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40" w:type="dxa"/>
            <w:vAlign w:val="bottom"/>
            <w:tcBorders>
              <w:top w:val="single" w:sz="8" w:color="auto"/>
              <w:bottom w:val="single" w:sz="8" w:color="auto"/>
            </w:tcBorders>
            <w:gridSpan w:val="2"/>
          </w:tcPr>
          <w:p>
            <w:pPr>
              <w:jc w:val="right"/>
              <w:ind w:right="61"/>
              <w:spacing w:after="0"/>
              <w:rPr>
                <w:sz w:val="20"/>
                <w:szCs w:val="20"/>
                <w:color w:val="auto"/>
              </w:rPr>
            </w:pPr>
            <w:r>
              <w:rPr>
                <w:rFonts w:ascii="Arial" w:cs="Arial" w:eastAsia="Arial" w:hAnsi="Arial"/>
                <w:sz w:val="16"/>
                <w:szCs w:val="16"/>
                <w:b w:val="1"/>
                <w:bCs w:val="1"/>
                <w:color w:val="auto"/>
                <w:w w:val="88"/>
              </w:rPr>
              <w:t>(in thousands)</w:t>
            </w:r>
          </w:p>
        </w:tc>
        <w:tc>
          <w:tcPr>
            <w:tcW w:w="220" w:type="dxa"/>
            <w:vAlign w:val="bottom"/>
            <w:tcBorders>
              <w:bottom w:val="single" w:sz="8" w:color="auto"/>
            </w:tcBorders>
          </w:tcPr>
          <w:p>
            <w:pPr>
              <w:spacing w:after="0"/>
              <w:rPr>
                <w:sz w:val="16"/>
                <w:szCs w:val="16"/>
                <w:color w:val="auto"/>
              </w:rPr>
            </w:pPr>
          </w:p>
        </w:tc>
        <w:tc>
          <w:tcPr>
            <w:tcW w:w="860" w:type="dxa"/>
            <w:vAlign w:val="bottom"/>
            <w:tcBorders>
              <w:top w:val="single" w:sz="8" w:color="auto"/>
              <w:bottom w:val="single" w:sz="8" w:color="auto"/>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00" w:type="dxa"/>
            <w:vAlign w:val="bottom"/>
            <w:tcBorders>
              <w:top w:val="single" w:sz="8" w:color="auto"/>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6"/>
                <w:szCs w:val="16"/>
                <w:color w:val="auto"/>
              </w:rPr>
              <w:t>Operating lease obligations (1)</w:t>
            </w:r>
          </w:p>
        </w:tc>
        <w:tc>
          <w:tcPr>
            <w:tcW w:w="560" w:type="dxa"/>
            <w:vAlign w:val="bottom"/>
            <w:shd w:val="clear" w:color="auto" w:fill="CCEEFF"/>
          </w:tcPr>
          <w:p>
            <w:pPr>
              <w:spacing w:after="0"/>
              <w:rPr>
                <w:sz w:val="20"/>
                <w:szCs w:val="20"/>
                <w:color w:val="auto"/>
              </w:rPr>
            </w:pPr>
            <w:r>
              <w:rPr>
                <w:rFonts w:ascii="Arial" w:cs="Arial" w:eastAsia="Arial" w:hAnsi="Arial"/>
                <w:sz w:val="16"/>
                <w:szCs w:val="16"/>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2,140</w:t>
            </w:r>
          </w:p>
        </w:tc>
        <w:tc>
          <w:tcPr>
            <w:tcW w:w="1000" w:type="dxa"/>
            <w:vAlign w:val="bottom"/>
            <w:gridSpan w:val="2"/>
            <w:shd w:val="clear" w:color="auto" w:fill="CCEEFF"/>
          </w:tcPr>
          <w:p>
            <w:pPr>
              <w:ind w:left="240"/>
              <w:spacing w:after="0"/>
              <w:rPr>
                <w:sz w:val="20"/>
                <w:szCs w:val="20"/>
                <w:color w:val="auto"/>
              </w:rPr>
            </w:pPr>
            <w:r>
              <w:rPr>
                <w:rFonts w:ascii="Arial" w:cs="Arial" w:eastAsia="Arial" w:hAnsi="Arial"/>
                <w:sz w:val="16"/>
                <w:szCs w:val="16"/>
                <w:color w:val="auto"/>
              </w:rPr>
              <w:t>$</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778</w:t>
            </w:r>
          </w:p>
        </w:tc>
        <w:tc>
          <w:tcPr>
            <w:tcW w:w="86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4"/>
              </w:rPr>
              <w:t>1,362</w:t>
            </w:r>
          </w:p>
        </w:tc>
        <w:tc>
          <w:tcPr>
            <w:tcW w:w="2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4600" w:type="dxa"/>
            <w:vAlign w:val="bottom"/>
            <w:shd w:val="clear" w:color="auto" w:fill="CCEEFF"/>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vMerge w:val="continue"/>
          </w:tcPr>
          <w:p>
            <w:pPr>
              <w:spacing w:after="0"/>
              <w:rPr>
                <w:sz w:val="16"/>
                <w:szCs w:val="16"/>
                <w:color w:val="auto"/>
              </w:rPr>
            </w:pPr>
          </w:p>
        </w:tc>
        <w:tc>
          <w:tcPr>
            <w:tcW w:w="4600" w:type="dxa"/>
            <w:vAlign w:val="bottom"/>
          </w:tcPr>
          <w:p>
            <w:pPr>
              <w:spacing w:after="0"/>
              <w:rPr>
                <w:sz w:val="20"/>
                <w:szCs w:val="20"/>
                <w:color w:val="auto"/>
              </w:rPr>
            </w:pPr>
            <w:r>
              <w:rPr>
                <w:rFonts w:ascii="Arial" w:cs="Arial" w:eastAsia="Arial" w:hAnsi="Arial"/>
                <w:sz w:val="16"/>
                <w:szCs w:val="16"/>
                <w:color w:val="auto"/>
              </w:rPr>
              <w:t>Total</w:t>
            </w:r>
          </w:p>
        </w:tc>
        <w:tc>
          <w:tcPr>
            <w:tcW w:w="560" w:type="dxa"/>
            <w:vAlign w:val="bottom"/>
          </w:tcPr>
          <w:p>
            <w:pPr>
              <w:spacing w:after="0"/>
              <w:rPr>
                <w:sz w:val="20"/>
                <w:szCs w:val="20"/>
                <w:color w:val="auto"/>
              </w:rPr>
            </w:pPr>
            <w:r>
              <w:rPr>
                <w:rFonts w:ascii="Arial" w:cs="Arial" w:eastAsia="Arial" w:hAnsi="Arial"/>
                <w:sz w:val="16"/>
                <w:szCs w:val="16"/>
                <w:color w:val="auto"/>
              </w:rPr>
              <w:t>$</w:t>
            </w:r>
          </w:p>
        </w:tc>
        <w:tc>
          <w:tcPr>
            <w:tcW w:w="580" w:type="dxa"/>
            <w:vAlign w:val="bottom"/>
          </w:tcPr>
          <w:p>
            <w:pPr>
              <w:jc w:val="right"/>
              <w:spacing w:after="0"/>
              <w:rPr>
                <w:sz w:val="20"/>
                <w:szCs w:val="20"/>
                <w:color w:val="auto"/>
              </w:rPr>
            </w:pPr>
            <w:r>
              <w:rPr>
                <w:rFonts w:ascii="Arial" w:cs="Arial" w:eastAsia="Arial" w:hAnsi="Arial"/>
                <w:sz w:val="16"/>
                <w:szCs w:val="16"/>
                <w:color w:val="auto"/>
              </w:rPr>
              <w:t>2,140</w:t>
            </w:r>
          </w:p>
        </w:tc>
        <w:tc>
          <w:tcPr>
            <w:tcW w:w="1000" w:type="dxa"/>
            <w:vAlign w:val="bottom"/>
            <w:gridSpan w:val="2"/>
          </w:tcPr>
          <w:p>
            <w:pPr>
              <w:ind w:left="240"/>
              <w:spacing w:after="0"/>
              <w:rPr>
                <w:sz w:val="20"/>
                <w:szCs w:val="20"/>
                <w:color w:val="auto"/>
              </w:rPr>
            </w:pPr>
            <w:r>
              <w:rPr>
                <w:rFonts w:ascii="Arial" w:cs="Arial" w:eastAsia="Arial" w:hAnsi="Arial"/>
                <w:sz w:val="16"/>
                <w:szCs w:val="16"/>
                <w:color w:val="auto"/>
              </w:rPr>
              <w:t>$</w:t>
            </w:r>
          </w:p>
        </w:tc>
        <w:tc>
          <w:tcPr>
            <w:tcW w:w="480" w:type="dxa"/>
            <w:vAlign w:val="bottom"/>
            <w:gridSpan w:val="2"/>
          </w:tcPr>
          <w:p>
            <w:pPr>
              <w:jc w:val="right"/>
              <w:ind w:right="120"/>
              <w:spacing w:after="0"/>
              <w:rPr>
                <w:sz w:val="20"/>
                <w:szCs w:val="20"/>
                <w:color w:val="auto"/>
              </w:rPr>
            </w:pPr>
            <w:r>
              <w:rPr>
                <w:rFonts w:ascii="Arial" w:cs="Arial" w:eastAsia="Arial" w:hAnsi="Arial"/>
                <w:sz w:val="16"/>
                <w:szCs w:val="16"/>
                <w:color w:val="auto"/>
              </w:rPr>
              <w:t>778</w:t>
            </w:r>
          </w:p>
        </w:tc>
        <w:tc>
          <w:tcPr>
            <w:tcW w:w="860" w:type="dxa"/>
            <w:vAlign w:val="bottom"/>
            <w:gridSpan w:val="2"/>
          </w:tcPr>
          <w:p>
            <w:pPr>
              <w:ind w:left="120"/>
              <w:spacing w:after="0"/>
              <w:rPr>
                <w:sz w:val="20"/>
                <w:szCs w:val="20"/>
                <w:color w:val="auto"/>
              </w:rPr>
            </w:pPr>
            <w:r>
              <w:rPr>
                <w:rFonts w:ascii="Arial" w:cs="Arial" w:eastAsia="Arial" w:hAnsi="Arial"/>
                <w:sz w:val="16"/>
                <w:szCs w:val="16"/>
                <w:color w:val="auto"/>
              </w:rPr>
              <w:t>$</w:t>
            </w:r>
          </w:p>
        </w:tc>
        <w:tc>
          <w:tcPr>
            <w:tcW w:w="400" w:type="dxa"/>
            <w:vAlign w:val="bottom"/>
          </w:tcPr>
          <w:p>
            <w:pPr>
              <w:jc w:val="right"/>
              <w:spacing w:after="0"/>
              <w:rPr>
                <w:sz w:val="20"/>
                <w:szCs w:val="20"/>
                <w:color w:val="auto"/>
              </w:rPr>
            </w:pPr>
            <w:r>
              <w:rPr>
                <w:rFonts w:ascii="Arial" w:cs="Arial" w:eastAsia="Arial" w:hAnsi="Arial"/>
                <w:sz w:val="16"/>
                <w:szCs w:val="16"/>
                <w:color w:val="auto"/>
                <w:w w:val="94"/>
              </w:rPr>
              <w:t>1,362</w:t>
            </w:r>
          </w:p>
        </w:tc>
        <w:tc>
          <w:tcPr>
            <w:tcW w:w="2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340" w:type="dxa"/>
            <w:vAlign w:val="bottom"/>
            <w:gridSpan w:val="3"/>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120015</wp:posOffset>
            </wp:positionV>
            <wp:extent cx="661035" cy="762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661035" cy="7620"/>
                    </a:xfrm>
                    <a:prstGeom prst="rect">
                      <a:avLst/>
                    </a:prstGeom>
                    <a:noFill/>
                  </pic:spPr>
                </pic:pic>
              </a:graphicData>
            </a:graphic>
          </wp:anchor>
        </w:drawing>
      </w:r>
    </w:p>
    <w:p>
      <w:pPr>
        <w:spacing w:after="0" w:line="204" w:lineRule="exact"/>
        <w:rPr>
          <w:sz w:val="20"/>
          <w:szCs w:val="20"/>
          <w:color w:val="auto"/>
        </w:rPr>
      </w:pPr>
    </w:p>
    <w:p>
      <w:pPr>
        <w:ind w:left="425" w:hanging="425"/>
        <w:spacing w:after="0"/>
        <w:tabs>
          <w:tab w:leader="none" w:pos="425" w:val="left"/>
        </w:tabs>
        <w:numPr>
          <w:ilvl w:val="0"/>
          <w:numId w:val="72"/>
        </w:numPr>
        <w:rPr>
          <w:rFonts w:ascii="Arial" w:cs="Arial" w:eastAsia="Arial" w:hAnsi="Arial"/>
          <w:sz w:val="16"/>
          <w:szCs w:val="16"/>
          <w:color w:val="auto"/>
        </w:rPr>
      </w:pPr>
      <w:r>
        <w:rPr>
          <w:rFonts w:ascii="Arial" w:cs="Arial" w:eastAsia="Arial" w:hAnsi="Arial"/>
          <w:sz w:val="16"/>
          <w:szCs w:val="16"/>
          <w:color w:val="auto"/>
        </w:rPr>
        <w:t>Operating lease obligations consist of payments pursuant to several lease agreements that are scheduled to expire on December 31, 2023.</w:t>
      </w:r>
    </w:p>
    <w:p>
      <w:pPr>
        <w:spacing w:after="0" w:line="389"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96" w:name="page97"/>
    <w:bookmarkEnd w:id="96"/>
    <w:p>
      <w:pPr>
        <w:ind w:left="5"/>
        <w:spacing w:after="0"/>
        <w:tabs>
          <w:tab w:leader="none" w:pos="1145" w:val="left"/>
        </w:tabs>
        <w:rPr>
          <w:sz w:val="20"/>
          <w:szCs w:val="20"/>
          <w:color w:val="auto"/>
        </w:rPr>
      </w:pPr>
      <w:r>
        <w:rPr>
          <w:rFonts w:ascii="Arial" w:cs="Arial" w:eastAsia="Arial" w:hAnsi="Arial"/>
          <w:sz w:val="19"/>
          <w:szCs w:val="19"/>
          <w:b w:val="1"/>
          <w:bCs w:val="1"/>
          <w:color w:val="auto"/>
        </w:rPr>
        <w:t>ITEM 6.</w:t>
      </w:r>
      <w:r>
        <w:rPr>
          <w:sz w:val="20"/>
          <w:szCs w:val="20"/>
          <w:color w:val="auto"/>
        </w:rPr>
        <w:tab/>
      </w:r>
      <w:r>
        <w:rPr>
          <w:rFonts w:ascii="Arial" w:cs="Arial" w:eastAsia="Arial" w:hAnsi="Arial"/>
          <w:sz w:val="19"/>
          <w:szCs w:val="19"/>
          <w:b w:val="1"/>
          <w:bCs w:val="1"/>
          <w:color w:val="auto"/>
        </w:rPr>
        <w:t>DIRECTORS, SENIOR MANAGEMENT AND EMPLOYEES</w:t>
      </w:r>
    </w:p>
    <w:p>
      <w:pPr>
        <w:spacing w:after="0" w:line="255" w:lineRule="exact"/>
        <w:rPr>
          <w:sz w:val="20"/>
          <w:szCs w:val="20"/>
          <w:color w:val="auto"/>
        </w:rPr>
      </w:pPr>
    </w:p>
    <w:p>
      <w:pPr>
        <w:ind w:left="665" w:hanging="665"/>
        <w:spacing w:after="0"/>
        <w:tabs>
          <w:tab w:leader="none" w:pos="665" w:val="left"/>
        </w:tabs>
        <w:numPr>
          <w:ilvl w:val="0"/>
          <w:numId w:val="73"/>
        </w:numPr>
        <w:rPr>
          <w:rFonts w:ascii="Arial" w:cs="Arial" w:eastAsia="Arial" w:hAnsi="Arial"/>
          <w:sz w:val="19"/>
          <w:szCs w:val="19"/>
          <w:b w:val="1"/>
          <w:bCs w:val="1"/>
          <w:color w:val="auto"/>
        </w:rPr>
      </w:pPr>
      <w:r>
        <w:rPr>
          <w:rFonts w:ascii="Arial" w:cs="Arial" w:eastAsia="Arial" w:hAnsi="Arial"/>
          <w:sz w:val="19"/>
          <w:szCs w:val="19"/>
          <w:b w:val="1"/>
          <w:bCs w:val="1"/>
          <w:color w:val="auto"/>
        </w:rPr>
        <w:t>Directors and Senior Management</w:t>
      </w:r>
    </w:p>
    <w:p>
      <w:pPr>
        <w:spacing w:after="0" w:line="261"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The following table sets forth information concerning our directors and senior management, which includes members of our administrative, supervisory and management bodies, including their ages, as of the date of this annual report:</w:t>
      </w:r>
    </w:p>
    <w:p>
      <w:pPr>
        <w:spacing w:after="0" w:line="183" w:lineRule="exact"/>
        <w:rPr>
          <w:sz w:val="20"/>
          <w:szCs w:val="20"/>
          <w:color w:val="auto"/>
        </w:rPr>
      </w:pPr>
    </w:p>
    <w:tbl>
      <w:tblPr>
        <w:tblLayout w:type="fixed"/>
        <w:tblInd w:w="5" w:type="dxa"/>
        <w:tblCellMar>
          <w:top w:w="0" w:type="dxa"/>
          <w:left w:w="0" w:type="dxa"/>
          <w:bottom w:w="0" w:type="dxa"/>
          <w:right w:w="0" w:type="dxa"/>
        </w:tblCellMar>
      </w:tblPr>
      <w:tr>
        <w:trPr>
          <w:trHeight w:val="209"/>
        </w:trPr>
        <w:tc>
          <w:tcPr>
            <w:tcW w:w="33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Name</w:t>
            </w:r>
          </w:p>
        </w:tc>
        <w:tc>
          <w:tcPr>
            <w:tcW w:w="280" w:type="dxa"/>
            <w:vAlign w:val="bottom"/>
          </w:tcPr>
          <w:p>
            <w:pPr>
              <w:spacing w:after="0"/>
              <w:rPr>
                <w:sz w:val="18"/>
                <w:szCs w:val="18"/>
                <w:color w:val="auto"/>
              </w:rPr>
            </w:pPr>
          </w:p>
        </w:tc>
        <w:tc>
          <w:tcPr>
            <w:tcW w:w="640" w:type="dxa"/>
            <w:vAlign w:val="bottom"/>
            <w:tcBorders>
              <w:bottom w:val="single" w:sz="8" w:color="auto"/>
            </w:tcBorders>
          </w:tcPr>
          <w:p>
            <w:pPr>
              <w:jc w:val="center"/>
              <w:ind w:right="61"/>
              <w:spacing w:after="0"/>
              <w:rPr>
                <w:sz w:val="20"/>
                <w:szCs w:val="20"/>
                <w:color w:val="auto"/>
              </w:rPr>
            </w:pPr>
            <w:r>
              <w:rPr>
                <w:rFonts w:ascii="Arial" w:cs="Arial" w:eastAsia="Arial" w:hAnsi="Arial"/>
                <w:sz w:val="16"/>
                <w:szCs w:val="16"/>
                <w:b w:val="1"/>
                <w:bCs w:val="1"/>
                <w:color w:val="auto"/>
                <w:w w:val="85"/>
              </w:rPr>
              <w:t>Age</w:t>
            </w:r>
          </w:p>
        </w:tc>
        <w:tc>
          <w:tcPr>
            <w:tcW w:w="140" w:type="dxa"/>
            <w:vAlign w:val="bottom"/>
          </w:tcPr>
          <w:p>
            <w:pPr>
              <w:spacing w:after="0"/>
              <w:rPr>
                <w:sz w:val="18"/>
                <w:szCs w:val="18"/>
                <w:color w:val="auto"/>
              </w:rPr>
            </w:pPr>
          </w:p>
        </w:tc>
        <w:tc>
          <w:tcPr>
            <w:tcW w:w="684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Position</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Moshe Arkin</w:t>
            </w:r>
          </w:p>
        </w:tc>
        <w:tc>
          <w:tcPr>
            <w:tcW w:w="280" w:type="dxa"/>
            <w:vAlign w:val="bottom"/>
            <w:shd w:val="clear" w:color="auto" w:fill="CCEEFF"/>
          </w:tcPr>
          <w:p>
            <w:pPr>
              <w:spacing w:after="0"/>
              <w:rPr>
                <w:sz w:val="16"/>
                <w:szCs w:val="16"/>
                <w:color w:val="auto"/>
              </w:rPr>
            </w:pPr>
          </w:p>
        </w:tc>
        <w:tc>
          <w:tcPr>
            <w:tcW w:w="640" w:type="dxa"/>
            <w:vAlign w:val="bottom"/>
            <w:shd w:val="clear" w:color="auto" w:fill="CCEEFF"/>
          </w:tcPr>
          <w:p>
            <w:pPr>
              <w:jc w:val="center"/>
              <w:ind w:right="41"/>
              <w:spacing w:after="0"/>
              <w:rPr>
                <w:sz w:val="20"/>
                <w:szCs w:val="20"/>
                <w:color w:val="auto"/>
              </w:rPr>
            </w:pPr>
            <w:r>
              <w:rPr>
                <w:rFonts w:ascii="Arial" w:cs="Arial" w:eastAsia="Arial" w:hAnsi="Arial"/>
                <w:sz w:val="16"/>
                <w:szCs w:val="16"/>
                <w:color w:val="auto"/>
                <w:w w:val="89"/>
              </w:rPr>
              <w:t>68</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Chairman of the Board of Directors</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Alon Seri-Levy</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59</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Chief Executive Officer and Director</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Gilad Mamlok</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52</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Chief Financial Officer</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Ofer Toledano</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55</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Vice President Research and Development</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Ofra Levy-Hacham</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54</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Vice President Clinical and Regulatory Affairs</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Karine Neimann</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49</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Vice President Projects and Planning, Chief Chemist</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Itzik Yosef</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44</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Vice President Operations</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Dov Zamir</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67</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Vice President Special Projects</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Nissim Bilman</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59</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Vice President Quality</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John Vieira</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51</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U.S. Head of Commercialization</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Itai Arkin</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32</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Director</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Shmuel Ben Zvi</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60</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Director</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Hani Lerman</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48</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Director</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Yaffa Krindel-Sieradzki</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66</w:t>
            </w:r>
          </w:p>
        </w:tc>
        <w:tc>
          <w:tcPr>
            <w:tcW w:w="140" w:type="dxa"/>
            <w:vAlign w:val="bottom"/>
          </w:tcPr>
          <w:p>
            <w:pPr>
              <w:spacing w:after="0"/>
              <w:rPr>
                <w:sz w:val="16"/>
                <w:szCs w:val="16"/>
                <w:color w:val="auto"/>
              </w:rPr>
            </w:pPr>
          </w:p>
        </w:tc>
        <w:tc>
          <w:tcPr>
            <w:tcW w:w="6840" w:type="dxa"/>
            <w:vAlign w:val="bottom"/>
          </w:tcPr>
          <w:p>
            <w:pPr>
              <w:ind w:left="40"/>
              <w:spacing w:after="0"/>
              <w:rPr>
                <w:sz w:val="20"/>
                <w:szCs w:val="20"/>
                <w:color w:val="auto"/>
              </w:rPr>
            </w:pPr>
            <w:r>
              <w:rPr>
                <w:rFonts w:ascii="Arial" w:cs="Arial" w:eastAsia="Arial" w:hAnsi="Arial"/>
                <w:sz w:val="16"/>
                <w:szCs w:val="16"/>
                <w:color w:val="auto"/>
              </w:rPr>
              <w:t>Director</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Jonathan B. Siegel</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47</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Director</w:t>
            </w:r>
          </w:p>
        </w:tc>
      </w:tr>
      <w:tr>
        <w:trPr>
          <w:trHeight w:val="189"/>
        </w:trPr>
        <w:tc>
          <w:tcPr>
            <w:tcW w:w="3360" w:type="dxa"/>
            <w:vAlign w:val="bottom"/>
          </w:tcPr>
          <w:p>
            <w:pPr>
              <w:spacing w:after="0"/>
              <w:rPr>
                <w:sz w:val="20"/>
                <w:szCs w:val="20"/>
                <w:color w:val="auto"/>
              </w:rPr>
            </w:pPr>
            <w:r>
              <w:rPr>
                <w:rFonts w:ascii="Arial" w:cs="Arial" w:eastAsia="Arial" w:hAnsi="Arial"/>
                <w:sz w:val="16"/>
                <w:szCs w:val="16"/>
                <w:color w:val="auto"/>
              </w:rPr>
              <w:t>Ran Gottfried</w:t>
            </w:r>
          </w:p>
        </w:tc>
        <w:tc>
          <w:tcPr>
            <w:tcW w:w="920" w:type="dxa"/>
            <w:vAlign w:val="bottom"/>
            <w:gridSpan w:val="2"/>
          </w:tcPr>
          <w:p>
            <w:pPr>
              <w:jc w:val="center"/>
              <w:ind w:left="81"/>
              <w:spacing w:after="0"/>
              <w:rPr>
                <w:sz w:val="20"/>
                <w:szCs w:val="20"/>
                <w:color w:val="auto"/>
              </w:rPr>
            </w:pPr>
            <w:r>
              <w:rPr>
                <w:rFonts w:ascii="Arial" w:cs="Arial" w:eastAsia="Arial" w:hAnsi="Arial"/>
                <w:sz w:val="16"/>
                <w:szCs w:val="16"/>
                <w:color w:val="auto"/>
                <w:w w:val="89"/>
              </w:rPr>
              <w:t>76</w:t>
            </w:r>
          </w:p>
        </w:tc>
        <w:tc>
          <w:tcPr>
            <w:tcW w:w="140" w:type="dxa"/>
            <w:vAlign w:val="bottom"/>
          </w:tcPr>
          <w:p>
            <w:pPr>
              <w:spacing w:after="0"/>
              <w:rPr>
                <w:sz w:val="16"/>
                <w:szCs w:val="16"/>
                <w:color w:val="auto"/>
              </w:rPr>
            </w:pPr>
          </w:p>
        </w:tc>
        <w:tc>
          <w:tcPr>
            <w:tcW w:w="6840" w:type="dxa"/>
            <w:vAlign w:val="bottom"/>
          </w:tcPr>
          <w:p>
            <w:pPr>
              <w:spacing w:after="0"/>
              <w:rPr>
                <w:sz w:val="20"/>
                <w:szCs w:val="20"/>
                <w:color w:val="auto"/>
              </w:rPr>
            </w:pPr>
            <w:r>
              <w:rPr>
                <w:rFonts w:ascii="Arial" w:cs="Arial" w:eastAsia="Arial" w:hAnsi="Arial"/>
                <w:sz w:val="16"/>
                <w:szCs w:val="16"/>
                <w:color w:val="auto"/>
              </w:rPr>
              <w:t>External Director</w:t>
            </w:r>
          </w:p>
        </w:tc>
      </w:tr>
      <w:tr>
        <w:trPr>
          <w:trHeight w:val="189"/>
        </w:trPr>
        <w:tc>
          <w:tcPr>
            <w:tcW w:w="3360" w:type="dxa"/>
            <w:vAlign w:val="bottom"/>
            <w:shd w:val="clear" w:color="auto" w:fill="CCEEFF"/>
          </w:tcPr>
          <w:p>
            <w:pPr>
              <w:spacing w:after="0"/>
              <w:rPr>
                <w:sz w:val="20"/>
                <w:szCs w:val="20"/>
                <w:color w:val="auto"/>
              </w:rPr>
            </w:pPr>
            <w:r>
              <w:rPr>
                <w:rFonts w:ascii="Arial" w:cs="Arial" w:eastAsia="Arial" w:hAnsi="Arial"/>
                <w:sz w:val="16"/>
                <w:szCs w:val="16"/>
                <w:color w:val="auto"/>
              </w:rPr>
              <w:t>Jerrold S. Gattegno</w:t>
            </w:r>
          </w:p>
        </w:tc>
        <w:tc>
          <w:tcPr>
            <w:tcW w:w="920" w:type="dxa"/>
            <w:vAlign w:val="bottom"/>
            <w:gridSpan w:val="2"/>
            <w:shd w:val="clear" w:color="auto" w:fill="CCEEFF"/>
          </w:tcPr>
          <w:p>
            <w:pPr>
              <w:jc w:val="center"/>
              <w:ind w:left="81"/>
              <w:spacing w:after="0"/>
              <w:rPr>
                <w:sz w:val="20"/>
                <w:szCs w:val="20"/>
                <w:color w:val="auto"/>
              </w:rPr>
            </w:pPr>
            <w:r>
              <w:rPr>
                <w:rFonts w:ascii="Arial" w:cs="Arial" w:eastAsia="Arial" w:hAnsi="Arial"/>
                <w:sz w:val="16"/>
                <w:szCs w:val="16"/>
                <w:color w:val="auto"/>
                <w:w w:val="89"/>
              </w:rPr>
              <w:t>68</w:t>
            </w:r>
          </w:p>
        </w:tc>
        <w:tc>
          <w:tcPr>
            <w:tcW w:w="140" w:type="dxa"/>
            <w:vAlign w:val="bottom"/>
            <w:shd w:val="clear" w:color="auto" w:fill="CCEEFF"/>
          </w:tcPr>
          <w:p>
            <w:pPr>
              <w:spacing w:after="0"/>
              <w:rPr>
                <w:sz w:val="16"/>
                <w:szCs w:val="16"/>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6"/>
                <w:szCs w:val="16"/>
                <w:color w:val="auto"/>
              </w:rPr>
              <w:t>External Director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270510</wp:posOffset>
            </wp:positionV>
            <wp:extent cx="781050" cy="762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8105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both"/>
        <w:ind w:left="5" w:firstLine="568"/>
        <w:spacing w:after="0" w:line="297" w:lineRule="auto"/>
        <w:rPr>
          <w:sz w:val="20"/>
          <w:szCs w:val="20"/>
          <w:color w:val="auto"/>
        </w:rPr>
      </w:pPr>
      <w:r>
        <w:rPr>
          <w:rFonts w:ascii="Arial" w:cs="Arial" w:eastAsia="Arial" w:hAnsi="Arial"/>
          <w:sz w:val="17"/>
          <w:szCs w:val="17"/>
          <w:b w:val="1"/>
          <w:bCs w:val="1"/>
          <w:i w:val="1"/>
          <w:iCs w:val="1"/>
          <w:color w:val="auto"/>
        </w:rPr>
        <w:t xml:space="preserve">Mr. Moshe Arkin </w:t>
      </w:r>
      <w:r>
        <w:rPr>
          <w:rFonts w:ascii="Arial" w:cs="Arial" w:eastAsia="Arial" w:hAnsi="Arial"/>
          <w:sz w:val="17"/>
          <w:szCs w:val="17"/>
          <w:color w:val="auto"/>
        </w:rPr>
        <w:t>has served as chairman of our board of directors since 2014. Mr. Moshe Arkin currently sits on the board of directors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several private pharmaceutical and medical device companies including Exalenz Bioscience Ltd., a developer of advanced systems for gastrointestinal and liver disorders since 2006, SoniVie Ltd., a company developing systems for the treatment of pulmonary arterial hypertension, Digma Medical, a company developing systems to treat insulin resistance present in type 2 diabetes and other metabolic syndrome diseases, and Valcare Medical, a company developing heart valve devices. From 2005 to 2008, Mr. Moshe Arkin served as the head of generics at Perrigo Company and from 2005 until 2011 as the vice chairman of its board of directors. Prior to joining us, Mr. Moshe Arkin served as a director of cCAM Biotherapeutics Ltd., a company focused on the discovery and development of novel immunotherapies to treat cancer from 2012 until its acquisition in 2015 by Merck &amp; Co., Inc. Mr. Moshe Arkin served as chairman of Agis Industries Ltd. from its inception in 1972 until its acquisition by Perrigo Company in 2005. Mr. Moshe Arkin holds a B.A. in psychology from the Tel Aviv University, Israel.</w:t>
      </w:r>
    </w:p>
    <w:p>
      <w:pPr>
        <w:spacing w:after="0" w:line="188" w:lineRule="exact"/>
        <w:rPr>
          <w:sz w:val="20"/>
          <w:szCs w:val="20"/>
          <w:color w:val="auto"/>
        </w:rPr>
      </w:pPr>
    </w:p>
    <w:p>
      <w:pPr>
        <w:jc w:val="both"/>
        <w:ind w:left="5" w:firstLine="568"/>
        <w:spacing w:after="0" w:line="304" w:lineRule="auto"/>
        <w:rPr>
          <w:sz w:val="20"/>
          <w:szCs w:val="20"/>
          <w:color w:val="auto"/>
        </w:rPr>
      </w:pPr>
      <w:r>
        <w:rPr>
          <w:rFonts w:ascii="Arial" w:cs="Arial" w:eastAsia="Arial" w:hAnsi="Arial"/>
          <w:sz w:val="17"/>
          <w:szCs w:val="17"/>
          <w:b w:val="1"/>
          <w:bCs w:val="1"/>
          <w:i w:val="1"/>
          <w:iCs w:val="1"/>
          <w:color w:val="auto"/>
        </w:rPr>
        <w:t xml:space="preserve">Dr. Alon Seri-Levy </w:t>
      </w:r>
      <w:r>
        <w:rPr>
          <w:rFonts w:ascii="Arial" w:cs="Arial" w:eastAsia="Arial" w:hAnsi="Arial"/>
          <w:sz w:val="17"/>
          <w:szCs w:val="17"/>
          <w:color w:val="auto"/>
        </w:rPr>
        <w:t>co-founded Sol-Gel and has served as our chief executive officer since our inception in 1997 and as a member of our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board of 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of directors immediately following the pricing of our initial public offering.</w:t>
      </w:r>
    </w:p>
    <w:p>
      <w:pPr>
        <w:spacing w:after="0" w:line="181" w:lineRule="exact"/>
        <w:rPr>
          <w:sz w:val="20"/>
          <w:szCs w:val="20"/>
          <w:color w:val="auto"/>
        </w:rPr>
      </w:pPr>
    </w:p>
    <w:p>
      <w:pPr>
        <w:jc w:val="both"/>
        <w:ind w:left="5" w:firstLine="568"/>
        <w:spacing w:after="0" w:line="282" w:lineRule="auto"/>
        <w:rPr>
          <w:sz w:val="20"/>
          <w:szCs w:val="20"/>
          <w:color w:val="auto"/>
        </w:rPr>
      </w:pPr>
      <w:r>
        <w:rPr>
          <w:rFonts w:ascii="Arial" w:cs="Arial" w:eastAsia="Arial" w:hAnsi="Arial"/>
          <w:sz w:val="18"/>
          <w:szCs w:val="18"/>
          <w:b w:val="1"/>
          <w:bCs w:val="1"/>
          <w:i w:val="1"/>
          <w:iCs w:val="1"/>
          <w:color w:val="auto"/>
        </w:rPr>
        <w:t xml:space="preserve">Mr. Gilad Mamlok </w:t>
      </w:r>
      <w:r>
        <w:rPr>
          <w:rFonts w:ascii="Arial" w:cs="Arial" w:eastAsia="Arial" w:hAnsi="Arial"/>
          <w:sz w:val="18"/>
          <w:szCs w:val="18"/>
          <w:color w:val="auto"/>
        </w:rPr>
        <w:t>has served as our chief financial officer since February 2017. From August 2015 to January 2017, Mr. Mamlok served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chief financial officer for Medigus Ltd., a medical device company dual listed on Nasdaq and the Tel Aviv Stock Exchange, or the TASE. From September 2005 to March 2015, Mr. Mamlok served as senior vice president, global finance and 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33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97" w:name="page98"/>
    <w:bookmarkEnd w:id="97"/>
    <w:p>
      <w:pPr>
        <w:jc w:val="both"/>
        <w:ind w:firstLine="568"/>
        <w:spacing w:after="0" w:line="267" w:lineRule="auto"/>
        <w:rPr>
          <w:sz w:val="20"/>
          <w:szCs w:val="20"/>
          <w:color w:val="auto"/>
        </w:rPr>
      </w:pPr>
      <w:r>
        <w:rPr>
          <w:rFonts w:ascii="Arial" w:cs="Arial" w:eastAsia="Arial" w:hAnsi="Arial"/>
          <w:sz w:val="19"/>
          <w:szCs w:val="19"/>
          <w:b w:val="1"/>
          <w:bCs w:val="1"/>
          <w:i w:val="1"/>
          <w:iCs w:val="1"/>
          <w:color w:val="auto"/>
        </w:rPr>
        <w:t xml:space="preserve">Dr. Ofer Toledano </w:t>
      </w:r>
      <w:r>
        <w:rPr>
          <w:rFonts w:ascii="Arial" w:cs="Arial" w:eastAsia="Arial" w:hAnsi="Arial"/>
          <w:sz w:val="19"/>
          <w:szCs w:val="19"/>
          <w:color w:val="auto"/>
        </w:rPr>
        <w:t>has served as our vice president of research and development since 2004. Prior to joining Sol-Gel, Dr. Toledano served as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manager of 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210"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b w:val="1"/>
          <w:bCs w:val="1"/>
          <w:i w:val="1"/>
          <w:iCs w:val="1"/>
          <w:color w:val="auto"/>
        </w:rPr>
        <w:t xml:space="preserve">Dr. Ofra Levy-Hacham </w:t>
      </w:r>
      <w:r>
        <w:rPr>
          <w:rFonts w:ascii="Arial" w:cs="Arial" w:eastAsia="Arial" w:hAnsi="Arial"/>
          <w:sz w:val="18"/>
          <w:szCs w:val="18"/>
          <w:color w:val="auto"/>
        </w:rPr>
        <w:t>has served as our vice president of clinical and regulatory affairs since 2018, and as our vice president of quality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regulatory affairs from 2011 to 2018. Prior to joining Sol-Gel, Dr. Levy-Hacham served as a scientific specialist and project manager at Biotechnology General Ltd., a wholly owned subsidiary of Ferring Pharmaceuticals Ltd., and a fully integrated biopharmaceutical services private company from 2010 until 2011. From 2005 until 2010, Dr. Levy-Hacham served as vice president chemistry, manufacturing and controls at HealOr Ltd., a private company engaging in the development of therapeutics for the treatment of various skin disorders. Dr. Levy-Hacham holds a Ph.D. in chemistry from The Technion – Israel Institute of Technology, Israel.</w:t>
      </w:r>
    </w:p>
    <w:p>
      <w:pPr>
        <w:spacing w:after="0" w:line="196"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b w:val="1"/>
          <w:bCs w:val="1"/>
          <w:i w:val="1"/>
          <w:iCs w:val="1"/>
          <w:color w:val="auto"/>
        </w:rPr>
        <w:t xml:space="preserve">Dr. Karine Neimann </w:t>
      </w:r>
      <w:r>
        <w:rPr>
          <w:rFonts w:ascii="Arial" w:cs="Arial" w:eastAsia="Arial" w:hAnsi="Arial"/>
          <w:sz w:val="19"/>
          <w:szCs w:val="19"/>
          <w:color w:val="auto"/>
        </w:rPr>
        <w:t>has served as our vice president of projects and planning and chief chemist since September 2016. Since joining us in</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2008, Dr. Neimann held various positions, including as chief chemist and laboratory manager. Dr. Neimann holds a Ph.D. in chemistry from The Hebrew University of Jerusalem, Israel.</w:t>
      </w:r>
    </w:p>
    <w:p>
      <w:pPr>
        <w:spacing w:after="0" w:line="206" w:lineRule="exact"/>
        <w:rPr>
          <w:sz w:val="20"/>
          <w:szCs w:val="20"/>
          <w:color w:val="auto"/>
        </w:rPr>
      </w:pPr>
    </w:p>
    <w:p>
      <w:pPr>
        <w:jc w:val="both"/>
        <w:ind w:right="20" w:firstLine="568"/>
        <w:spacing w:after="0" w:line="313" w:lineRule="auto"/>
        <w:rPr>
          <w:sz w:val="20"/>
          <w:szCs w:val="20"/>
          <w:color w:val="auto"/>
        </w:rPr>
      </w:pPr>
      <w:r>
        <w:rPr>
          <w:rFonts w:ascii="Arial" w:cs="Arial" w:eastAsia="Arial" w:hAnsi="Arial"/>
          <w:sz w:val="18"/>
          <w:szCs w:val="18"/>
          <w:b w:val="1"/>
          <w:bCs w:val="1"/>
          <w:i w:val="1"/>
          <w:iCs w:val="1"/>
          <w:color w:val="auto"/>
        </w:rPr>
        <w:t xml:space="preserve">Dr. Itzik Yosef </w:t>
      </w:r>
      <w:r>
        <w:rPr>
          <w:rFonts w:ascii="Arial" w:cs="Arial" w:eastAsia="Arial" w:hAnsi="Arial"/>
          <w:sz w:val="18"/>
          <w:szCs w:val="18"/>
          <w:color w:val="auto"/>
        </w:rPr>
        <w:t>has served as our vice president of operations since August 2016. Since joining us in 2010, Dr. Yosef held various positions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as head of operations. Dr. Yosef holds a Ph.D. in chemistry from The Hebrew University of Jerusalem, Israel.</w:t>
      </w:r>
    </w:p>
    <w:p>
      <w:pPr>
        <w:spacing w:after="0" w:line="170" w:lineRule="exact"/>
        <w:rPr>
          <w:sz w:val="20"/>
          <w:szCs w:val="20"/>
          <w:color w:val="auto"/>
        </w:rPr>
      </w:pPr>
    </w:p>
    <w:p>
      <w:pPr>
        <w:jc w:val="both"/>
        <w:ind w:right="20" w:firstLine="568"/>
        <w:spacing w:after="0" w:line="287" w:lineRule="auto"/>
        <w:rPr>
          <w:sz w:val="20"/>
          <w:szCs w:val="20"/>
          <w:color w:val="auto"/>
        </w:rPr>
      </w:pPr>
      <w:r>
        <w:rPr>
          <w:rFonts w:ascii="Arial" w:cs="Arial" w:eastAsia="Arial" w:hAnsi="Arial"/>
          <w:sz w:val="18"/>
          <w:szCs w:val="18"/>
          <w:b w:val="1"/>
          <w:bCs w:val="1"/>
          <w:i w:val="1"/>
          <w:iCs w:val="1"/>
          <w:color w:val="auto"/>
        </w:rPr>
        <w:t xml:space="preserve">Dr. Dubi Zamir </w:t>
      </w:r>
      <w:r>
        <w:rPr>
          <w:rFonts w:ascii="Arial" w:cs="Arial" w:eastAsia="Arial" w:hAnsi="Arial"/>
          <w:sz w:val="18"/>
          <w:szCs w:val="18"/>
          <w:color w:val="auto"/>
        </w:rPr>
        <w:t>has served as our vice president special projects since August 2016. Prior to joining us, Dr. Zamir lead the R&amp;D group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Cima NanoTech Ltd., a private company developing sophisticated nanotechnology-based coating formulations from 2007 until 2016. From 2004 to 2007, Dr. Zamir was VP of Pharma and Analytical R&amp;D at Taro Pharmaceutical Industries in Haifa, and for three years prior to that he managed its Analytical R&amp;D lab. Dr. Zamir holds a Ph.D. in organic chemistry from Tel-Aviv University, Israel.</w:t>
      </w:r>
    </w:p>
    <w:p>
      <w:pPr>
        <w:spacing w:after="0" w:line="193"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b w:val="1"/>
          <w:bCs w:val="1"/>
          <w:i w:val="1"/>
          <w:iCs w:val="1"/>
          <w:color w:val="auto"/>
        </w:rPr>
        <w:t xml:space="preserve">Mr. Nissim Bilman </w:t>
      </w:r>
      <w:r>
        <w:rPr>
          <w:rFonts w:ascii="Arial" w:cs="Arial" w:eastAsia="Arial" w:hAnsi="Arial"/>
          <w:sz w:val="19"/>
          <w:szCs w:val="19"/>
          <w:color w:val="auto"/>
        </w:rPr>
        <w:t>became Vice President Quality of Sol-Gel on the August 15, 2018. From 2004 until 2018, Mr. Bilman served as CEO of</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QPRO Pharma, a project management and consulting company offering services related to the pharmaceutical industry. From 2011 until 2018, he served as the Vice President Drug Development of Exalenz Bioscience. From 2007 until 2010, Mr. Bilman served as VP R&amp;D and Manufacturing and Site Manager for Gelesis Inc./Gelesis R&amp;D Ltd. Mr. Bilman holds a Bachelor Degree in Chemistry and Meteorology, as well as a Master of Science in Applied Chemistry, both from the Hebrew University in Israel.</w:t>
      </w:r>
    </w:p>
    <w:p>
      <w:pPr>
        <w:spacing w:after="0" w:line="213"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b w:val="1"/>
          <w:bCs w:val="1"/>
          <w:i w:val="1"/>
          <w:iCs w:val="1"/>
          <w:color w:val="auto"/>
        </w:rPr>
        <w:t xml:space="preserve">Mr. John Vieira </w:t>
      </w:r>
      <w:r>
        <w:rPr>
          <w:rFonts w:ascii="Arial" w:cs="Arial" w:eastAsia="Arial" w:hAnsi="Arial"/>
          <w:sz w:val="18"/>
          <w:szCs w:val="18"/>
          <w:color w:val="auto"/>
        </w:rPr>
        <w:t>has served as our U.S. head of commercialization since January 2019. Prior to joining Sol-Gel, Mr. Vieira served in U.S.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Global Marketing roles at Leo Pharmaceuticals. Prior to Leo Pharmaceuticals, Mr. Vieira was Executive Director, Thrombosis, at Daiichi Sankyo, where he led the global launch of a major anti-coagulant, following various senior leadership roles in the U.S. commercial operations. Prior to Daiichi Sankyo, Mr. Vieira held leadership positions at several healthcare companies, including Organon Biopharmaceuticals and GlaxoSmithKline, successfully launching over six new global and U.S. products in diverse therapeutic areas. Mr. Vieira holds an M.B.A. degree from Rutgers University and a B.A. degree from York University in Toronto, Canada.</w:t>
      </w:r>
    </w:p>
    <w:p>
      <w:pPr>
        <w:spacing w:after="0" w:line="196"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b w:val="1"/>
          <w:bCs w:val="1"/>
          <w:i w:val="1"/>
          <w:iCs w:val="1"/>
          <w:color w:val="auto"/>
        </w:rPr>
        <w:t xml:space="preserve">Mr. Itai Arkin </w:t>
      </w:r>
      <w:r>
        <w:rPr>
          <w:rFonts w:ascii="Arial" w:cs="Arial" w:eastAsia="Arial" w:hAnsi="Arial"/>
          <w:sz w:val="19"/>
          <w:szCs w:val="19"/>
          <w:color w:val="auto"/>
        </w:rPr>
        <w:t>became a member of our board of directors immediately following the pricing of our initial public offering. Mr. Itai Arkin</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currently serves as Investment Manager at Arkin Holdings Ltd. and as an investment committee member of Accelmed, a leading Israeli MedTech investment firm since March 2014. Mr. Itai Arkin holds a B.A. in business administration (cum laude) from Interdisciplinary Center, Herzliya, Israel, and an MBA (cum laude) from Tel Aviv University. Mr. Itai Arkin is the son of Mr. Moshe Arkin, the chairman of our board of directors and sole beneficial owner of Arkin Dermatology, our controlling shareholder.</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98" w:name="page99"/>
    <w:bookmarkEnd w:id="98"/>
    <w:p>
      <w:pPr>
        <w:jc w:val="both"/>
        <w:ind w:firstLine="568"/>
        <w:spacing w:after="0" w:line="263" w:lineRule="auto"/>
        <w:rPr>
          <w:sz w:val="20"/>
          <w:szCs w:val="20"/>
          <w:color w:val="auto"/>
        </w:rPr>
      </w:pPr>
      <w:r>
        <w:rPr>
          <w:rFonts w:ascii="Arial" w:cs="Arial" w:eastAsia="Arial" w:hAnsi="Arial"/>
          <w:sz w:val="19"/>
          <w:szCs w:val="19"/>
          <w:b w:val="1"/>
          <w:bCs w:val="1"/>
          <w:i w:val="1"/>
          <w:iCs w:val="1"/>
          <w:color w:val="auto"/>
        </w:rPr>
        <w:t xml:space="preserve">Dr. Shmuel (Muli) Ben Zvi </w:t>
      </w:r>
      <w:r>
        <w:rPr>
          <w:rFonts w:ascii="Arial" w:cs="Arial" w:eastAsia="Arial" w:hAnsi="Arial"/>
          <w:sz w:val="19"/>
          <w:szCs w:val="19"/>
          <w:color w:val="auto"/>
        </w:rPr>
        <w:t>became a member of our board of directors immediately following pricing of our initial public offering. Dr. Ben</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Zvi is currently a board member and member of the risk management, technology, investment and strategy committees at Bank Leumi, and a board member and member of the audit committee and compensation committee of VBL Therapeutics.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216"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b w:val="1"/>
          <w:bCs w:val="1"/>
          <w:i w:val="1"/>
          <w:iCs w:val="1"/>
          <w:color w:val="auto"/>
        </w:rPr>
        <w:t xml:space="preserve">Ms. Hani Lerman </w:t>
      </w:r>
      <w:r>
        <w:rPr>
          <w:rFonts w:ascii="Arial" w:cs="Arial" w:eastAsia="Arial" w:hAnsi="Arial"/>
          <w:sz w:val="19"/>
          <w:szCs w:val="19"/>
          <w:color w:val="auto"/>
        </w:rPr>
        <w:t>became a member of our board of directors immediately following pricing of our initial public offering. Ms. Lerman has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served as chief financial officer at Arkin Holdings since 2015. From 2010 until 2014, Ms. Lerman served as chief financial officer of Sansa Security (f/k/a Discretix Technologies), and from 2006 until 2010, she served as chief financial officer of Storwize, which was acquired by IBM in 2010. She holds a Master's degree in business administration with a major in finance from Tel-Aviv University, Israel, and a B.A. in economics and accounting from Tel-Aviv University, Israel.</w:t>
      </w:r>
    </w:p>
    <w:p>
      <w:pPr>
        <w:spacing w:after="0" w:line="213"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b w:val="1"/>
          <w:bCs w:val="1"/>
          <w:i w:val="1"/>
          <w:iCs w:val="1"/>
          <w:color w:val="auto"/>
        </w:rPr>
        <w:t>Ms. Yaffa Krindel</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Sieradzki </w:t>
      </w:r>
      <w:r>
        <w:rPr>
          <w:rFonts w:ascii="Arial" w:cs="Arial" w:eastAsia="Arial" w:hAnsi="Arial"/>
          <w:sz w:val="18"/>
          <w:szCs w:val="18"/>
          <w:color w:val="auto"/>
        </w:rPr>
        <w:t>became a member of our board of directors on February 23, 2018. Ms. Krindel-Sieradzki currently serves 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board of Itamar Medical Ltd., a medical device company publicly traded on both Nasdaq and the Tel Aviv Stock Exchange ("TASE"), BGN Technologies Ltd., the technology transfer company of Ben Gurion University, and three private medical device companies, as follows: EZbra Advanced Wound Care Ltd., Theranica Bio Electronics Ltd. and Trisol Medical Ltd. Ms. Krindel-Sieradzki has served on the board of directors of numerous companies publicly traded on Nasdaq. From 1997 until 2007, Ms. Krindel-Sieradzki served as Partner and Managing Partner of Star Ventures, a private venture capital fund headquartered in Munich, Germany. Before joining Star Ventures, Ms. Krindel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Krindel-Sieradzki has earned an M.B.A. from Tel Aviv University and a B.A. in Economics and Japanese Studies from the Hebrew University in Jerusalem, both with honors.</w:t>
      </w:r>
    </w:p>
    <w:p>
      <w:pPr>
        <w:spacing w:after="0" w:line="204" w:lineRule="exact"/>
        <w:rPr>
          <w:sz w:val="20"/>
          <w:szCs w:val="20"/>
          <w:color w:val="auto"/>
        </w:rPr>
      </w:pPr>
    </w:p>
    <w:p>
      <w:pPr>
        <w:jc w:val="both"/>
        <w:ind w:firstLine="568"/>
        <w:spacing w:after="0" w:line="262" w:lineRule="auto"/>
        <w:rPr>
          <w:sz w:val="20"/>
          <w:szCs w:val="20"/>
          <w:color w:val="auto"/>
        </w:rPr>
      </w:pPr>
      <w:r>
        <w:rPr>
          <w:rFonts w:ascii="Arial" w:cs="Arial" w:eastAsia="Arial" w:hAnsi="Arial"/>
          <w:sz w:val="19"/>
          <w:szCs w:val="19"/>
          <w:b w:val="1"/>
          <w:bCs w:val="1"/>
          <w:i w:val="1"/>
          <w:iCs w:val="1"/>
          <w:color w:val="auto"/>
        </w:rPr>
        <w:t xml:space="preserve">Jonathan B. Siegel </w:t>
      </w:r>
      <w:r>
        <w:rPr>
          <w:rFonts w:ascii="Arial" w:cs="Arial" w:eastAsia="Arial" w:hAnsi="Arial"/>
          <w:sz w:val="19"/>
          <w:szCs w:val="19"/>
          <w:color w:val="auto"/>
        </w:rPr>
        <w:t>became a member of our board of directors on September 13, 2018. Mr. Siegel is the founder and CEO of JBS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Healthcare Ventures since formation in 2017. Previously, he was a partner and healthcare sector head at Kingdon Capital Management from 2011 until 2017. Prior to joining Kingdon, Mr. Siegel was a healthcare portfolio manager at SAC Capital Advisors from 2005 until 2011; an associate director of pharmaceutical and specialty pharmaceutical research at Bear, Stearns &amp; Co.; a pharmaceuticals research associate at Dresdner Kleinwort Wasserstein; and a consultant to the Life Sciences Division of Computer Sciences Corporation. Mr. Siegel has worked as a research associate at the Novartis Center for Immunobiology at Harvard Medical School and as a research assistant at Tufts University School of Medicine. He is also a director at Jaguar Health, Inc., a Nasdaq listed company, and has served on the board of advisors of Vitalis LLC, a private pharmaceutical company, since March 2019. Mr. Siegel received a BS in Psychology from Tufts University in 1995 and an MBA from Columbia Business School in 1999.</w:t>
      </w:r>
    </w:p>
    <w:p>
      <w:pPr>
        <w:spacing w:after="0" w:line="219"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b w:val="1"/>
          <w:bCs w:val="1"/>
          <w:i w:val="1"/>
          <w:iCs w:val="1"/>
          <w:color w:val="auto"/>
        </w:rPr>
        <w:t xml:space="preserve">Mr. Ran Gottfried </w:t>
      </w:r>
      <w:r>
        <w:rPr>
          <w:rFonts w:ascii="Arial" w:cs="Arial" w:eastAsia="Arial" w:hAnsi="Arial"/>
          <w:sz w:val="18"/>
          <w:szCs w:val="18"/>
          <w:color w:val="auto"/>
        </w:rPr>
        <w:t>became a member of our board of directors immediately following the pricing of our initial public offering and serves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 external director under the Companies Law.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 He is currently a board member and member of the audit and investment, technology and innovation and risk management committees at Shufersal Ltd.</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99" w:name="page100"/>
    <w:bookmarkEnd w:id="99"/>
    <w:p>
      <w:pPr>
        <w:jc w:val="both"/>
        <w:ind w:left="5" w:firstLine="568"/>
        <w:spacing w:after="0" w:line="263" w:lineRule="auto"/>
        <w:rPr>
          <w:sz w:val="20"/>
          <w:szCs w:val="20"/>
          <w:color w:val="auto"/>
        </w:rPr>
      </w:pPr>
      <w:r>
        <w:rPr>
          <w:rFonts w:ascii="Arial" w:cs="Arial" w:eastAsia="Arial" w:hAnsi="Arial"/>
          <w:sz w:val="19"/>
          <w:szCs w:val="19"/>
          <w:b w:val="1"/>
          <w:bCs w:val="1"/>
          <w:i w:val="1"/>
          <w:iCs w:val="1"/>
          <w:color w:val="auto"/>
        </w:rPr>
        <w:t xml:space="preserve">Mr. Jerrold S. Gattegno </w:t>
      </w:r>
      <w:r>
        <w:rPr>
          <w:rFonts w:ascii="Arial" w:cs="Arial" w:eastAsia="Arial" w:hAnsi="Arial"/>
          <w:sz w:val="19"/>
          <w:szCs w:val="19"/>
          <w:color w:val="auto"/>
        </w:rPr>
        <w:t>became a member of our board of directors immediately following the pricing of our initial public offering and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serves as an external director under the Companies Law. Mr. Gattegno worked in the New York, Washington D.C. and London offices of Deloitte Touche Tohmatsu Limited, a public accounting firm, from 1973 until 2015, where he served in various senior positions, including as the partner-in-charge and founding partner of Deloitte’s multistate tax practice and as a managing partner in Deloitte’s Washington National Tax Office, and as managing director and principal of Deloitte Tax Overseas Services LLC. Mr. Gattegno served as a governing board member of the Hispanic Association of Colleges and Universities and a member of its finance and audit committee, from 2012 until 2015. Mr. Gattegno is a certified public accountant and holds a B.S. in accounting (cum laude) from the City University of New York and an M.B.A. in taxation (with honors) from Pace University, New York.</w:t>
      </w:r>
    </w:p>
    <w:p>
      <w:pPr>
        <w:spacing w:after="0" w:line="207" w:lineRule="exact"/>
        <w:rPr>
          <w:sz w:val="20"/>
          <w:szCs w:val="20"/>
          <w:color w:val="auto"/>
        </w:rPr>
      </w:pPr>
    </w:p>
    <w:p>
      <w:pPr>
        <w:ind w:left="685" w:hanging="685"/>
        <w:spacing w:after="0"/>
        <w:tabs>
          <w:tab w:leader="none" w:pos="685" w:val="left"/>
        </w:tabs>
        <w:numPr>
          <w:ilvl w:val="0"/>
          <w:numId w:val="74"/>
        </w:numPr>
        <w:rPr>
          <w:rFonts w:ascii="Arial" w:cs="Arial" w:eastAsia="Arial" w:hAnsi="Arial"/>
          <w:sz w:val="19"/>
          <w:szCs w:val="19"/>
          <w:b w:val="1"/>
          <w:bCs w:val="1"/>
          <w:color w:val="auto"/>
        </w:rPr>
      </w:pPr>
      <w:r>
        <w:rPr>
          <w:rFonts w:ascii="Arial" w:cs="Arial" w:eastAsia="Arial" w:hAnsi="Arial"/>
          <w:sz w:val="19"/>
          <w:szCs w:val="19"/>
          <w:b w:val="1"/>
          <w:bCs w:val="1"/>
          <w:color w:val="auto"/>
        </w:rPr>
        <w:t>Compensation</w:t>
      </w:r>
    </w:p>
    <w:p>
      <w:pPr>
        <w:spacing w:after="0" w:line="261"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The aggregate compensation paid by us to our executive officers and directors for the year ended December 31, 2020 was approximately $3.2 million. This amount includes approximately $0.4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210" w:lineRule="exact"/>
        <w:rPr>
          <w:sz w:val="20"/>
          <w:szCs w:val="20"/>
          <w:color w:val="auto"/>
        </w:rPr>
      </w:pPr>
    </w:p>
    <w:p>
      <w:pPr>
        <w:jc w:val="both"/>
        <w:ind w:left="5" w:firstLine="568"/>
        <w:spacing w:after="0" w:line="271" w:lineRule="auto"/>
        <w:rPr>
          <w:sz w:val="20"/>
          <w:szCs w:val="20"/>
          <w:color w:val="auto"/>
        </w:rPr>
      </w:pPr>
      <w:r>
        <w:rPr>
          <w:rFonts w:ascii="Arial" w:cs="Arial" w:eastAsia="Arial" w:hAnsi="Arial"/>
          <w:sz w:val="19"/>
          <w:szCs w:val="19"/>
          <w:color w:val="auto"/>
        </w:rPr>
        <w:t>The table and summary below outline the compensation granted to our five highest compensated directors and officers during the year ended December 31, 2020. The compensation detailed in the table below refers to actual compensation granted or paid to the director or officer during the year 2020.</w:t>
      </w:r>
    </w:p>
    <w:p>
      <w:pPr>
        <w:spacing w:after="0" w:line="197" w:lineRule="exact"/>
        <w:rPr>
          <w:sz w:val="20"/>
          <w:szCs w:val="20"/>
          <w:color w:val="auto"/>
        </w:rPr>
      </w:pPr>
    </w:p>
    <w:tbl>
      <w:tblPr>
        <w:tblLayout w:type="fixed"/>
        <w:tblInd w:w="5" w:type="dxa"/>
        <w:tblCellMar>
          <w:top w:w="0" w:type="dxa"/>
          <w:left w:w="0" w:type="dxa"/>
          <w:bottom w:w="0" w:type="dxa"/>
          <w:right w:w="0" w:type="dxa"/>
        </w:tblCellMar>
      </w:tblPr>
      <w:tr>
        <w:trPr>
          <w:trHeight w:val="189"/>
        </w:trPr>
        <w:tc>
          <w:tcPr>
            <w:tcW w:w="4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1"/>
              </w:rPr>
              <w:t>Value of Equity</w:t>
            </w: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4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8"/>
              </w:rPr>
              <w:t>Base Salary or</w:t>
            </w:r>
          </w:p>
        </w:tc>
        <w:tc>
          <w:tcPr>
            <w:tcW w:w="13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9"/>
              </w:rPr>
              <w:t>Value of</w:t>
            </w:r>
          </w:p>
        </w:tc>
        <w:tc>
          <w:tcPr>
            <w:tcW w:w="136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7"/>
              </w:rPr>
              <w:t>Based</w:t>
            </w:r>
          </w:p>
        </w:tc>
        <w:tc>
          <w:tcPr>
            <w:tcW w:w="132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4"/>
              </w:rPr>
              <w:t>All Other</w:t>
            </w: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45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3"/>
              </w:rPr>
              <w:t>Other</w:t>
            </w:r>
          </w:p>
        </w:tc>
        <w:tc>
          <w:tcPr>
            <w:tcW w:w="13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4"/>
              </w:rPr>
              <w:t>Social</w:t>
            </w:r>
          </w:p>
        </w:tc>
        <w:tc>
          <w:tcPr>
            <w:tcW w:w="136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8"/>
              </w:rPr>
              <w:t>Compensation</w:t>
            </w:r>
          </w:p>
        </w:tc>
        <w:tc>
          <w:tcPr>
            <w:tcW w:w="132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8"/>
              </w:rPr>
              <w:t>Compensation</w:t>
            </w: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209"/>
        </w:trPr>
        <w:tc>
          <w:tcPr>
            <w:tcW w:w="4500" w:type="dxa"/>
            <w:vAlign w:val="bottom"/>
            <w:tcBorders>
              <w:bottom w:val="single" w:sz="8" w:color="auto"/>
            </w:tcBorders>
          </w:tcPr>
          <w:p>
            <w:pPr>
              <w:ind w:left="900"/>
              <w:spacing w:after="0"/>
              <w:rPr>
                <w:sz w:val="20"/>
                <w:szCs w:val="20"/>
                <w:color w:val="auto"/>
              </w:rPr>
            </w:pPr>
            <w:r>
              <w:rPr>
                <w:rFonts w:ascii="Arial" w:cs="Arial" w:eastAsia="Arial" w:hAnsi="Arial"/>
                <w:sz w:val="16"/>
                <w:szCs w:val="16"/>
                <w:b w:val="1"/>
                <w:bCs w:val="1"/>
                <w:color w:val="auto"/>
              </w:rPr>
              <w:t>Name and Position of director or officer</w:t>
            </w:r>
          </w:p>
        </w:tc>
        <w:tc>
          <w:tcPr>
            <w:tcW w:w="120" w:type="dxa"/>
            <w:vAlign w:val="bottom"/>
          </w:tcPr>
          <w:p>
            <w:pPr>
              <w:spacing w:after="0"/>
              <w:rPr>
                <w:sz w:val="18"/>
                <w:szCs w:val="18"/>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0"/>
              </w:rPr>
              <w:t>Payment (1)</w:t>
            </w:r>
          </w:p>
        </w:tc>
        <w:tc>
          <w:tcPr>
            <w:tcW w:w="240" w:type="dxa"/>
            <w:vAlign w:val="bottom"/>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7"/>
              </w:rPr>
              <w:t>Benefits (2)</w:t>
            </w:r>
          </w:p>
        </w:tc>
        <w:tc>
          <w:tcPr>
            <w:tcW w:w="240" w:type="dxa"/>
            <w:vAlign w:val="bottom"/>
          </w:tcPr>
          <w:p>
            <w:pPr>
              <w:spacing w:after="0"/>
              <w:rPr>
                <w:sz w:val="18"/>
                <w:szCs w:val="18"/>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Granted (3)</w:t>
            </w:r>
          </w:p>
        </w:tc>
        <w:tc>
          <w:tcPr>
            <w:tcW w:w="220" w:type="dxa"/>
            <w:vAlign w:val="bottom"/>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(4)</w:t>
            </w:r>
          </w:p>
        </w:tc>
        <w:tc>
          <w:tcPr>
            <w:tcW w:w="220" w:type="dxa"/>
            <w:vAlign w:val="bottom"/>
          </w:tcPr>
          <w:p>
            <w:pPr>
              <w:spacing w:after="0"/>
              <w:rPr>
                <w:sz w:val="18"/>
                <w:szCs w:val="18"/>
                <w:color w:val="auto"/>
              </w:rPr>
            </w:pPr>
          </w:p>
        </w:tc>
        <w:tc>
          <w:tcPr>
            <w:tcW w:w="1100" w:type="dxa"/>
            <w:vAlign w:val="bottom"/>
            <w:tcBorders>
              <w:bottom w:val="single" w:sz="8" w:color="auto"/>
            </w:tcBorders>
          </w:tcPr>
          <w:p>
            <w:pPr>
              <w:ind w:left="380"/>
              <w:spacing w:after="0"/>
              <w:rPr>
                <w:sz w:val="20"/>
                <w:szCs w:val="20"/>
                <w:color w:val="auto"/>
              </w:rPr>
            </w:pPr>
            <w:r>
              <w:rPr>
                <w:rFonts w:ascii="Arial" w:cs="Arial" w:eastAsia="Arial" w:hAnsi="Arial"/>
                <w:sz w:val="16"/>
                <w:szCs w:val="16"/>
                <w:b w:val="1"/>
                <w:bCs w:val="1"/>
                <w:color w:val="auto"/>
              </w:rPr>
              <w:t>Total</w:t>
            </w:r>
          </w:p>
        </w:tc>
        <w:tc>
          <w:tcPr>
            <w:tcW w:w="120" w:type="dxa"/>
            <w:vAlign w:val="bottom"/>
          </w:tcPr>
          <w:p>
            <w:pPr>
              <w:spacing w:after="0"/>
              <w:rPr>
                <w:sz w:val="18"/>
                <w:szCs w:val="18"/>
                <w:color w:val="auto"/>
              </w:rPr>
            </w:pPr>
          </w:p>
        </w:tc>
      </w:tr>
      <w:tr>
        <w:trPr>
          <w:trHeight w:val="189"/>
        </w:trPr>
        <w:tc>
          <w:tcPr>
            <w:tcW w:w="4500" w:type="dxa"/>
            <w:vAlign w:val="bottom"/>
          </w:tcPr>
          <w:p>
            <w:pPr>
              <w:ind w:left="1860"/>
              <w:spacing w:after="0"/>
              <w:rPr>
                <w:sz w:val="20"/>
                <w:szCs w:val="20"/>
                <w:color w:val="auto"/>
              </w:rPr>
            </w:pPr>
            <w:r>
              <w:rPr>
                <w:rFonts w:ascii="Arial" w:cs="Arial" w:eastAsia="Arial" w:hAnsi="Arial"/>
                <w:sz w:val="16"/>
                <w:szCs w:val="16"/>
                <w:b w:val="1"/>
                <w:bCs w:val="1"/>
                <w:color w:val="auto"/>
                <w:w w:val="90"/>
              </w:rPr>
              <w:t>(Amounts in U.S. dollars are based on</w:t>
            </w:r>
          </w:p>
        </w:tc>
        <w:tc>
          <w:tcPr>
            <w:tcW w:w="5540" w:type="dxa"/>
            <w:vAlign w:val="bottom"/>
            <w:gridSpan w:val="9"/>
          </w:tcPr>
          <w:p>
            <w:pPr>
              <w:jc w:val="right"/>
              <w:ind w:right="740"/>
              <w:spacing w:after="0"/>
              <w:rPr>
                <w:sz w:val="20"/>
                <w:szCs w:val="20"/>
                <w:color w:val="auto"/>
              </w:rPr>
            </w:pPr>
            <w:r>
              <w:rPr>
                <w:rFonts w:ascii="Arial" w:cs="Arial" w:eastAsia="Arial" w:hAnsi="Arial"/>
                <w:sz w:val="16"/>
                <w:szCs w:val="16"/>
                <w:b w:val="1"/>
                <w:bCs w:val="1"/>
                <w:color w:val="auto"/>
                <w:w w:val="87"/>
              </w:rPr>
              <w:t>2020 monthly average representative U.S. dollar – NIS rate of exchange)</w:t>
            </w: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4500" w:type="dxa"/>
            <w:vAlign w:val="bottom"/>
            <w:shd w:val="clear" w:color="auto" w:fill="CCEEFF"/>
          </w:tcPr>
          <w:p>
            <w:pPr>
              <w:spacing w:after="0"/>
              <w:rPr>
                <w:sz w:val="20"/>
                <w:szCs w:val="20"/>
                <w:color w:val="auto"/>
              </w:rPr>
            </w:pPr>
            <w:r>
              <w:rPr>
                <w:rFonts w:ascii="Arial" w:cs="Arial" w:eastAsia="Arial" w:hAnsi="Arial"/>
                <w:sz w:val="16"/>
                <w:szCs w:val="16"/>
                <w:color w:val="auto"/>
              </w:rPr>
              <w:t>Alon Seri-Levy / CEO</w:t>
            </w:r>
          </w:p>
        </w:tc>
        <w:tc>
          <w:tcPr>
            <w:tcW w:w="1500" w:type="dxa"/>
            <w:vAlign w:val="bottom"/>
            <w:gridSpan w:val="3"/>
            <w:shd w:val="clear" w:color="auto" w:fill="CCEEFF"/>
          </w:tcPr>
          <w:p>
            <w:pPr>
              <w:jc w:val="right"/>
              <w:ind w:right="240"/>
              <w:spacing w:after="0"/>
              <w:rPr>
                <w:sz w:val="20"/>
                <w:szCs w:val="20"/>
                <w:color w:val="auto"/>
              </w:rPr>
            </w:pPr>
            <w:r>
              <w:rPr>
                <w:rFonts w:ascii="Arial" w:cs="Arial" w:eastAsia="Arial" w:hAnsi="Arial"/>
                <w:sz w:val="16"/>
                <w:szCs w:val="16"/>
                <w:color w:val="auto"/>
              </w:rPr>
              <w:t>314</w:t>
            </w: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61</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239</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22</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636</w:t>
            </w:r>
          </w:p>
        </w:tc>
      </w:tr>
      <w:tr>
        <w:trPr>
          <w:trHeight w:val="189"/>
        </w:trPr>
        <w:tc>
          <w:tcPr>
            <w:tcW w:w="4500" w:type="dxa"/>
            <w:vAlign w:val="bottom"/>
          </w:tcPr>
          <w:p>
            <w:pPr>
              <w:spacing w:after="0"/>
              <w:rPr>
                <w:sz w:val="20"/>
                <w:szCs w:val="20"/>
                <w:color w:val="auto"/>
              </w:rPr>
            </w:pPr>
            <w:r>
              <w:rPr>
                <w:rFonts w:ascii="Arial" w:cs="Arial" w:eastAsia="Arial" w:hAnsi="Arial"/>
                <w:sz w:val="16"/>
                <w:szCs w:val="16"/>
                <w:color w:val="auto"/>
              </w:rPr>
              <w:t>Gilad Mamlok / CFO</w:t>
            </w:r>
          </w:p>
        </w:tc>
        <w:tc>
          <w:tcPr>
            <w:tcW w:w="1500" w:type="dxa"/>
            <w:vAlign w:val="bottom"/>
            <w:gridSpan w:val="3"/>
          </w:tcPr>
          <w:p>
            <w:pPr>
              <w:jc w:val="right"/>
              <w:ind w:right="240"/>
              <w:spacing w:after="0"/>
              <w:rPr>
                <w:sz w:val="20"/>
                <w:szCs w:val="20"/>
                <w:color w:val="auto"/>
              </w:rPr>
            </w:pPr>
            <w:r>
              <w:rPr>
                <w:rFonts w:ascii="Arial" w:cs="Arial" w:eastAsia="Arial" w:hAnsi="Arial"/>
                <w:sz w:val="16"/>
                <w:szCs w:val="16"/>
                <w:color w:val="auto"/>
              </w:rPr>
              <w:t>262</w:t>
            </w:r>
          </w:p>
        </w:tc>
        <w:tc>
          <w:tcPr>
            <w:tcW w:w="1360" w:type="dxa"/>
            <w:vAlign w:val="bottom"/>
            <w:gridSpan w:val="2"/>
          </w:tcPr>
          <w:p>
            <w:pPr>
              <w:jc w:val="right"/>
              <w:ind w:right="240"/>
              <w:spacing w:after="0"/>
              <w:rPr>
                <w:sz w:val="20"/>
                <w:szCs w:val="20"/>
                <w:color w:val="auto"/>
              </w:rPr>
            </w:pPr>
            <w:r>
              <w:rPr>
                <w:rFonts w:ascii="Arial" w:cs="Arial" w:eastAsia="Arial" w:hAnsi="Arial"/>
                <w:sz w:val="16"/>
                <w:szCs w:val="16"/>
                <w:color w:val="auto"/>
              </w:rPr>
              <w:t>54</w:t>
            </w: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137</w:t>
            </w: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48</w:t>
            </w: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501</w:t>
            </w:r>
          </w:p>
        </w:tc>
      </w:tr>
      <w:tr>
        <w:trPr>
          <w:trHeight w:val="189"/>
        </w:trPr>
        <w:tc>
          <w:tcPr>
            <w:tcW w:w="4500" w:type="dxa"/>
            <w:vAlign w:val="bottom"/>
            <w:shd w:val="clear" w:color="auto" w:fill="CCEEFF"/>
          </w:tcPr>
          <w:p>
            <w:pPr>
              <w:spacing w:after="0"/>
              <w:rPr>
                <w:sz w:val="20"/>
                <w:szCs w:val="20"/>
                <w:color w:val="auto"/>
              </w:rPr>
            </w:pPr>
            <w:r>
              <w:rPr>
                <w:rFonts w:ascii="Arial" w:cs="Arial" w:eastAsia="Arial" w:hAnsi="Arial"/>
                <w:sz w:val="16"/>
                <w:szCs w:val="16"/>
                <w:color w:val="auto"/>
              </w:rPr>
              <w:t>John Vieira / U.S. Head of Commercialization</w:t>
            </w:r>
          </w:p>
        </w:tc>
        <w:tc>
          <w:tcPr>
            <w:tcW w:w="1500" w:type="dxa"/>
            <w:vAlign w:val="bottom"/>
            <w:gridSpan w:val="3"/>
            <w:shd w:val="clear" w:color="auto" w:fill="CCEEFF"/>
          </w:tcPr>
          <w:p>
            <w:pPr>
              <w:jc w:val="right"/>
              <w:ind w:right="240"/>
              <w:spacing w:after="0"/>
              <w:rPr>
                <w:sz w:val="20"/>
                <w:szCs w:val="20"/>
                <w:color w:val="auto"/>
              </w:rPr>
            </w:pPr>
            <w:r>
              <w:rPr>
                <w:rFonts w:ascii="Arial" w:cs="Arial" w:eastAsia="Arial" w:hAnsi="Arial"/>
                <w:sz w:val="16"/>
                <w:szCs w:val="16"/>
                <w:color w:val="auto"/>
              </w:rPr>
              <w:t>241</w:t>
            </w: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17</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113</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26</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398</w:t>
            </w:r>
          </w:p>
        </w:tc>
      </w:tr>
      <w:tr>
        <w:trPr>
          <w:trHeight w:val="189"/>
        </w:trPr>
        <w:tc>
          <w:tcPr>
            <w:tcW w:w="4500" w:type="dxa"/>
            <w:vAlign w:val="bottom"/>
          </w:tcPr>
          <w:p>
            <w:pPr>
              <w:spacing w:after="0"/>
              <w:rPr>
                <w:sz w:val="20"/>
                <w:szCs w:val="20"/>
                <w:color w:val="auto"/>
              </w:rPr>
            </w:pPr>
            <w:r>
              <w:rPr>
                <w:rFonts w:ascii="Arial" w:cs="Arial" w:eastAsia="Arial" w:hAnsi="Arial"/>
                <w:sz w:val="16"/>
                <w:szCs w:val="16"/>
                <w:color w:val="auto"/>
              </w:rPr>
              <w:t>Ofer Toledano / VP R&amp;D</w:t>
            </w:r>
          </w:p>
        </w:tc>
        <w:tc>
          <w:tcPr>
            <w:tcW w:w="1500" w:type="dxa"/>
            <w:vAlign w:val="bottom"/>
            <w:gridSpan w:val="3"/>
          </w:tcPr>
          <w:p>
            <w:pPr>
              <w:jc w:val="right"/>
              <w:ind w:right="240"/>
              <w:spacing w:after="0"/>
              <w:rPr>
                <w:sz w:val="20"/>
                <w:szCs w:val="20"/>
                <w:color w:val="auto"/>
              </w:rPr>
            </w:pPr>
            <w:r>
              <w:rPr>
                <w:rFonts w:ascii="Arial" w:cs="Arial" w:eastAsia="Arial" w:hAnsi="Arial"/>
                <w:sz w:val="16"/>
                <w:szCs w:val="16"/>
                <w:color w:val="auto"/>
              </w:rPr>
              <w:t>206</w:t>
            </w:r>
          </w:p>
        </w:tc>
        <w:tc>
          <w:tcPr>
            <w:tcW w:w="1360" w:type="dxa"/>
            <w:vAlign w:val="bottom"/>
            <w:gridSpan w:val="2"/>
          </w:tcPr>
          <w:p>
            <w:pPr>
              <w:jc w:val="right"/>
              <w:ind w:right="240"/>
              <w:spacing w:after="0"/>
              <w:rPr>
                <w:sz w:val="20"/>
                <w:szCs w:val="20"/>
                <w:color w:val="auto"/>
              </w:rPr>
            </w:pPr>
            <w:r>
              <w:rPr>
                <w:rFonts w:ascii="Arial" w:cs="Arial" w:eastAsia="Arial" w:hAnsi="Arial"/>
                <w:sz w:val="16"/>
                <w:szCs w:val="16"/>
                <w:color w:val="auto"/>
              </w:rPr>
              <w:t>57</w:t>
            </w:r>
          </w:p>
        </w:tc>
        <w:tc>
          <w:tcPr>
            <w:tcW w:w="1140" w:type="dxa"/>
            <w:vAlign w:val="bottom"/>
          </w:tcPr>
          <w:p>
            <w:pPr>
              <w:jc w:val="right"/>
              <w:spacing w:after="0"/>
              <w:rPr>
                <w:sz w:val="20"/>
                <w:szCs w:val="20"/>
                <w:color w:val="auto"/>
              </w:rPr>
            </w:pPr>
            <w:r>
              <w:rPr>
                <w:rFonts w:ascii="Arial" w:cs="Arial" w:eastAsia="Arial" w:hAnsi="Arial"/>
                <w:sz w:val="16"/>
                <w:szCs w:val="16"/>
                <w:color w:val="auto"/>
              </w:rPr>
              <w:t>79</w:t>
            </w:r>
          </w:p>
        </w:tc>
        <w:tc>
          <w:tcPr>
            <w:tcW w:w="220" w:type="dxa"/>
            <w:vAlign w:val="bottom"/>
          </w:tcPr>
          <w:p>
            <w:pPr>
              <w:spacing w:after="0"/>
              <w:rPr>
                <w:sz w:val="16"/>
                <w:szCs w:val="16"/>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24</w:t>
            </w: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366</w:t>
            </w:r>
          </w:p>
        </w:tc>
      </w:tr>
      <w:tr>
        <w:trPr>
          <w:trHeight w:val="189"/>
        </w:trPr>
        <w:tc>
          <w:tcPr>
            <w:tcW w:w="4500" w:type="dxa"/>
            <w:vAlign w:val="bottom"/>
            <w:shd w:val="clear" w:color="auto" w:fill="CCEEFF"/>
          </w:tcPr>
          <w:p>
            <w:pPr>
              <w:spacing w:after="0"/>
              <w:rPr>
                <w:sz w:val="20"/>
                <w:szCs w:val="20"/>
                <w:color w:val="auto"/>
              </w:rPr>
            </w:pPr>
            <w:r>
              <w:rPr>
                <w:rFonts w:ascii="Arial" w:cs="Arial" w:eastAsia="Arial" w:hAnsi="Arial"/>
                <w:sz w:val="16"/>
                <w:szCs w:val="16"/>
                <w:color w:val="auto"/>
              </w:rPr>
              <w:t>Ofra Levy-Hacham / VP Clinical &amp; RA</w:t>
            </w:r>
          </w:p>
        </w:tc>
        <w:tc>
          <w:tcPr>
            <w:tcW w:w="1500" w:type="dxa"/>
            <w:vAlign w:val="bottom"/>
            <w:gridSpan w:val="3"/>
            <w:shd w:val="clear" w:color="auto" w:fill="CCEEFF"/>
          </w:tcPr>
          <w:p>
            <w:pPr>
              <w:jc w:val="right"/>
              <w:ind w:right="240"/>
              <w:spacing w:after="0"/>
              <w:rPr>
                <w:sz w:val="20"/>
                <w:szCs w:val="20"/>
                <w:color w:val="auto"/>
              </w:rPr>
            </w:pPr>
            <w:r>
              <w:rPr>
                <w:rFonts w:ascii="Arial" w:cs="Arial" w:eastAsia="Arial" w:hAnsi="Arial"/>
                <w:sz w:val="16"/>
                <w:szCs w:val="16"/>
                <w:color w:val="auto"/>
              </w:rPr>
              <w:t>152</w:t>
            </w:r>
          </w:p>
        </w:tc>
        <w:tc>
          <w:tcPr>
            <w:tcW w:w="136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45</w:t>
            </w: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w:t>
            </w:r>
          </w:p>
        </w:tc>
        <w:tc>
          <w:tcPr>
            <w:tcW w:w="220" w:type="dxa"/>
            <w:vAlign w:val="bottom"/>
            <w:shd w:val="clear" w:color="auto" w:fill="CCEEFF"/>
          </w:tcPr>
          <w:p>
            <w:pPr>
              <w:spacing w:after="0"/>
              <w:rPr>
                <w:sz w:val="16"/>
                <w:szCs w:val="16"/>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21</w:t>
            </w: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280</w:t>
            </w:r>
          </w:p>
        </w:tc>
      </w:tr>
    </w:tbl>
    <w:p>
      <w:pPr>
        <w:spacing w:after="0" w:line="224" w:lineRule="exact"/>
        <w:rPr>
          <w:sz w:val="20"/>
          <w:szCs w:val="20"/>
          <w:color w:val="auto"/>
        </w:rPr>
      </w:pPr>
    </w:p>
    <w:p>
      <w:pPr>
        <w:ind w:left="405" w:hanging="405"/>
        <w:spacing w:after="0" w:line="268" w:lineRule="auto"/>
        <w:tabs>
          <w:tab w:leader="none" w:pos="405" w:val="left"/>
        </w:tabs>
        <w:numPr>
          <w:ilvl w:val="0"/>
          <w:numId w:val="75"/>
        </w:numPr>
        <w:rPr>
          <w:rFonts w:ascii="Arial" w:cs="Arial" w:eastAsia="Arial" w:hAnsi="Arial"/>
          <w:sz w:val="16"/>
          <w:szCs w:val="16"/>
          <w:color w:val="auto"/>
        </w:rPr>
      </w:pPr>
      <w:r>
        <w:rPr>
          <w:rFonts w:ascii="Arial" w:cs="Arial" w:eastAsia="Arial" w:hAnsi="Arial"/>
          <w:sz w:val="16"/>
          <w:szCs w:val="16"/>
          <w:color w:val="auto"/>
        </w:rPr>
        <w:t>“Base Salary or Other Payment” means the aggregate yearly gross monthly salaries or other payments with respect to the Company's Executive Officers and members of the board of directors for the year 2020.</w:t>
      </w:r>
    </w:p>
    <w:p>
      <w:pPr>
        <w:spacing w:after="0" w:line="204" w:lineRule="exact"/>
        <w:rPr>
          <w:rFonts w:ascii="Arial" w:cs="Arial" w:eastAsia="Arial" w:hAnsi="Arial"/>
          <w:sz w:val="16"/>
          <w:szCs w:val="16"/>
          <w:color w:val="auto"/>
        </w:rPr>
      </w:pPr>
    </w:p>
    <w:p>
      <w:pPr>
        <w:ind w:left="405" w:right="20" w:hanging="405"/>
        <w:spacing w:after="0" w:line="268" w:lineRule="auto"/>
        <w:tabs>
          <w:tab w:leader="none" w:pos="405" w:val="left"/>
        </w:tabs>
        <w:numPr>
          <w:ilvl w:val="0"/>
          <w:numId w:val="75"/>
        </w:numPr>
        <w:rPr>
          <w:rFonts w:ascii="Arial" w:cs="Arial" w:eastAsia="Arial" w:hAnsi="Arial"/>
          <w:sz w:val="16"/>
          <w:szCs w:val="16"/>
          <w:color w:val="auto"/>
        </w:rPr>
      </w:pPr>
      <w:r>
        <w:rPr>
          <w:rFonts w:ascii="Arial" w:cs="Arial" w:eastAsia="Arial" w:hAnsi="Arial"/>
          <w:sz w:val="16"/>
          <w:szCs w:val="16"/>
          <w:color w:val="auto"/>
        </w:rPr>
        <w:t>“Social Benefits” include payments to the National Insurance Institute, advanced education funds, managers’ insurance and pension funds; vacation pay; and recuperation pay as mandated by Israeli law.</w:t>
      </w:r>
    </w:p>
    <w:p>
      <w:pPr>
        <w:spacing w:after="0" w:line="204" w:lineRule="exact"/>
        <w:rPr>
          <w:rFonts w:ascii="Arial" w:cs="Arial" w:eastAsia="Arial" w:hAnsi="Arial"/>
          <w:sz w:val="16"/>
          <w:szCs w:val="16"/>
          <w:color w:val="auto"/>
        </w:rPr>
      </w:pPr>
    </w:p>
    <w:p>
      <w:pPr>
        <w:ind w:left="405" w:right="20" w:hanging="405"/>
        <w:spacing w:after="0" w:line="302" w:lineRule="auto"/>
        <w:tabs>
          <w:tab w:leader="none" w:pos="405" w:val="left"/>
        </w:tabs>
        <w:numPr>
          <w:ilvl w:val="0"/>
          <w:numId w:val="75"/>
        </w:numPr>
        <w:rPr>
          <w:rFonts w:ascii="Arial" w:cs="Arial" w:eastAsia="Arial" w:hAnsi="Arial"/>
          <w:sz w:val="15"/>
          <w:szCs w:val="15"/>
          <w:color w:val="auto"/>
        </w:rPr>
      </w:pPr>
      <w:r>
        <w:rPr>
          <w:rFonts w:ascii="Arial" w:cs="Arial" w:eastAsia="Arial" w:hAnsi="Arial"/>
          <w:sz w:val="15"/>
          <w:szCs w:val="15"/>
          <w:color w:val="auto"/>
        </w:rPr>
        <w:t>Consists of the fair value of the equity-based compensation granted during 2020 in exchange for the directors and officers services recognized as an expense in profit or loss and is carried to the accumulated deficit under equity. The total amount recognized as an expense over the vesting period of the options.</w:t>
      </w:r>
    </w:p>
    <w:p>
      <w:pPr>
        <w:spacing w:after="0" w:line="157" w:lineRule="exact"/>
        <w:rPr>
          <w:rFonts w:ascii="Arial" w:cs="Arial" w:eastAsia="Arial" w:hAnsi="Arial"/>
          <w:sz w:val="15"/>
          <w:szCs w:val="15"/>
          <w:color w:val="auto"/>
        </w:rPr>
      </w:pPr>
    </w:p>
    <w:p>
      <w:pPr>
        <w:ind w:left="425" w:hanging="425"/>
        <w:spacing w:after="0" w:line="268" w:lineRule="auto"/>
        <w:tabs>
          <w:tab w:leader="none" w:pos="425" w:val="left"/>
        </w:tabs>
        <w:numPr>
          <w:ilvl w:val="0"/>
          <w:numId w:val="75"/>
        </w:numPr>
        <w:rPr>
          <w:rFonts w:ascii="Arial" w:cs="Arial" w:eastAsia="Arial" w:hAnsi="Arial"/>
          <w:sz w:val="16"/>
          <w:szCs w:val="16"/>
          <w:color w:val="auto"/>
        </w:rPr>
      </w:pPr>
      <w:r>
        <w:rPr>
          <w:rFonts w:ascii="Arial" w:cs="Arial" w:eastAsia="Arial" w:hAnsi="Arial"/>
          <w:sz w:val="16"/>
          <w:szCs w:val="16"/>
          <w:color w:val="auto"/>
        </w:rPr>
        <w:t>“All Other Compensation” includes, among other things, car-related expenses, communication expenses, basic health insurance, holiday presents, and 2018, 2019 and 2020 special bonuses that officers received.</w:t>
      </w:r>
    </w:p>
    <w:p>
      <w:pPr>
        <w:spacing w:after="0" w:line="209" w:lineRule="exact"/>
        <w:rPr>
          <w:sz w:val="20"/>
          <w:szCs w:val="20"/>
          <w:color w:val="auto"/>
        </w:rPr>
      </w:pPr>
    </w:p>
    <w:p>
      <w:pPr>
        <w:ind w:left="5"/>
        <w:spacing w:after="0" w:line="284" w:lineRule="auto"/>
        <w:rPr>
          <w:sz w:val="20"/>
          <w:szCs w:val="20"/>
          <w:color w:val="auto"/>
        </w:rPr>
      </w:pPr>
      <w:r>
        <w:rPr>
          <w:rFonts w:ascii="Arial" w:cs="Arial" w:eastAsia="Arial" w:hAnsi="Arial"/>
          <w:sz w:val="19"/>
          <w:szCs w:val="19"/>
          <w:color w:val="auto"/>
        </w:rPr>
        <w:t>In addition, all of our directors and executive officers are covered under our directors’ and executive officers’ liability insurance policies and were granted letters of indemnification by us.</w:t>
      </w:r>
    </w:p>
    <w:p>
      <w:pPr>
        <w:spacing w:after="0" w:line="33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00" w:name="page101"/>
    <w:bookmarkEnd w:id="100"/>
    <w:p>
      <w:pPr>
        <w:spacing w:after="0"/>
        <w:rPr>
          <w:sz w:val="20"/>
          <w:szCs w:val="20"/>
          <w:color w:val="auto"/>
        </w:rPr>
      </w:pPr>
      <w:r>
        <w:rPr>
          <w:rFonts w:ascii="Arial" w:cs="Arial" w:eastAsia="Arial" w:hAnsi="Arial"/>
          <w:sz w:val="19"/>
          <w:szCs w:val="19"/>
          <w:b w:val="1"/>
          <w:bCs w:val="1"/>
          <w:color w:val="auto"/>
        </w:rPr>
        <w:t>Employment Agreements</w:t>
      </w:r>
    </w:p>
    <w:p>
      <w:pPr>
        <w:spacing w:after="0" w:line="261" w:lineRule="exact"/>
        <w:rPr>
          <w:sz w:val="20"/>
          <w:szCs w:val="20"/>
          <w:color w:val="auto"/>
        </w:rPr>
      </w:pPr>
    </w:p>
    <w:p>
      <w:pPr>
        <w:jc w:val="both"/>
        <w:ind w:firstLine="568"/>
        <w:spacing w:after="0" w:line="282" w:lineRule="auto"/>
        <w:rPr>
          <w:sz w:val="20"/>
          <w:szCs w:val="20"/>
          <w:color w:val="auto"/>
        </w:rPr>
      </w:pPr>
      <w:r>
        <w:rPr>
          <w:rFonts w:ascii="Arial" w:cs="Arial" w:eastAsia="Arial" w:hAnsi="Arial"/>
          <w:sz w:val="18"/>
          <w:szCs w:val="18"/>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“Item 3. Key Information – D. Risk Factors — Risks Related to Employee Matters — Under applicable employment laws, we may not be able to enforce covenants not to compete” for a further description of the enforceability of non-competition clauses.</w:t>
      </w:r>
    </w:p>
    <w:p>
      <w:pPr>
        <w:spacing w:after="0" w:line="196"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For information on exemption and indemnification letters granted to our directors and officers, please see “ – C. Board Practices – Exculpation, Insurance and Indemnification of Directors and Officers”.</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Director Compensation</w:t>
      </w:r>
    </w:p>
    <w:p>
      <w:pPr>
        <w:spacing w:after="0" w:line="261" w:lineRule="exact"/>
        <w:rPr>
          <w:sz w:val="20"/>
          <w:szCs w:val="20"/>
          <w:color w:val="auto"/>
        </w:rPr>
      </w:pPr>
    </w:p>
    <w:p>
      <w:pPr>
        <w:jc w:val="both"/>
        <w:ind w:right="20" w:firstLine="546"/>
        <w:spacing w:after="0" w:line="267" w:lineRule="auto"/>
        <w:rPr>
          <w:sz w:val="20"/>
          <w:szCs w:val="20"/>
          <w:color w:val="auto"/>
        </w:rPr>
      </w:pPr>
      <w:r>
        <w:rPr>
          <w:rFonts w:ascii="Arial" w:cs="Arial" w:eastAsia="Arial" w:hAnsi="Arial"/>
          <w:sz w:val="19"/>
          <w:szCs w:val="19"/>
          <w:color w:val="auto"/>
        </w:rPr>
        <w:t>We currently pay our external directors and our other independent directors: (i) $35,000 annually in cash; (ii) $5,000 annually in cash for service on each of the Audit Committee and/or Compensation Committee (as the case may be) and (iii) $10,000 annually in cash for service as chairman of the Audit Committee and/or Compensation Committee (as the case may be), which includes amounts payable under clause (ii) (all cash amounts to be paid quarterly).</w:t>
      </w:r>
    </w:p>
    <w:p>
      <w:pPr>
        <w:spacing w:after="0" w:line="210" w:lineRule="exact"/>
        <w:rPr>
          <w:sz w:val="20"/>
          <w:szCs w:val="20"/>
          <w:color w:val="auto"/>
        </w:rPr>
      </w:pPr>
    </w:p>
    <w:p>
      <w:pPr>
        <w:ind w:left="420"/>
        <w:spacing w:after="0"/>
        <w:rPr>
          <w:sz w:val="20"/>
          <w:szCs w:val="20"/>
          <w:color w:val="auto"/>
        </w:rPr>
      </w:pPr>
      <w:r>
        <w:rPr>
          <w:rFonts w:ascii="Arial" w:cs="Arial" w:eastAsia="Arial" w:hAnsi="Arial"/>
          <w:sz w:val="17"/>
          <w:szCs w:val="17"/>
          <w:color w:val="auto"/>
        </w:rPr>
        <w:t>There shall be no limit regarding the number and/or hours of meetings, and it includes all meetings of the Board and any Board’s committees.</w:t>
      </w:r>
    </w:p>
    <w:p>
      <w:pPr>
        <w:spacing w:after="0" w:line="278" w:lineRule="exact"/>
        <w:rPr>
          <w:sz w:val="20"/>
          <w:szCs w:val="20"/>
          <w:color w:val="auto"/>
        </w:rPr>
      </w:pPr>
    </w:p>
    <w:p>
      <w:pPr>
        <w:jc w:val="both"/>
        <w:ind w:firstLine="521"/>
        <w:spacing w:after="0" w:line="271" w:lineRule="auto"/>
        <w:rPr>
          <w:sz w:val="20"/>
          <w:szCs w:val="20"/>
          <w:color w:val="auto"/>
        </w:rPr>
      </w:pPr>
      <w:r>
        <w:rPr>
          <w:rFonts w:ascii="Arial" w:cs="Arial" w:eastAsia="Arial" w:hAnsi="Arial"/>
          <w:sz w:val="19"/>
          <w:szCs w:val="19"/>
          <w:color w:val="auto"/>
        </w:rPr>
        <w:t>In addition, each of our external directors and our other independent directors has received 11,500 Restricted Share Units ("RSU's") for the first three years of their service as a director, with a three-year vesting, one-third of the RSU's to vest after each year (if they continue to serve as directors), and otherwise in accordance with the Company's 2014 Share Incentive Plan.</w:t>
      </w:r>
    </w:p>
    <w:p>
      <w:pPr>
        <w:spacing w:after="0" w:line="206" w:lineRule="exact"/>
        <w:rPr>
          <w:sz w:val="20"/>
          <w:szCs w:val="20"/>
          <w:color w:val="auto"/>
        </w:rPr>
      </w:pPr>
    </w:p>
    <w:p>
      <w:pPr>
        <w:ind w:left="420"/>
        <w:spacing w:after="0"/>
        <w:rPr>
          <w:sz w:val="20"/>
          <w:szCs w:val="20"/>
          <w:color w:val="auto"/>
        </w:rPr>
      </w:pPr>
      <w:r>
        <w:rPr>
          <w:rFonts w:ascii="Arial" w:cs="Arial" w:eastAsia="Arial" w:hAnsi="Arial"/>
          <w:sz w:val="19"/>
          <w:szCs w:val="19"/>
          <w:color w:val="auto"/>
        </w:rPr>
        <w:t>We do not pay compensation to the other directors of the Company in their capacity as directors.</w:t>
      </w: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Compensation Policy</w:t>
      </w:r>
    </w:p>
    <w:p>
      <w:pPr>
        <w:spacing w:after="0" w:line="261"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Our compensation policy, which became effective immediately after the pricing of our initial public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202"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equity-based compensation) may not exceed 85% of each executive officer’s total compensation package with respect to any given calendar year.</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01" w:name="page102"/>
    <w:bookmarkEnd w:id="101"/>
    <w:p>
      <w:pPr>
        <w:jc w:val="both"/>
        <w:ind w:left="5" w:firstLine="568"/>
        <w:spacing w:after="0" w:line="282" w:lineRule="auto"/>
        <w:rPr>
          <w:sz w:val="20"/>
          <w:szCs w:val="20"/>
          <w:color w:val="auto"/>
        </w:rPr>
      </w:pPr>
      <w:r>
        <w:rPr>
          <w:rFonts w:ascii="Arial" w:cs="Arial" w:eastAsia="Arial" w:hAnsi="Arial"/>
          <w:sz w:val="18"/>
          <w:szCs w:val="18"/>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196" w:lineRule="exact"/>
        <w:rPr>
          <w:sz w:val="20"/>
          <w:szCs w:val="20"/>
          <w:color w:val="auto"/>
        </w:rPr>
      </w:pPr>
    </w:p>
    <w:p>
      <w:pPr>
        <w:jc w:val="both"/>
        <w:ind w:left="5" w:right="20" w:firstLine="568"/>
        <w:spacing w:after="0" w:line="267" w:lineRule="auto"/>
        <w:rPr>
          <w:sz w:val="20"/>
          <w:szCs w:val="20"/>
          <w:color w:val="auto"/>
        </w:rPr>
      </w:pPr>
      <w:r>
        <w:rPr>
          <w:rFonts w:ascii="Arial" w:cs="Arial" w:eastAsia="Arial" w:hAnsi="Arial"/>
          <w:sz w:val="19"/>
          <w:szCs w:val="19"/>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210" w:lineRule="exact"/>
        <w:rPr>
          <w:sz w:val="20"/>
          <w:szCs w:val="20"/>
          <w:color w:val="auto"/>
        </w:rPr>
      </w:pPr>
    </w:p>
    <w:p>
      <w:pPr>
        <w:jc w:val="both"/>
        <w:ind w:left="5" w:firstLine="568"/>
        <w:spacing w:after="0" w:line="279" w:lineRule="auto"/>
        <w:rPr>
          <w:sz w:val="20"/>
          <w:szCs w:val="20"/>
          <w:color w:val="auto"/>
        </w:rPr>
      </w:pPr>
      <w:r>
        <w:rPr>
          <w:rFonts w:ascii="Arial" w:cs="Arial" w:eastAsia="Arial" w:hAnsi="Arial"/>
          <w:sz w:val="18"/>
          <w:szCs w:val="18"/>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200"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210" w:lineRule="exact"/>
        <w:rPr>
          <w:sz w:val="20"/>
          <w:szCs w:val="20"/>
          <w:color w:val="auto"/>
        </w:rPr>
      </w:pPr>
    </w:p>
    <w:p>
      <w:pPr>
        <w:jc w:val="both"/>
        <w:ind w:left="5" w:right="20" w:firstLine="568"/>
        <w:spacing w:after="0" w:line="287" w:lineRule="auto"/>
        <w:rPr>
          <w:sz w:val="20"/>
          <w:szCs w:val="20"/>
          <w:color w:val="auto"/>
        </w:rPr>
      </w:pPr>
      <w:r>
        <w:rPr>
          <w:rFonts w:ascii="Arial" w:cs="Arial" w:eastAsia="Arial" w:hAnsi="Arial"/>
          <w:sz w:val="18"/>
          <w:szCs w:val="18"/>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193" w:lineRule="exact"/>
        <w:rPr>
          <w:sz w:val="20"/>
          <w:szCs w:val="20"/>
          <w:color w:val="auto"/>
        </w:rPr>
      </w:pPr>
    </w:p>
    <w:p>
      <w:pPr>
        <w:jc w:val="both"/>
        <w:ind w:left="5" w:firstLine="568"/>
        <w:spacing w:after="0" w:line="284" w:lineRule="auto"/>
        <w:rPr>
          <w:sz w:val="20"/>
          <w:szCs w:val="20"/>
          <w:color w:val="auto"/>
        </w:rPr>
      </w:pPr>
      <w:r>
        <w:rPr>
          <w:rFonts w:ascii="Arial" w:cs="Arial" w:eastAsia="Arial" w:hAnsi="Arial"/>
          <w:sz w:val="19"/>
          <w:szCs w:val="19"/>
          <w:color w:val="auto"/>
        </w:rPr>
        <w:t>Our compensation policy, which was approved by our board of directors and our controlling shareholder on October 2, 2017, became effective upon the pricing of our initial public offering.</w:t>
      </w:r>
    </w:p>
    <w:p>
      <w:pPr>
        <w:spacing w:after="0" w:line="187" w:lineRule="exact"/>
        <w:rPr>
          <w:sz w:val="20"/>
          <w:szCs w:val="20"/>
          <w:color w:val="auto"/>
        </w:rPr>
      </w:pPr>
    </w:p>
    <w:p>
      <w:pPr>
        <w:ind w:left="745" w:hanging="745"/>
        <w:spacing w:after="0"/>
        <w:tabs>
          <w:tab w:leader="none" w:pos="745" w:val="left"/>
        </w:tabs>
        <w:numPr>
          <w:ilvl w:val="0"/>
          <w:numId w:val="76"/>
        </w:numPr>
        <w:rPr>
          <w:rFonts w:ascii="Arial" w:cs="Arial" w:eastAsia="Arial" w:hAnsi="Arial"/>
          <w:sz w:val="19"/>
          <w:szCs w:val="19"/>
          <w:b w:val="1"/>
          <w:bCs w:val="1"/>
          <w:color w:val="auto"/>
        </w:rPr>
      </w:pPr>
      <w:r>
        <w:rPr>
          <w:rFonts w:ascii="Arial" w:cs="Arial" w:eastAsia="Arial" w:hAnsi="Arial"/>
          <w:sz w:val="19"/>
          <w:szCs w:val="19"/>
          <w:b w:val="1"/>
          <w:bCs w:val="1"/>
          <w:color w:val="auto"/>
        </w:rPr>
        <w:t>Board Practices</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Appointment of Directors and Terms of Officers</w:t>
      </w:r>
    </w:p>
    <w:p>
      <w:pPr>
        <w:spacing w:after="0" w:line="261"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Our board of directors consists of eight directors, including two external directors, and appointment fulfills the requirements of the Companies Law for the company to have two external directors (see “ – External Directors”). These two directors, as well as three additional directors, qualify as independent directors under the corporate governance standards of the Nasdaq corporate governance rules and the independence requirements of Rule 10A-3 of the Exchange Act.</w:t>
      </w:r>
    </w:p>
    <w:p>
      <w:pPr>
        <w:spacing w:after="0" w:line="352"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02" w:name="page103"/>
    <w:bookmarkEnd w:id="102"/>
    <w:p>
      <w:pPr>
        <w:jc w:val="both"/>
        <w:ind w:right="20" w:firstLine="568"/>
        <w:spacing w:after="0" w:line="293" w:lineRule="auto"/>
        <w:rPr>
          <w:sz w:val="20"/>
          <w:szCs w:val="20"/>
          <w:color w:val="auto"/>
        </w:rPr>
      </w:pPr>
      <w:r>
        <w:rPr>
          <w:rFonts w:ascii="Arial" w:cs="Arial" w:eastAsia="Arial" w:hAnsi="Arial"/>
          <w:sz w:val="18"/>
          <w:szCs w:val="18"/>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 2⁄3% majority shareholder vote.</w:t>
      </w:r>
    </w:p>
    <w:p>
      <w:pPr>
        <w:spacing w:after="0" w:line="188"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2019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20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Our directors who are not external directors are divided among the three classes as follows:</w:t>
      </w:r>
    </w:p>
    <w:p>
      <w:pPr>
        <w:spacing w:after="0" w:line="249" w:lineRule="exact"/>
        <w:rPr>
          <w:sz w:val="20"/>
          <w:szCs w:val="20"/>
          <w:color w:val="auto"/>
        </w:rPr>
      </w:pPr>
    </w:p>
    <w:p>
      <w:pPr>
        <w:ind w:left="740" w:right="20" w:hanging="426"/>
        <w:spacing w:after="0" w:line="268" w:lineRule="auto"/>
        <w:tabs>
          <w:tab w:leader="none" w:pos="740" w:val="left"/>
        </w:tabs>
        <w:numPr>
          <w:ilvl w:val="0"/>
          <w:numId w:val="77"/>
        </w:numPr>
        <w:rPr>
          <w:rFonts w:ascii="Arial" w:cs="Arial" w:eastAsia="Arial" w:hAnsi="Arial"/>
          <w:sz w:val="16"/>
          <w:szCs w:val="16"/>
          <w:color w:val="auto"/>
        </w:rPr>
      </w:pPr>
      <w:r>
        <w:rPr>
          <w:rFonts w:ascii="Arial" w:cs="Arial" w:eastAsia="Arial" w:hAnsi="Arial"/>
          <w:sz w:val="16"/>
          <w:szCs w:val="16"/>
          <w:color w:val="auto"/>
        </w:rPr>
        <w:t>Class I directors consist of Ms. Yaffa Krindel-Sieradzki, Dr. Shmuel Ben Zvi and Mr. Jonathan B. Siegel, who are all independent directors, and their term will expire at our annual general meeting of our shareholders to be held in 2022;</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77"/>
        </w:numPr>
        <w:rPr>
          <w:rFonts w:ascii="Arial" w:cs="Arial" w:eastAsia="Arial" w:hAnsi="Arial"/>
          <w:sz w:val="16"/>
          <w:szCs w:val="16"/>
          <w:color w:val="auto"/>
        </w:rPr>
      </w:pPr>
      <w:r>
        <w:rPr>
          <w:rFonts w:ascii="Arial" w:cs="Arial" w:eastAsia="Arial" w:hAnsi="Arial"/>
          <w:sz w:val="16"/>
          <w:szCs w:val="16"/>
          <w:color w:val="auto"/>
        </w:rPr>
        <w:t>Class II directors consist of Ms. Hani Lerman and Dr. Alon Seri-Levy, and their term will expire at our annual general meeting of our shareholders to be held in 2023; and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77"/>
        </w:numPr>
        <w:rPr>
          <w:rFonts w:ascii="Arial" w:cs="Arial" w:eastAsia="Arial" w:hAnsi="Arial"/>
          <w:sz w:val="15"/>
          <w:szCs w:val="15"/>
          <w:color w:val="auto"/>
        </w:rPr>
      </w:pPr>
      <w:r>
        <w:rPr>
          <w:rFonts w:ascii="Arial" w:cs="Arial" w:eastAsia="Arial" w:hAnsi="Arial"/>
          <w:sz w:val="15"/>
          <w:szCs w:val="15"/>
          <w:color w:val="auto"/>
        </w:rPr>
        <w:t>Class III directors consist of Mr. Itai Arkin and Mr. Moshe Arkin, and their term will expire at our annual general meeting of our shareholders to be held in 2021.</w:t>
      </w:r>
    </w:p>
    <w:p>
      <w:pPr>
        <w:spacing w:after="0" w:line="259" w:lineRule="exact"/>
        <w:rPr>
          <w:sz w:val="20"/>
          <w:szCs w:val="20"/>
          <w:color w:val="auto"/>
        </w:rPr>
      </w:pPr>
    </w:p>
    <w:p>
      <w:pPr>
        <w:ind w:left="560"/>
        <w:spacing w:after="0"/>
        <w:rPr>
          <w:sz w:val="20"/>
          <w:szCs w:val="20"/>
          <w:color w:val="auto"/>
        </w:rPr>
      </w:pPr>
      <w:r>
        <w:rPr>
          <w:rFonts w:ascii="Arial" w:cs="Arial" w:eastAsia="Arial" w:hAnsi="Arial"/>
          <w:sz w:val="19"/>
          <w:szCs w:val="19"/>
          <w:color w:val="auto"/>
        </w:rPr>
        <w:t>Mr. Ran Gattegno and Mr. Jerrold S. Gottfried serve as our external directors and will each have a term of three years.</w:t>
      </w:r>
    </w:p>
    <w:p>
      <w:pPr>
        <w:spacing w:after="0" w:line="255"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 External Directors— Election and Dismissal of External Directors” for a description of the procedure for the election of external directors.</w:t>
      </w:r>
    </w:p>
    <w:p>
      <w:pPr>
        <w:spacing w:after="0" w:line="213"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193"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 understanding of business accounting matters and financial statements. See “— External Directors — Qualifications of External Directors.” He or she must be able to thoroughly 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20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There are no family relationships among any of our office holders (including directors), other than Mr. Itai Arkin who is the son of Mr.</w:t>
      </w:r>
    </w:p>
    <w:p>
      <w:pPr>
        <w:spacing w:after="0" w:line="34" w:lineRule="exact"/>
        <w:rPr>
          <w:sz w:val="20"/>
          <w:szCs w:val="20"/>
          <w:color w:val="auto"/>
        </w:rPr>
      </w:pPr>
    </w:p>
    <w:p>
      <w:pPr>
        <w:spacing w:after="0"/>
        <w:rPr>
          <w:sz w:val="20"/>
          <w:szCs w:val="20"/>
          <w:color w:val="auto"/>
        </w:rPr>
      </w:pPr>
      <w:r>
        <w:rPr>
          <w:rFonts w:ascii="Arial" w:cs="Arial" w:eastAsia="Arial" w:hAnsi="Arial"/>
          <w:sz w:val="19"/>
          <w:szCs w:val="19"/>
          <w:color w:val="auto"/>
        </w:rPr>
        <w:t>Moshe Arkin.</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03" w:name="page104"/>
    <w:bookmarkEnd w:id="103"/>
    <w:p>
      <w:pPr>
        <w:spacing w:after="0"/>
        <w:rPr>
          <w:sz w:val="20"/>
          <w:szCs w:val="20"/>
          <w:color w:val="auto"/>
        </w:rPr>
      </w:pPr>
      <w:r>
        <w:rPr>
          <w:rFonts w:ascii="Arial" w:cs="Arial" w:eastAsia="Arial" w:hAnsi="Arial"/>
          <w:sz w:val="19"/>
          <w:szCs w:val="19"/>
          <w:b w:val="1"/>
          <w:bCs w:val="1"/>
          <w:color w:val="auto"/>
        </w:rPr>
        <w:t>Alternate Directors</w:t>
      </w:r>
    </w:p>
    <w:p>
      <w:pPr>
        <w:spacing w:after="0" w:line="261" w:lineRule="exact"/>
        <w:rPr>
          <w:sz w:val="20"/>
          <w:szCs w:val="20"/>
          <w:color w:val="auto"/>
        </w:rPr>
      </w:pPr>
    </w:p>
    <w:p>
      <w:pPr>
        <w:jc w:val="both"/>
        <w:ind w:firstLine="568"/>
        <w:spacing w:after="0" w:line="296" w:lineRule="auto"/>
        <w:rPr>
          <w:sz w:val="20"/>
          <w:szCs w:val="20"/>
          <w:color w:val="auto"/>
        </w:rPr>
      </w:pPr>
      <w:r>
        <w:rPr>
          <w:rFonts w:ascii="Arial" w:cs="Arial" w:eastAsia="Arial" w:hAnsi="Arial"/>
          <w:sz w:val="17"/>
          <w:szCs w:val="17"/>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External Directors</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Qualifications of External Directors</w:t>
      </w:r>
    </w:p>
    <w:p>
      <w:pPr>
        <w:spacing w:after="0" w:line="255"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w:t>
      </w:r>
    </w:p>
    <w:p>
      <w:pPr>
        <w:spacing w:after="0" w:line="206" w:lineRule="exact"/>
        <w:rPr>
          <w:sz w:val="20"/>
          <w:szCs w:val="20"/>
          <w:color w:val="auto"/>
        </w:rPr>
      </w:pPr>
    </w:p>
    <w:p>
      <w:pPr>
        <w:jc w:val="both"/>
        <w:ind w:firstLine="568"/>
        <w:spacing w:after="0" w:line="298" w:lineRule="auto"/>
        <w:rPr>
          <w:sz w:val="20"/>
          <w:szCs w:val="20"/>
          <w:color w:val="auto"/>
        </w:rPr>
      </w:pPr>
      <w:r>
        <w:rPr>
          <w:rFonts w:ascii="Arial" w:cs="Arial" w:eastAsia="Arial" w:hAnsi="Arial"/>
          <w:sz w:val="17"/>
          <w:szCs w:val="17"/>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187"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The term “controlling shareholder” means a shareholder with the ability to direct the activities of the company, other than by virtue of being an office holder. A shareholder is presumed to have “control” of the company and thus to be a controlling shareholder of the company if the 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04" w:name="page105"/>
    <w:bookmarkEnd w:id="104"/>
    <w:p>
      <w:pPr>
        <w:ind w:left="325"/>
        <w:spacing w:after="0"/>
        <w:rPr>
          <w:sz w:val="20"/>
          <w:szCs w:val="20"/>
          <w:color w:val="auto"/>
        </w:rPr>
      </w:pPr>
      <w:r>
        <w:rPr>
          <w:rFonts w:ascii="Arial" w:cs="Arial" w:eastAsia="Arial" w:hAnsi="Arial"/>
          <w:sz w:val="19"/>
          <w:szCs w:val="19"/>
          <w:color w:val="auto"/>
        </w:rPr>
        <w:t>The term affiliation includes:</w:t>
      </w:r>
    </w:p>
    <w:p>
      <w:pPr>
        <w:spacing w:after="0" w:line="249" w:lineRule="exact"/>
        <w:rPr>
          <w:sz w:val="20"/>
          <w:szCs w:val="20"/>
          <w:color w:val="auto"/>
        </w:rPr>
      </w:pPr>
    </w:p>
    <w:p>
      <w:pPr>
        <w:ind w:left="745" w:hanging="426"/>
        <w:spacing w:after="0"/>
        <w:tabs>
          <w:tab w:leader="none" w:pos="745" w:val="left"/>
        </w:tabs>
        <w:numPr>
          <w:ilvl w:val="0"/>
          <w:numId w:val="78"/>
        </w:numPr>
        <w:rPr>
          <w:rFonts w:ascii="Arial" w:cs="Arial" w:eastAsia="Arial" w:hAnsi="Arial"/>
          <w:sz w:val="16"/>
          <w:szCs w:val="16"/>
          <w:color w:val="auto"/>
        </w:rPr>
      </w:pPr>
      <w:r>
        <w:rPr>
          <w:rFonts w:ascii="Arial" w:cs="Arial" w:eastAsia="Arial" w:hAnsi="Arial"/>
          <w:sz w:val="16"/>
          <w:szCs w:val="16"/>
          <w:color w:val="auto"/>
        </w:rPr>
        <w:t>an employment relationship;</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78"/>
        </w:numPr>
        <w:rPr>
          <w:rFonts w:ascii="Arial" w:cs="Arial" w:eastAsia="Arial" w:hAnsi="Arial"/>
          <w:sz w:val="16"/>
          <w:szCs w:val="16"/>
          <w:color w:val="auto"/>
        </w:rPr>
      </w:pPr>
      <w:r>
        <w:rPr>
          <w:rFonts w:ascii="Arial" w:cs="Arial" w:eastAsia="Arial" w:hAnsi="Arial"/>
          <w:sz w:val="16"/>
          <w:szCs w:val="16"/>
          <w:color w:val="auto"/>
        </w:rPr>
        <w:t>a business or professional relationship maintained on a regular basis;</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78"/>
        </w:numPr>
        <w:rPr>
          <w:rFonts w:ascii="Arial" w:cs="Arial" w:eastAsia="Arial" w:hAnsi="Arial"/>
          <w:sz w:val="16"/>
          <w:szCs w:val="16"/>
          <w:color w:val="auto"/>
        </w:rPr>
      </w:pPr>
      <w:r>
        <w:rPr>
          <w:rFonts w:ascii="Arial" w:cs="Arial" w:eastAsia="Arial" w:hAnsi="Arial"/>
          <w:sz w:val="16"/>
          <w:szCs w:val="16"/>
          <w:color w:val="auto"/>
        </w:rPr>
        <w:t>control; and</w:t>
      </w:r>
    </w:p>
    <w:p>
      <w:pPr>
        <w:spacing w:after="0" w:line="241" w:lineRule="exact"/>
        <w:rPr>
          <w:rFonts w:ascii="Arial" w:cs="Arial" w:eastAsia="Arial" w:hAnsi="Arial"/>
          <w:sz w:val="16"/>
          <w:szCs w:val="16"/>
          <w:color w:val="auto"/>
        </w:rPr>
      </w:pPr>
    </w:p>
    <w:p>
      <w:pPr>
        <w:ind w:left="745" w:right="20" w:hanging="426"/>
        <w:spacing w:after="0" w:line="268" w:lineRule="auto"/>
        <w:tabs>
          <w:tab w:leader="none" w:pos="745" w:val="left"/>
        </w:tabs>
        <w:numPr>
          <w:ilvl w:val="0"/>
          <w:numId w:val="78"/>
        </w:numPr>
        <w:rPr>
          <w:rFonts w:ascii="Arial" w:cs="Arial" w:eastAsia="Arial" w:hAnsi="Arial"/>
          <w:sz w:val="16"/>
          <w:szCs w:val="16"/>
          <w:color w:val="auto"/>
        </w:rPr>
      </w:pPr>
      <w:r>
        <w:rPr>
          <w:rFonts w:ascii="Arial" w:cs="Arial" w:eastAsia="Arial" w:hAnsi="Arial"/>
          <w:sz w:val="16"/>
          <w:szCs w:val="16"/>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209"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The term “relative” is defined as a spouse, sibling, parent, grandparent, descendant, spouse’s descendant, sibling and parent and the spouse of each of the foregoing.</w:t>
      </w:r>
    </w:p>
    <w:p>
      <w:pPr>
        <w:spacing w:after="0" w:line="193" w:lineRule="exact"/>
        <w:rPr>
          <w:sz w:val="20"/>
          <w:szCs w:val="20"/>
          <w:color w:val="auto"/>
        </w:rPr>
      </w:pPr>
    </w:p>
    <w:p>
      <w:pPr>
        <w:jc w:val="both"/>
        <w:ind w:left="5" w:firstLine="568"/>
        <w:spacing w:after="0" w:line="271" w:lineRule="auto"/>
        <w:rPr>
          <w:sz w:val="20"/>
          <w:szCs w:val="20"/>
          <w:color w:val="auto"/>
        </w:rPr>
      </w:pPr>
      <w:r>
        <w:rPr>
          <w:rFonts w:ascii="Arial" w:cs="Arial" w:eastAsia="Arial" w:hAnsi="Arial"/>
          <w:sz w:val="19"/>
          <w:szCs w:val="19"/>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206" w:lineRule="exact"/>
        <w:rPr>
          <w:sz w:val="20"/>
          <w:szCs w:val="20"/>
          <w:color w:val="auto"/>
        </w:rPr>
      </w:pPr>
    </w:p>
    <w:p>
      <w:pPr>
        <w:jc w:val="both"/>
        <w:ind w:left="5" w:firstLine="568"/>
        <w:spacing w:after="0" w:line="265" w:lineRule="auto"/>
        <w:rPr>
          <w:sz w:val="20"/>
          <w:szCs w:val="20"/>
          <w:color w:val="auto"/>
        </w:rPr>
      </w:pPr>
      <w:r>
        <w:rPr>
          <w:rFonts w:ascii="Arial" w:cs="Arial" w:eastAsia="Arial" w:hAnsi="Arial"/>
          <w:sz w:val="19"/>
          <w:szCs w:val="19"/>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213" w:lineRule="exact"/>
        <w:rPr>
          <w:sz w:val="20"/>
          <w:szCs w:val="20"/>
          <w:color w:val="auto"/>
        </w:rPr>
      </w:pPr>
    </w:p>
    <w:p>
      <w:pPr>
        <w:jc w:val="both"/>
        <w:ind w:left="5" w:firstLine="568"/>
        <w:spacing w:after="0" w:line="282" w:lineRule="auto"/>
        <w:rPr>
          <w:sz w:val="20"/>
          <w:szCs w:val="20"/>
          <w:color w:val="auto"/>
        </w:rPr>
      </w:pPr>
      <w:r>
        <w:rPr>
          <w:rFonts w:ascii="Arial" w:cs="Arial" w:eastAsia="Arial" w:hAnsi="Arial"/>
          <w:sz w:val="18"/>
          <w:szCs w:val="18"/>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196" w:lineRule="exact"/>
        <w:rPr>
          <w:sz w:val="20"/>
          <w:szCs w:val="20"/>
          <w:color w:val="auto"/>
        </w:rPr>
      </w:pPr>
    </w:p>
    <w:p>
      <w:pPr>
        <w:jc w:val="both"/>
        <w:ind w:left="5" w:right="20" w:firstLine="568"/>
        <w:spacing w:after="0" w:line="276" w:lineRule="auto"/>
        <w:rPr>
          <w:sz w:val="20"/>
          <w:szCs w:val="20"/>
          <w:color w:val="auto"/>
        </w:rPr>
      </w:pPr>
      <w:r>
        <w:rPr>
          <w:rFonts w:ascii="Arial" w:cs="Arial" w:eastAsia="Arial" w:hAnsi="Arial"/>
          <w:sz w:val="18"/>
          <w:szCs w:val="18"/>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w:t>
      </w:r>
    </w:p>
    <w:p>
      <w:pPr>
        <w:spacing w:after="0" w:line="1" w:lineRule="exact"/>
        <w:rPr>
          <w:sz w:val="20"/>
          <w:szCs w:val="20"/>
          <w:color w:val="auto"/>
        </w:rPr>
      </w:pPr>
    </w:p>
    <w:p>
      <w:pPr>
        <w:jc w:val="both"/>
        <w:ind w:left="5" w:hanging="5"/>
        <w:spacing w:after="0" w:line="298" w:lineRule="auto"/>
        <w:tabs>
          <w:tab w:leader="none" w:pos="274" w:val="left"/>
        </w:tabs>
        <w:numPr>
          <w:ilvl w:val="0"/>
          <w:numId w:val="79"/>
        </w:numPr>
        <w:rPr>
          <w:rFonts w:ascii="Arial" w:cs="Arial" w:eastAsia="Arial" w:hAnsi="Arial"/>
          <w:sz w:val="17"/>
          <w:szCs w:val="17"/>
          <w:color w:val="auto"/>
        </w:rPr>
      </w:pPr>
      <w:r>
        <w:rPr>
          <w:rFonts w:ascii="Arial" w:cs="Arial" w:eastAsia="Arial" w:hAnsi="Arial"/>
          <w:sz w:val="17"/>
          <w:szCs w:val="17"/>
          <w:color w:val="auto"/>
        </w:rPr>
        <w:t>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 financial and accounting expertise is a director who by virtue of his or her education, professional 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189" w:lineRule="exact"/>
        <w:rPr>
          <w:sz w:val="20"/>
          <w:szCs w:val="20"/>
          <w:color w:val="auto"/>
        </w:rPr>
      </w:pPr>
    </w:p>
    <w:p>
      <w:pPr>
        <w:jc w:val="both"/>
        <w:ind w:left="5" w:right="20" w:firstLine="568"/>
        <w:spacing w:after="0" w:line="280" w:lineRule="auto"/>
        <w:rPr>
          <w:sz w:val="20"/>
          <w:szCs w:val="20"/>
          <w:color w:val="auto"/>
        </w:rPr>
      </w:pPr>
      <w:r>
        <w:rPr>
          <w:rFonts w:ascii="Arial" w:cs="Arial" w:eastAsia="Arial" w:hAnsi="Arial"/>
          <w:sz w:val="18"/>
          <w:szCs w:val="18"/>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pacing w:after="0" w:line="34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05" w:name="page106"/>
    <w:bookmarkEnd w:id="105"/>
    <w:p>
      <w:pPr>
        <w:jc w:val="both"/>
        <w:ind w:firstLine="568"/>
        <w:spacing w:after="0" w:line="299" w:lineRule="auto"/>
        <w:rPr>
          <w:sz w:val="20"/>
          <w:szCs w:val="20"/>
          <w:color w:val="auto"/>
        </w:rPr>
      </w:pPr>
      <w:r>
        <w:rPr>
          <w:rFonts w:ascii="Arial" w:cs="Arial" w:eastAsia="Arial" w:hAnsi="Arial"/>
          <w:sz w:val="17"/>
          <w:szCs w:val="17"/>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188"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Election and Dismissal of External Directors</w:t>
      </w:r>
    </w:p>
    <w:p>
      <w:pPr>
        <w:spacing w:after="0" w:line="255" w:lineRule="exact"/>
        <w:rPr>
          <w:sz w:val="20"/>
          <w:szCs w:val="20"/>
          <w:color w:val="auto"/>
        </w:rPr>
      </w:pPr>
    </w:p>
    <w:p>
      <w:pPr>
        <w:ind w:left="560"/>
        <w:spacing w:after="0"/>
        <w:rPr>
          <w:sz w:val="20"/>
          <w:szCs w:val="20"/>
          <w:color w:val="auto"/>
        </w:rPr>
      </w:pPr>
      <w:r>
        <w:rPr>
          <w:rFonts w:ascii="Arial" w:cs="Arial" w:eastAsia="Arial" w:hAnsi="Arial"/>
          <w:sz w:val="19"/>
          <w:szCs w:val="19"/>
          <w:color w:val="auto"/>
        </w:rPr>
        <w:t>Under Israeli law, external directors are elected by a majority vote at a shareholders’ meeting, provided that either:</w:t>
      </w:r>
    </w:p>
    <w:p>
      <w:pPr>
        <w:spacing w:after="0" w:line="249" w:lineRule="exact"/>
        <w:rPr>
          <w:sz w:val="20"/>
          <w:szCs w:val="20"/>
          <w:color w:val="auto"/>
        </w:rPr>
      </w:pPr>
    </w:p>
    <w:p>
      <w:pPr>
        <w:jc w:val="both"/>
        <w:ind w:left="740" w:right="20" w:hanging="426"/>
        <w:spacing w:after="0" w:line="257" w:lineRule="auto"/>
        <w:tabs>
          <w:tab w:leader="none" w:pos="74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213"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209"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164" w:lineRule="exact"/>
        <w:rPr>
          <w:sz w:val="20"/>
          <w:szCs w:val="20"/>
          <w:color w:val="auto"/>
        </w:rPr>
      </w:pPr>
    </w:p>
    <w:p>
      <w:pPr>
        <w:jc w:val="both"/>
        <w:ind w:left="740" w:right="20" w:hanging="426"/>
        <w:spacing w:after="0" w:line="253" w:lineRule="auto"/>
        <w:tabs>
          <w:tab w:leader="none" w:pos="740" w:val="left"/>
        </w:tabs>
        <w:numPr>
          <w:ilvl w:val="0"/>
          <w:numId w:val="81"/>
        </w:numPr>
        <w:rPr>
          <w:rFonts w:ascii="Arial" w:cs="Arial" w:eastAsia="Arial" w:hAnsi="Arial"/>
          <w:sz w:val="16"/>
          <w:szCs w:val="16"/>
          <w:color w:val="auto"/>
        </w:rPr>
      </w:pPr>
      <w:r>
        <w:rPr>
          <w:rFonts w:ascii="Arial" w:cs="Arial" w:eastAsia="Arial" w:hAnsi="Arial"/>
          <w:sz w:val="16"/>
          <w:szCs w:val="16"/>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217"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external director proposed his or her own nomination, and such nomination was approved in accordance with the requirements described in the paragraph above; or</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81"/>
        </w:numPr>
        <w:rPr>
          <w:rFonts w:ascii="Arial" w:cs="Arial" w:eastAsia="Arial" w:hAnsi="Arial"/>
          <w:sz w:val="16"/>
          <w:szCs w:val="16"/>
          <w:color w:val="auto"/>
        </w:rPr>
      </w:pPr>
      <w:r>
        <w:rPr>
          <w:rFonts w:ascii="Arial" w:cs="Arial" w:eastAsia="Arial" w:hAnsi="Arial"/>
          <w:sz w:val="16"/>
          <w:szCs w:val="16"/>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209"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06" w:name="page107"/>
    <w:bookmarkEnd w:id="106"/>
    <w:p>
      <w:pPr>
        <w:jc w:val="both"/>
        <w:ind w:firstLine="568"/>
        <w:spacing w:after="0" w:line="271" w:lineRule="auto"/>
        <w:rPr>
          <w:sz w:val="20"/>
          <w:szCs w:val="20"/>
          <w:color w:val="auto"/>
        </w:rPr>
      </w:pPr>
      <w:r>
        <w:rPr>
          <w:rFonts w:ascii="Arial" w:cs="Arial" w:eastAsia="Arial" w:hAnsi="Arial"/>
          <w:sz w:val="19"/>
          <w:szCs w:val="19"/>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Additional Provisions</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193" w:lineRule="exact"/>
        <w:rPr>
          <w:sz w:val="20"/>
          <w:szCs w:val="20"/>
          <w:color w:val="auto"/>
        </w:rPr>
      </w:pPr>
    </w:p>
    <w:p>
      <w:pPr>
        <w:jc w:val="both"/>
        <w:ind w:firstLine="568"/>
        <w:spacing w:after="0" w:line="293" w:lineRule="auto"/>
        <w:rPr>
          <w:sz w:val="20"/>
          <w:szCs w:val="20"/>
          <w:color w:val="auto"/>
        </w:rPr>
      </w:pPr>
      <w:r>
        <w:rPr>
          <w:rFonts w:ascii="Arial" w:cs="Arial" w:eastAsia="Arial" w:hAnsi="Arial"/>
          <w:sz w:val="18"/>
          <w:szCs w:val="18"/>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18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Audit Committee</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Companies Law Requirements</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187" w:lineRule="exact"/>
        <w:rPr>
          <w:sz w:val="20"/>
          <w:szCs w:val="20"/>
          <w:color w:val="auto"/>
        </w:rPr>
      </w:pPr>
    </w:p>
    <w:p>
      <w:pPr>
        <w:ind w:left="740" w:hanging="426"/>
        <w:spacing w:after="0"/>
        <w:tabs>
          <w:tab w:leader="none" w:pos="740" w:val="left"/>
        </w:tabs>
        <w:numPr>
          <w:ilvl w:val="0"/>
          <w:numId w:val="82"/>
        </w:numPr>
        <w:rPr>
          <w:rFonts w:ascii="Arial" w:cs="Arial" w:eastAsia="Arial" w:hAnsi="Arial"/>
          <w:sz w:val="16"/>
          <w:szCs w:val="16"/>
          <w:color w:val="auto"/>
        </w:rPr>
      </w:pPr>
      <w:r>
        <w:rPr>
          <w:rFonts w:ascii="Arial" w:cs="Arial" w:eastAsia="Arial" w:hAnsi="Arial"/>
          <w:sz w:val="16"/>
          <w:szCs w:val="16"/>
          <w:color w:val="auto"/>
        </w:rPr>
        <w:t>the chairman of the board of directors;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82"/>
        </w:numPr>
        <w:rPr>
          <w:rFonts w:ascii="Arial" w:cs="Arial" w:eastAsia="Arial" w:hAnsi="Arial"/>
          <w:sz w:val="16"/>
          <w:szCs w:val="16"/>
          <w:color w:val="auto"/>
        </w:rPr>
      </w:pPr>
      <w:r>
        <w:rPr>
          <w:rFonts w:ascii="Arial" w:cs="Arial" w:eastAsia="Arial" w:hAnsi="Arial"/>
          <w:sz w:val="16"/>
          <w:szCs w:val="16"/>
          <w:color w:val="auto"/>
        </w:rPr>
        <w:t>a controlling shareholder or a relative of a controlling shareholder;</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82"/>
        </w:numPr>
        <w:rPr>
          <w:rFonts w:ascii="Arial" w:cs="Arial" w:eastAsia="Arial" w:hAnsi="Arial"/>
          <w:sz w:val="16"/>
          <w:szCs w:val="16"/>
          <w:color w:val="auto"/>
        </w:rPr>
      </w:pPr>
      <w:r>
        <w:rPr>
          <w:rFonts w:ascii="Arial" w:cs="Arial" w:eastAsia="Arial" w:hAnsi="Arial"/>
          <w:sz w:val="16"/>
          <w:szCs w:val="16"/>
          <w:color w:val="auto"/>
        </w:rPr>
        <w:t>any director employed by us or by one of our controlling shareholders or by an entity controlled by our controlling shareholders (other than as a member of the board of directors); or</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82"/>
        </w:numPr>
        <w:rPr>
          <w:rFonts w:ascii="Arial" w:cs="Arial" w:eastAsia="Arial" w:hAnsi="Arial"/>
          <w:sz w:val="16"/>
          <w:szCs w:val="16"/>
          <w:color w:val="auto"/>
        </w:rPr>
      </w:pPr>
      <w:r>
        <w:rPr>
          <w:rFonts w:ascii="Arial" w:cs="Arial" w:eastAsia="Arial" w:hAnsi="Arial"/>
          <w:sz w:val="16"/>
          <w:szCs w:val="16"/>
          <w:color w:val="auto"/>
        </w:rPr>
        <w:t>any director who regularly provides services to us, to one of our controlling shareholders or to an entity controlled by our controlling shareholders.</w:t>
      </w:r>
    </w:p>
    <w:p>
      <w:pPr>
        <w:spacing w:after="0" w:line="247"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213"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Nasdaq Listing Requirements</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pacing w:after="0" w:line="193" w:lineRule="exact"/>
        <w:rPr>
          <w:sz w:val="20"/>
          <w:szCs w:val="20"/>
          <w:color w:val="auto"/>
        </w:rPr>
      </w:pPr>
    </w:p>
    <w:p>
      <w:pPr>
        <w:jc w:val="both"/>
        <w:ind w:firstLine="566"/>
        <w:spacing w:after="0" w:line="308" w:lineRule="auto"/>
        <w:rPr>
          <w:sz w:val="20"/>
          <w:szCs w:val="20"/>
          <w:color w:val="auto"/>
        </w:rPr>
      </w:pPr>
      <w:r>
        <w:rPr>
          <w:rFonts w:ascii="Arial" w:cs="Arial" w:eastAsia="Arial" w:hAnsi="Arial"/>
          <w:sz w:val="17"/>
          <w:szCs w:val="17"/>
          <w:color w:val="auto"/>
        </w:rPr>
        <w:t>Our audit committee consists of Ran Gottfried, Jerrold S. Gattegno, Shmuel Ben Zvi and Yaffa Krindel-Sieradzki. Jerrold S. Gattegno serves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07" w:name="page108"/>
    <w:bookmarkEnd w:id="107"/>
    <w:p>
      <w:pPr>
        <w:ind w:left="560"/>
        <w:spacing w:after="0"/>
        <w:rPr>
          <w:sz w:val="20"/>
          <w:szCs w:val="20"/>
          <w:color w:val="auto"/>
        </w:rPr>
      </w:pPr>
      <w:r>
        <w:rPr>
          <w:rFonts w:ascii="Arial" w:cs="Arial" w:eastAsia="Arial" w:hAnsi="Arial"/>
          <w:sz w:val="18"/>
          <w:szCs w:val="18"/>
          <w:color w:val="auto"/>
        </w:rPr>
        <w:t>Each of the members of the audit committee is “independent” as such term is defined in Rule 10A-3(b)(1) under the Exchange Act.</w:t>
      </w:r>
    </w:p>
    <w:p>
      <w:pPr>
        <w:spacing w:after="0" w:line="26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Approval of Transactions with Related Parties</w:t>
      </w:r>
    </w:p>
    <w:p>
      <w:pPr>
        <w:spacing w:after="0" w:line="255"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The approval of the audit committee is required to effect specified actions and transactions with office holders and controlling shareholders and their relatives, or in which they have a personal interest. See “— Duties of Directors and Officers and Approval of Specified Related Party Transactions under the Israeli Companies Law – Fiduciary Duties of Office Holders.” The audit committee may not approve an action or a transaction with a controlling shareholder or with an office holder unless at the time of approval the audit committee meets the composition requirements under the Companies Law.</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Audit Committee Role</w:t>
      </w:r>
    </w:p>
    <w:p>
      <w:pPr>
        <w:spacing w:after="0" w:line="255" w:lineRule="exact"/>
        <w:rPr>
          <w:sz w:val="20"/>
          <w:szCs w:val="20"/>
          <w:color w:val="auto"/>
        </w:rPr>
      </w:pPr>
    </w:p>
    <w:p>
      <w:pPr>
        <w:jc w:val="both"/>
        <w:ind w:right="20" w:firstLine="568"/>
        <w:spacing w:after="0" w:line="345" w:lineRule="auto"/>
        <w:rPr>
          <w:sz w:val="20"/>
          <w:szCs w:val="20"/>
          <w:color w:val="auto"/>
        </w:rPr>
      </w:pPr>
      <w:r>
        <w:rPr>
          <w:rFonts w:ascii="Arial" w:cs="Arial" w:eastAsia="Arial" w:hAnsi="Arial"/>
          <w:sz w:val="17"/>
          <w:szCs w:val="17"/>
          <w:color w:val="auto"/>
        </w:rPr>
        <w:t>Our board of directors has adopted an audit committee charter effective immediately after the pricing of our initial public offering setting forth the responsibilities of the audit committee consistent with the rules of the SEC and the Nasdaq corporate governance rules, which include:</w:t>
      </w:r>
    </w:p>
    <w:p>
      <w:pPr>
        <w:spacing w:after="0" w:line="142" w:lineRule="exact"/>
        <w:rPr>
          <w:sz w:val="20"/>
          <w:szCs w:val="20"/>
          <w:color w:val="auto"/>
        </w:rPr>
      </w:pPr>
    </w:p>
    <w:p>
      <w:pPr>
        <w:ind w:left="740" w:hanging="426"/>
        <w:spacing w:after="0"/>
        <w:tabs>
          <w:tab w:leader="none" w:pos="740" w:val="left"/>
        </w:tabs>
        <w:numPr>
          <w:ilvl w:val="0"/>
          <w:numId w:val="83"/>
        </w:numPr>
        <w:rPr>
          <w:rFonts w:ascii="Arial" w:cs="Arial" w:eastAsia="Arial" w:hAnsi="Arial"/>
          <w:sz w:val="16"/>
          <w:szCs w:val="16"/>
          <w:color w:val="auto"/>
        </w:rPr>
      </w:pPr>
      <w:r>
        <w:rPr>
          <w:rFonts w:ascii="Arial" w:cs="Arial" w:eastAsia="Arial" w:hAnsi="Arial"/>
          <w:sz w:val="16"/>
          <w:szCs w:val="16"/>
          <w:color w:val="auto"/>
        </w:rPr>
        <w:t>retaining and terminating our independent auditors, subject to board of directors and shareholder ratification;</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83"/>
        </w:numPr>
        <w:rPr>
          <w:rFonts w:ascii="Arial" w:cs="Arial" w:eastAsia="Arial" w:hAnsi="Arial"/>
          <w:sz w:val="16"/>
          <w:szCs w:val="16"/>
          <w:color w:val="auto"/>
        </w:rPr>
      </w:pPr>
      <w:r>
        <w:rPr>
          <w:rFonts w:ascii="Arial" w:cs="Arial" w:eastAsia="Arial" w:hAnsi="Arial"/>
          <w:sz w:val="16"/>
          <w:szCs w:val="16"/>
          <w:color w:val="auto"/>
        </w:rPr>
        <w:t>overseeing the independence, compensation and performance of the Company’s independent auditors;</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appointment, compensation, retention and oversight of any accounting firm engaged for the purpose of preparing or issuing an audit report or performing other audit services;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83"/>
        </w:numPr>
        <w:rPr>
          <w:rFonts w:ascii="Arial" w:cs="Arial" w:eastAsia="Arial" w:hAnsi="Arial"/>
          <w:sz w:val="16"/>
          <w:szCs w:val="16"/>
          <w:color w:val="auto"/>
        </w:rPr>
      </w:pPr>
      <w:r>
        <w:rPr>
          <w:rFonts w:ascii="Arial" w:cs="Arial" w:eastAsia="Arial" w:hAnsi="Arial"/>
          <w:sz w:val="16"/>
          <w:szCs w:val="16"/>
          <w:color w:val="auto"/>
        </w:rPr>
        <w:t>pre-approval of audit and non-audit services to be provided by the independent auditors;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83"/>
        </w:numPr>
        <w:rPr>
          <w:rFonts w:ascii="Arial" w:cs="Arial" w:eastAsia="Arial" w:hAnsi="Arial"/>
          <w:sz w:val="16"/>
          <w:szCs w:val="16"/>
          <w:color w:val="auto"/>
        </w:rPr>
      </w:pPr>
      <w:r>
        <w:rPr>
          <w:rFonts w:ascii="Arial" w:cs="Arial" w:eastAsia="Arial" w:hAnsi="Arial"/>
          <w:sz w:val="16"/>
          <w:szCs w:val="16"/>
          <w:color w:val="auto"/>
        </w:rPr>
        <w:t>reviewing with management and our independent directors our financial statements prior to their submission to the SEC;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83"/>
        </w:numPr>
        <w:rPr>
          <w:rFonts w:ascii="Arial" w:cs="Arial" w:eastAsia="Arial" w:hAnsi="Arial"/>
          <w:sz w:val="16"/>
          <w:szCs w:val="16"/>
          <w:color w:val="auto"/>
        </w:rPr>
      </w:pPr>
      <w:r>
        <w:rPr>
          <w:rFonts w:ascii="Arial" w:cs="Arial" w:eastAsia="Arial" w:hAnsi="Arial"/>
          <w:sz w:val="16"/>
          <w:szCs w:val="16"/>
          <w:color w:val="auto"/>
        </w:rPr>
        <w:t>approval of certain transactions with office holders and controlling shareholders, as described below, and other related party transactions.</w:t>
      </w:r>
    </w:p>
    <w:p>
      <w:pPr>
        <w:spacing w:after="0" w:line="247"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 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08" w:name="page109"/>
    <w:bookmarkEnd w:id="108"/>
    <w:p>
      <w:pPr>
        <w:spacing w:after="0"/>
        <w:rPr>
          <w:sz w:val="20"/>
          <w:szCs w:val="20"/>
          <w:color w:val="auto"/>
        </w:rPr>
      </w:pPr>
      <w:r>
        <w:rPr>
          <w:rFonts w:ascii="Arial" w:cs="Arial" w:eastAsia="Arial" w:hAnsi="Arial"/>
          <w:sz w:val="19"/>
          <w:szCs w:val="19"/>
          <w:b w:val="1"/>
          <w:bCs w:val="1"/>
          <w:color w:val="auto"/>
        </w:rPr>
        <w:t>Compensation Committee</w:t>
      </w:r>
    </w:p>
    <w:p>
      <w:pPr>
        <w:spacing w:after="0" w:line="261"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Under the Companies Law, public companies are required to appoint a compensation committee in accordance with the guidelines set forth thereunder.</w:t>
      </w:r>
    </w:p>
    <w:p>
      <w:pPr>
        <w:spacing w:after="0" w:line="193" w:lineRule="exact"/>
        <w:rPr>
          <w:sz w:val="20"/>
          <w:szCs w:val="20"/>
          <w:color w:val="auto"/>
        </w:rPr>
      </w:pPr>
    </w:p>
    <w:p>
      <w:pPr>
        <w:jc w:val="both"/>
        <w:ind w:firstLine="568"/>
        <w:spacing w:after="0" w:line="293" w:lineRule="auto"/>
        <w:rPr>
          <w:sz w:val="20"/>
          <w:szCs w:val="20"/>
          <w:color w:val="auto"/>
        </w:rPr>
      </w:pPr>
      <w:r>
        <w:rPr>
          <w:rFonts w:ascii="Arial" w:cs="Arial" w:eastAsia="Arial" w:hAnsi="Arial"/>
          <w:sz w:val="18"/>
          <w:szCs w:val="18"/>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188"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The compensation committee, which consists of Ran Gottfried, Jerrold S. Gattegno, Shmuel Ben Zvi and Jonathan B. Siegel, assists the board of directors in determining compensation for our directors and officers. Ran Gottfried serves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214" w:lineRule="exact"/>
        <w:rPr>
          <w:sz w:val="20"/>
          <w:szCs w:val="20"/>
          <w:color w:val="auto"/>
        </w:rPr>
      </w:pPr>
    </w:p>
    <w:p>
      <w:pPr>
        <w:ind w:left="560"/>
        <w:spacing w:after="0"/>
        <w:rPr>
          <w:sz w:val="20"/>
          <w:szCs w:val="20"/>
          <w:color w:val="auto"/>
        </w:rPr>
      </w:pPr>
      <w:r>
        <w:rPr>
          <w:rFonts w:ascii="Arial" w:cs="Arial" w:eastAsia="Arial" w:hAnsi="Arial"/>
          <w:sz w:val="19"/>
          <w:szCs w:val="19"/>
          <w:color w:val="auto"/>
        </w:rPr>
        <w:t>In accordance with the Companies Law, the roles of the compensation committee are, among others, as follows:</w:t>
      </w:r>
    </w:p>
    <w:p>
      <w:pPr>
        <w:spacing w:after="0" w:line="249" w:lineRule="exact"/>
        <w:rPr>
          <w:sz w:val="20"/>
          <w:szCs w:val="20"/>
          <w:color w:val="auto"/>
        </w:rPr>
      </w:pPr>
    </w:p>
    <w:p>
      <w:pPr>
        <w:ind w:left="740" w:right="20" w:hanging="426"/>
        <w:spacing w:after="0" w:line="268" w:lineRule="auto"/>
        <w:tabs>
          <w:tab w:leader="none" w:pos="740" w:val="left"/>
        </w:tabs>
        <w:numPr>
          <w:ilvl w:val="0"/>
          <w:numId w:val="84"/>
        </w:numPr>
        <w:rPr>
          <w:rFonts w:ascii="Arial" w:cs="Arial" w:eastAsia="Arial" w:hAnsi="Arial"/>
          <w:sz w:val="16"/>
          <w:szCs w:val="16"/>
          <w:color w:val="auto"/>
        </w:rPr>
      </w:pPr>
      <w:r>
        <w:rPr>
          <w:rFonts w:ascii="Arial" w:cs="Arial" w:eastAsia="Arial" w:hAnsi="Arial"/>
          <w:sz w:val="16"/>
          <w:szCs w:val="16"/>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84"/>
        </w:numPr>
        <w:rPr>
          <w:rFonts w:ascii="Arial" w:cs="Arial" w:eastAsia="Arial" w:hAnsi="Arial"/>
          <w:sz w:val="16"/>
          <w:szCs w:val="16"/>
          <w:color w:val="auto"/>
        </w:rPr>
      </w:pPr>
      <w:r>
        <w:rPr>
          <w:rFonts w:ascii="Arial" w:cs="Arial" w:eastAsia="Arial" w:hAnsi="Arial"/>
          <w:sz w:val="16"/>
          <w:szCs w:val="16"/>
          <w:color w:val="auto"/>
        </w:rPr>
        <w:t>to recommend to the board of directors updates to the compensation policy, from time to time, and examine its implementation;</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84"/>
        </w:numPr>
        <w:rPr>
          <w:rFonts w:ascii="Arial" w:cs="Arial" w:eastAsia="Arial" w:hAnsi="Arial"/>
          <w:sz w:val="16"/>
          <w:szCs w:val="16"/>
          <w:color w:val="auto"/>
        </w:rPr>
      </w:pPr>
      <w:r>
        <w:rPr>
          <w:rFonts w:ascii="Arial" w:cs="Arial" w:eastAsia="Arial" w:hAnsi="Arial"/>
          <w:sz w:val="16"/>
          <w:szCs w:val="16"/>
          <w:color w:val="auto"/>
        </w:rPr>
        <w:t>to decide whether to approve the terms of office and employment of directors and officers that require approval of the compensation committee; and</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84"/>
        </w:numPr>
        <w:rPr>
          <w:rFonts w:ascii="Arial" w:cs="Arial" w:eastAsia="Arial" w:hAnsi="Arial"/>
          <w:sz w:val="16"/>
          <w:szCs w:val="16"/>
          <w:color w:val="auto"/>
        </w:rPr>
      </w:pPr>
      <w:r>
        <w:rPr>
          <w:rFonts w:ascii="Arial" w:cs="Arial" w:eastAsia="Arial" w:hAnsi="Arial"/>
          <w:sz w:val="16"/>
          <w:szCs w:val="16"/>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209"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In addition to the roles mentioned above our compensation committee also makes recommendations to our board of directors regarding the awarding of employee equity grants.</w:t>
      </w:r>
    </w:p>
    <w:p>
      <w:pPr>
        <w:spacing w:after="0" w:line="193"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 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204" w:lineRule="exact"/>
        <w:rPr>
          <w:sz w:val="20"/>
          <w:szCs w:val="20"/>
          <w:color w:val="auto"/>
        </w:rPr>
      </w:pPr>
    </w:p>
    <w:p>
      <w:pPr>
        <w:jc w:val="both"/>
        <w:ind w:right="20" w:firstLine="568"/>
        <w:spacing w:after="0" w:line="287" w:lineRule="auto"/>
        <w:rPr>
          <w:sz w:val="20"/>
          <w:szCs w:val="20"/>
          <w:color w:val="auto"/>
        </w:rPr>
      </w:pPr>
      <w:r>
        <w:rPr>
          <w:rFonts w:ascii="Arial" w:cs="Arial" w:eastAsia="Arial" w:hAnsi="Arial"/>
          <w:sz w:val="18"/>
          <w:szCs w:val="18"/>
          <w:color w:val="auto"/>
        </w:rPr>
        <w:t>If a company initially offer its securities to the public, like we recently did,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09" w:name="page110"/>
    <w:bookmarkEnd w:id="109"/>
    <w:p>
      <w:pPr>
        <w:jc w:val="both"/>
        <w:ind w:firstLine="568"/>
        <w:spacing w:after="0" w:line="284" w:lineRule="auto"/>
        <w:rPr>
          <w:sz w:val="20"/>
          <w:szCs w:val="20"/>
          <w:color w:val="auto"/>
        </w:rPr>
      </w:pPr>
      <w:r>
        <w:rPr>
          <w:rFonts w:ascii="Arial" w:cs="Arial" w:eastAsia="Arial" w:hAnsi="Arial"/>
          <w:sz w:val="19"/>
          <w:szCs w:val="19"/>
          <w:color w:val="auto"/>
        </w:rPr>
        <w:t>The compensation policy must be based on certain considerations, include certain provisions and needs to reference certain matters as set forth in the Companies Law.</w:t>
      </w:r>
    </w:p>
    <w:p>
      <w:pPr>
        <w:spacing w:after="0" w:line="19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189" w:lineRule="exact"/>
        <w:rPr>
          <w:sz w:val="20"/>
          <w:szCs w:val="20"/>
          <w:color w:val="auto"/>
        </w:rPr>
      </w:pPr>
    </w:p>
    <w:p>
      <w:pPr>
        <w:ind w:left="740" w:hanging="426"/>
        <w:spacing w:after="0"/>
        <w:tabs>
          <w:tab w:leader="none" w:pos="740"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education, skills, experience, expertise and accomplishments of the relevant office holder;</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office holder’s position, responsibilities and prior compensation agreements with him or her;</w:t>
      </w:r>
    </w:p>
    <w:p>
      <w:pPr>
        <w:spacing w:after="0" w:line="241" w:lineRule="exact"/>
        <w:rPr>
          <w:rFonts w:ascii="Arial" w:cs="Arial" w:eastAsia="Arial" w:hAnsi="Arial"/>
          <w:sz w:val="16"/>
          <w:szCs w:val="16"/>
          <w:color w:val="auto"/>
        </w:rPr>
      </w:pPr>
    </w:p>
    <w:p>
      <w:pPr>
        <w:jc w:val="both"/>
        <w:ind w:left="740" w:right="20" w:hanging="426"/>
        <w:spacing w:after="0" w:line="257" w:lineRule="auto"/>
        <w:tabs>
          <w:tab w:leader="none" w:pos="740"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213"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85"/>
        </w:numPr>
        <w:rPr>
          <w:rFonts w:ascii="Arial" w:cs="Arial" w:eastAsia="Arial" w:hAnsi="Arial"/>
          <w:sz w:val="16"/>
          <w:szCs w:val="16"/>
          <w:color w:val="auto"/>
        </w:rPr>
      </w:pPr>
      <w:r>
        <w:rPr>
          <w:rFonts w:ascii="Arial" w:cs="Arial" w:eastAsia="Arial" w:hAnsi="Arial"/>
          <w:sz w:val="16"/>
          <w:szCs w:val="16"/>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204" w:lineRule="exact"/>
        <w:rPr>
          <w:rFonts w:ascii="Arial" w:cs="Arial" w:eastAsia="Arial" w:hAnsi="Arial"/>
          <w:sz w:val="16"/>
          <w:szCs w:val="16"/>
          <w:color w:val="auto"/>
        </w:rPr>
      </w:pPr>
    </w:p>
    <w:p>
      <w:pPr>
        <w:jc w:val="both"/>
        <w:ind w:left="740" w:right="20" w:hanging="426"/>
        <w:spacing w:after="0" w:line="257" w:lineRule="auto"/>
        <w:tabs>
          <w:tab w:leader="none" w:pos="740" w:val="left"/>
        </w:tabs>
        <w:numPr>
          <w:ilvl w:val="0"/>
          <w:numId w:val="85"/>
        </w:numPr>
        <w:rPr>
          <w:rFonts w:ascii="Arial" w:cs="Arial" w:eastAsia="Arial" w:hAnsi="Arial"/>
          <w:sz w:val="16"/>
          <w:szCs w:val="16"/>
          <w:color w:val="auto"/>
        </w:rPr>
      </w:pPr>
      <w:r>
        <w:rPr>
          <w:rFonts w:ascii="Arial" w:cs="Arial" w:eastAsia="Arial" w:hAnsi="Arial"/>
          <w:sz w:val="16"/>
          <w:szCs w:val="16"/>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218" w:lineRule="exact"/>
        <w:rPr>
          <w:sz w:val="20"/>
          <w:szCs w:val="20"/>
          <w:color w:val="auto"/>
        </w:rPr>
      </w:pPr>
    </w:p>
    <w:p>
      <w:pPr>
        <w:spacing w:after="0"/>
        <w:rPr>
          <w:sz w:val="20"/>
          <w:szCs w:val="20"/>
          <w:color w:val="auto"/>
        </w:rPr>
      </w:pPr>
      <w:r>
        <w:rPr>
          <w:rFonts w:ascii="Arial" w:cs="Arial" w:eastAsia="Arial" w:hAnsi="Arial"/>
          <w:sz w:val="19"/>
          <w:szCs w:val="19"/>
          <w:color w:val="auto"/>
        </w:rPr>
        <w:t>The compensation policy must also include, among others:</w:t>
      </w:r>
    </w:p>
    <w:p>
      <w:pPr>
        <w:spacing w:after="0" w:line="249" w:lineRule="exact"/>
        <w:rPr>
          <w:sz w:val="20"/>
          <w:szCs w:val="20"/>
          <w:color w:val="auto"/>
        </w:rPr>
      </w:pPr>
    </w:p>
    <w:p>
      <w:pPr>
        <w:ind w:left="740" w:hanging="426"/>
        <w:spacing w:after="0"/>
        <w:tabs>
          <w:tab w:leader="none" w:pos="740" w:val="left"/>
        </w:tabs>
        <w:numPr>
          <w:ilvl w:val="0"/>
          <w:numId w:val="86"/>
        </w:numPr>
        <w:rPr>
          <w:rFonts w:ascii="Arial" w:cs="Arial" w:eastAsia="Arial" w:hAnsi="Arial"/>
          <w:sz w:val="16"/>
          <w:szCs w:val="16"/>
          <w:color w:val="auto"/>
        </w:rPr>
      </w:pPr>
      <w:r>
        <w:rPr>
          <w:rFonts w:ascii="Arial" w:cs="Arial" w:eastAsia="Arial" w:hAnsi="Arial"/>
          <w:sz w:val="16"/>
          <w:szCs w:val="16"/>
          <w:color w:val="auto"/>
        </w:rPr>
        <w:t>with regards to variable components:</w:t>
      </w:r>
    </w:p>
    <w:p>
      <w:pPr>
        <w:spacing w:after="0" w:line="218" w:lineRule="exact"/>
        <w:rPr>
          <w:rFonts w:ascii="Arial" w:cs="Arial" w:eastAsia="Arial" w:hAnsi="Arial"/>
          <w:sz w:val="16"/>
          <w:szCs w:val="16"/>
          <w:color w:val="auto"/>
        </w:rPr>
      </w:pPr>
    </w:p>
    <w:p>
      <w:pPr>
        <w:ind w:left="1160" w:hanging="394"/>
        <w:spacing w:after="0" w:line="253" w:lineRule="auto"/>
        <w:rPr>
          <w:rFonts w:ascii="Arial" w:cs="Arial" w:eastAsia="Arial" w:hAnsi="Arial"/>
          <w:sz w:val="16"/>
          <w:szCs w:val="16"/>
          <w:color w:val="auto"/>
        </w:rPr>
      </w:pPr>
      <w:r>
        <w:rPr>
          <w:rFonts w:ascii="Arial" w:cs="Arial" w:eastAsia="Arial" w:hAnsi="Arial"/>
          <w:sz w:val="16"/>
          <w:szCs w:val="16"/>
          <w:color w:val="auto"/>
        </w:rPr>
        <w:t>–with the exception of office holders who report directly to the chief executive officer, determining the variable components on long-term performance basis and on 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217" w:lineRule="exact"/>
        <w:rPr>
          <w:rFonts w:ascii="Arial" w:cs="Arial" w:eastAsia="Arial" w:hAnsi="Arial"/>
          <w:sz w:val="16"/>
          <w:szCs w:val="16"/>
          <w:color w:val="auto"/>
        </w:rPr>
      </w:pPr>
    </w:p>
    <w:p>
      <w:pPr>
        <w:ind w:left="780"/>
        <w:spacing w:after="0"/>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4"/>
          <w:szCs w:val="14"/>
          <w:color w:val="auto"/>
        </w:rPr>
        <w:t>the ratio between variable and fixed components, as well as the limit of the values of variable components at the time of their grant.</w:t>
      </w:r>
    </w:p>
    <w:p>
      <w:pPr>
        <w:spacing w:after="0" w:line="241" w:lineRule="exact"/>
        <w:rPr>
          <w:rFonts w:ascii="Arial" w:cs="Arial" w:eastAsia="Arial" w:hAnsi="Arial"/>
          <w:sz w:val="16"/>
          <w:szCs w:val="16"/>
          <w:color w:val="auto"/>
        </w:rPr>
      </w:pPr>
    </w:p>
    <w:p>
      <w:pPr>
        <w:jc w:val="both"/>
        <w:ind w:left="740" w:hanging="426"/>
        <w:spacing w:after="0" w:line="257" w:lineRule="auto"/>
        <w:tabs>
          <w:tab w:leader="none" w:pos="740" w:val="left"/>
        </w:tabs>
        <w:numPr>
          <w:ilvl w:val="0"/>
          <w:numId w:val="86"/>
        </w:numPr>
        <w:rPr>
          <w:rFonts w:ascii="Arial" w:cs="Arial" w:eastAsia="Arial" w:hAnsi="Arial"/>
          <w:sz w:val="16"/>
          <w:szCs w:val="16"/>
          <w:color w:val="auto"/>
        </w:rPr>
      </w:pPr>
      <w:r>
        <w:rPr>
          <w:rFonts w:ascii="Arial" w:cs="Arial" w:eastAsia="Arial" w:hAnsi="Arial"/>
          <w:sz w:val="16"/>
          <w:szCs w:val="16"/>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213"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minimum holding or vesting period of variable equity-based components to be set in the terms of office or employment, as applicable, while taking into consideration long-term incentives; and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86"/>
        </w:numPr>
        <w:rPr>
          <w:rFonts w:ascii="Arial" w:cs="Arial" w:eastAsia="Arial" w:hAnsi="Arial"/>
          <w:sz w:val="16"/>
          <w:szCs w:val="16"/>
          <w:color w:val="auto"/>
        </w:rPr>
      </w:pPr>
      <w:r>
        <w:rPr>
          <w:rFonts w:ascii="Arial" w:cs="Arial" w:eastAsia="Arial" w:hAnsi="Arial"/>
          <w:sz w:val="16"/>
          <w:szCs w:val="16"/>
          <w:color w:val="auto"/>
        </w:rPr>
        <w:t>a limit to retirement grants.</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10" w:name="page111"/>
    <w:bookmarkEnd w:id="110"/>
    <w:p>
      <w:pPr>
        <w:ind w:left="5"/>
        <w:spacing w:after="0"/>
        <w:rPr>
          <w:sz w:val="20"/>
          <w:szCs w:val="20"/>
          <w:color w:val="auto"/>
        </w:rPr>
      </w:pPr>
      <w:r>
        <w:rPr>
          <w:rFonts w:ascii="Arial" w:cs="Arial" w:eastAsia="Arial" w:hAnsi="Arial"/>
          <w:sz w:val="19"/>
          <w:szCs w:val="19"/>
          <w:b w:val="1"/>
          <w:bCs w:val="1"/>
          <w:color w:val="auto"/>
        </w:rPr>
        <w:t>Corporate Governance Practices</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Internal Auditor</w:t>
      </w:r>
    </w:p>
    <w:p>
      <w:pPr>
        <w:spacing w:after="0" w:line="261" w:lineRule="exact"/>
        <w:rPr>
          <w:sz w:val="20"/>
          <w:szCs w:val="20"/>
          <w:color w:val="auto"/>
        </w:rPr>
      </w:pPr>
    </w:p>
    <w:p>
      <w:pPr>
        <w:jc w:val="both"/>
        <w:ind w:left="5" w:firstLine="568"/>
        <w:spacing w:after="0" w:line="308" w:lineRule="auto"/>
        <w:rPr>
          <w:sz w:val="20"/>
          <w:szCs w:val="20"/>
          <w:color w:val="auto"/>
        </w:rPr>
      </w:pPr>
      <w:r>
        <w:rPr>
          <w:rFonts w:ascii="Arial" w:cs="Arial" w:eastAsia="Arial" w:hAnsi="Arial"/>
          <w:sz w:val="17"/>
          <w:szCs w:val="17"/>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179" w:lineRule="exact"/>
        <w:rPr>
          <w:sz w:val="20"/>
          <w:szCs w:val="20"/>
          <w:color w:val="auto"/>
        </w:rPr>
      </w:pPr>
    </w:p>
    <w:p>
      <w:pPr>
        <w:jc w:val="both"/>
        <w:ind w:left="5" w:right="20" w:firstLine="568"/>
        <w:spacing w:after="0" w:line="292" w:lineRule="auto"/>
        <w:rPr>
          <w:sz w:val="20"/>
          <w:szCs w:val="20"/>
          <w:color w:val="auto"/>
        </w:rPr>
      </w:pPr>
      <w:r>
        <w:rPr>
          <w:rFonts w:ascii="Arial" w:cs="Arial" w:eastAsia="Arial" w:hAnsi="Arial"/>
          <w:sz w:val="17"/>
          <w:szCs w:val="17"/>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w:t>
      </w:r>
    </w:p>
    <w:p>
      <w:pPr>
        <w:spacing w:after="0" w:line="1" w:lineRule="exact"/>
        <w:rPr>
          <w:sz w:val="20"/>
          <w:szCs w:val="20"/>
          <w:color w:val="auto"/>
        </w:rPr>
      </w:pPr>
    </w:p>
    <w:p>
      <w:pPr>
        <w:ind w:left="5" w:hanging="5"/>
        <w:spacing w:after="0" w:line="279" w:lineRule="auto"/>
        <w:tabs>
          <w:tab w:leader="none" w:pos="362" w:val="left"/>
        </w:tabs>
        <w:numPr>
          <w:ilvl w:val="0"/>
          <w:numId w:val="87"/>
        </w:numPr>
        <w:rPr>
          <w:rFonts w:ascii="Arial" w:cs="Arial" w:eastAsia="Arial" w:hAnsi="Arial"/>
          <w:sz w:val="19"/>
          <w:szCs w:val="19"/>
          <w:color w:val="auto"/>
        </w:rPr>
      </w:pPr>
      <w:r>
        <w:rPr>
          <w:rFonts w:ascii="Arial" w:cs="Arial" w:eastAsia="Arial" w:hAnsi="Arial"/>
          <w:sz w:val="19"/>
          <w:szCs w:val="19"/>
          <w:color w:val="auto"/>
        </w:rPr>
        <w:t>any person who serves as a director or as a chief executive officer of the company. As of the date of this annual report, we have not yet appointed our internal auditor.</w:t>
      </w:r>
    </w:p>
    <w:p>
      <w:pPr>
        <w:spacing w:after="0" w:line="192"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Duties of Directors and Officers and Approval of Specified Related Party Transactions under the Israeli Companies Law</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Fiduciary Duties of Office Holders</w:t>
      </w:r>
    </w:p>
    <w:p>
      <w:pPr>
        <w:spacing w:after="0" w:line="255" w:lineRule="exact"/>
        <w:rPr>
          <w:sz w:val="20"/>
          <w:szCs w:val="20"/>
          <w:color w:val="auto"/>
        </w:rPr>
      </w:pPr>
    </w:p>
    <w:p>
      <w:pPr>
        <w:jc w:val="both"/>
        <w:ind w:left="5" w:firstLine="568"/>
        <w:spacing w:after="0" w:line="265" w:lineRule="auto"/>
        <w:rPr>
          <w:sz w:val="20"/>
          <w:szCs w:val="20"/>
          <w:color w:val="auto"/>
        </w:rPr>
      </w:pPr>
      <w:r>
        <w:rPr>
          <w:rFonts w:ascii="Arial" w:cs="Arial" w:eastAsia="Arial" w:hAnsi="Arial"/>
          <w:sz w:val="19"/>
          <w:szCs w:val="19"/>
          <w:color w:val="auto"/>
        </w:rPr>
        <w:t>The Companies Law imposes a duty of care and a fiduciary duty on all office holders of a company. The duty of care of an office holder is based on the duty of care set forth in connection 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208" w:lineRule="exact"/>
        <w:rPr>
          <w:sz w:val="20"/>
          <w:szCs w:val="20"/>
          <w:color w:val="auto"/>
        </w:rPr>
      </w:pPr>
    </w:p>
    <w:p>
      <w:pPr>
        <w:ind w:left="745" w:hanging="426"/>
        <w:spacing w:after="0"/>
        <w:tabs>
          <w:tab w:leader="none" w:pos="745" w:val="left"/>
        </w:tabs>
        <w:numPr>
          <w:ilvl w:val="0"/>
          <w:numId w:val="88"/>
        </w:numPr>
        <w:rPr>
          <w:rFonts w:ascii="Arial" w:cs="Arial" w:eastAsia="Arial" w:hAnsi="Arial"/>
          <w:sz w:val="16"/>
          <w:szCs w:val="16"/>
          <w:color w:val="auto"/>
        </w:rPr>
      </w:pPr>
      <w:r>
        <w:rPr>
          <w:rFonts w:ascii="Arial" w:cs="Arial" w:eastAsia="Arial" w:hAnsi="Arial"/>
          <w:sz w:val="16"/>
          <w:szCs w:val="16"/>
          <w:color w:val="auto"/>
        </w:rPr>
        <w:t>information on the business advisability of a given action brought for his or her approval or performed by virtue of his or her position; and</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88"/>
        </w:numPr>
        <w:rPr>
          <w:rFonts w:ascii="Arial" w:cs="Arial" w:eastAsia="Arial" w:hAnsi="Arial"/>
          <w:sz w:val="16"/>
          <w:szCs w:val="16"/>
          <w:color w:val="auto"/>
        </w:rPr>
      </w:pPr>
      <w:r>
        <w:rPr>
          <w:rFonts w:ascii="Arial" w:cs="Arial" w:eastAsia="Arial" w:hAnsi="Arial"/>
          <w:sz w:val="16"/>
          <w:szCs w:val="16"/>
          <w:color w:val="auto"/>
        </w:rPr>
        <w:t>all other important information pertaining to such action.</w:t>
      </w:r>
    </w:p>
    <w:p>
      <w:pPr>
        <w:spacing w:after="0" w:line="247" w:lineRule="exact"/>
        <w:rPr>
          <w:sz w:val="20"/>
          <w:szCs w:val="20"/>
          <w:color w:val="auto"/>
        </w:rPr>
      </w:pPr>
    </w:p>
    <w:p>
      <w:pPr>
        <w:ind w:left="5" w:right="20" w:firstLine="568"/>
        <w:spacing w:after="0" w:line="284" w:lineRule="auto"/>
        <w:rPr>
          <w:sz w:val="20"/>
          <w:szCs w:val="20"/>
          <w:color w:val="auto"/>
        </w:rPr>
      </w:pPr>
      <w:r>
        <w:rPr>
          <w:rFonts w:ascii="Arial" w:cs="Arial" w:eastAsia="Arial" w:hAnsi="Arial"/>
          <w:sz w:val="19"/>
          <w:szCs w:val="19"/>
          <w:color w:val="auto"/>
        </w:rPr>
        <w:t>The fiduciary duty incumbent on an office holder requires him or her to act in good faith and for the benefit of the company, and includes, among other things, the duty to:</w:t>
      </w:r>
    </w:p>
    <w:p>
      <w:pPr>
        <w:spacing w:after="0" w:line="187" w:lineRule="exact"/>
        <w:rPr>
          <w:sz w:val="20"/>
          <w:szCs w:val="20"/>
          <w:color w:val="auto"/>
        </w:rPr>
      </w:pPr>
    </w:p>
    <w:p>
      <w:pPr>
        <w:ind w:left="745" w:hanging="426"/>
        <w:spacing w:after="0"/>
        <w:tabs>
          <w:tab w:leader="none" w:pos="745" w:val="left"/>
        </w:tabs>
        <w:numPr>
          <w:ilvl w:val="0"/>
          <w:numId w:val="89"/>
        </w:numPr>
        <w:rPr>
          <w:rFonts w:ascii="Arial" w:cs="Arial" w:eastAsia="Arial" w:hAnsi="Arial"/>
          <w:sz w:val="15"/>
          <w:szCs w:val="15"/>
          <w:color w:val="auto"/>
        </w:rPr>
      </w:pPr>
      <w:r>
        <w:rPr>
          <w:rFonts w:ascii="Arial" w:cs="Arial" w:eastAsia="Arial" w:hAnsi="Arial"/>
          <w:sz w:val="15"/>
          <w:szCs w:val="15"/>
          <w:color w:val="auto"/>
        </w:rPr>
        <w:t>refrain from any act involving a conflict of interest between the performance of his or her duties in the company and his or her other duties or personal affairs;</w:t>
      </w:r>
    </w:p>
    <w:p>
      <w:pPr>
        <w:spacing w:after="0" w:line="253" w:lineRule="exact"/>
        <w:rPr>
          <w:rFonts w:ascii="Arial" w:cs="Arial" w:eastAsia="Arial" w:hAnsi="Arial"/>
          <w:sz w:val="15"/>
          <w:szCs w:val="15"/>
          <w:color w:val="auto"/>
        </w:rPr>
      </w:pPr>
    </w:p>
    <w:p>
      <w:pPr>
        <w:ind w:left="745" w:hanging="426"/>
        <w:spacing w:after="0"/>
        <w:tabs>
          <w:tab w:leader="none" w:pos="745" w:val="left"/>
        </w:tabs>
        <w:numPr>
          <w:ilvl w:val="0"/>
          <w:numId w:val="89"/>
        </w:numPr>
        <w:rPr>
          <w:rFonts w:ascii="Arial" w:cs="Arial" w:eastAsia="Arial" w:hAnsi="Arial"/>
          <w:sz w:val="16"/>
          <w:szCs w:val="16"/>
          <w:color w:val="auto"/>
        </w:rPr>
      </w:pPr>
      <w:r>
        <w:rPr>
          <w:rFonts w:ascii="Arial" w:cs="Arial" w:eastAsia="Arial" w:hAnsi="Arial"/>
          <w:sz w:val="16"/>
          <w:szCs w:val="16"/>
          <w:color w:val="auto"/>
        </w:rPr>
        <w:t>refrain from any activity that is competitive with the business of the company;</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89"/>
        </w:numPr>
        <w:rPr>
          <w:rFonts w:ascii="Arial" w:cs="Arial" w:eastAsia="Arial" w:hAnsi="Arial"/>
          <w:sz w:val="16"/>
          <w:szCs w:val="16"/>
          <w:color w:val="auto"/>
        </w:rPr>
      </w:pPr>
      <w:r>
        <w:rPr>
          <w:rFonts w:ascii="Arial" w:cs="Arial" w:eastAsia="Arial" w:hAnsi="Arial"/>
          <w:sz w:val="16"/>
          <w:szCs w:val="16"/>
          <w:color w:val="auto"/>
        </w:rPr>
        <w:t>refrain from exploiting any business opportunity of the company for the purpose of gaining a personal advantage for himself or herself or others; and</w:t>
      </w:r>
    </w:p>
    <w:p>
      <w:pPr>
        <w:spacing w:after="0" w:line="241" w:lineRule="exact"/>
        <w:rPr>
          <w:rFonts w:ascii="Arial" w:cs="Arial" w:eastAsia="Arial" w:hAnsi="Arial"/>
          <w:sz w:val="16"/>
          <w:szCs w:val="16"/>
          <w:color w:val="auto"/>
        </w:rPr>
      </w:pPr>
    </w:p>
    <w:p>
      <w:pPr>
        <w:ind w:left="745" w:right="20" w:hanging="426"/>
        <w:spacing w:after="0" w:line="268" w:lineRule="auto"/>
        <w:tabs>
          <w:tab w:leader="none" w:pos="745" w:val="left"/>
        </w:tabs>
        <w:numPr>
          <w:ilvl w:val="0"/>
          <w:numId w:val="89"/>
        </w:numPr>
        <w:rPr>
          <w:rFonts w:ascii="Arial" w:cs="Arial" w:eastAsia="Arial" w:hAnsi="Arial"/>
          <w:sz w:val="16"/>
          <w:szCs w:val="16"/>
          <w:color w:val="auto"/>
        </w:rPr>
      </w:pPr>
      <w:r>
        <w:rPr>
          <w:rFonts w:ascii="Arial" w:cs="Arial" w:eastAsia="Arial" w:hAnsi="Arial"/>
          <w:sz w:val="16"/>
          <w:szCs w:val="16"/>
          <w:color w:val="auto"/>
        </w:rPr>
        <w:t>disclose to the company any information or documents relating to the company’s affairs which the office holder received as a result of his or her position as an office holder.</w:t>
      </w:r>
    </w:p>
    <w:p>
      <w:pPr>
        <w:spacing w:after="0" w:line="209" w:lineRule="exact"/>
        <w:rPr>
          <w:sz w:val="20"/>
          <w:szCs w:val="20"/>
          <w:color w:val="auto"/>
        </w:rPr>
      </w:pPr>
    </w:p>
    <w:p>
      <w:pPr>
        <w:jc w:val="both"/>
        <w:ind w:left="5" w:firstLine="568"/>
        <w:spacing w:after="0" w:line="287" w:lineRule="auto"/>
        <w:rPr>
          <w:sz w:val="20"/>
          <w:szCs w:val="20"/>
          <w:color w:val="auto"/>
        </w:rPr>
      </w:pPr>
      <w:r>
        <w:rPr>
          <w:rFonts w:ascii="Arial" w:cs="Arial" w:eastAsia="Arial" w:hAnsi="Arial"/>
          <w:sz w:val="18"/>
          <w:szCs w:val="18"/>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33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11" w:name="page112"/>
    <w:bookmarkEnd w:id="111"/>
    <w:p>
      <w:pPr>
        <w:ind w:left="5"/>
        <w:spacing w:after="0"/>
        <w:rPr>
          <w:sz w:val="20"/>
          <w:szCs w:val="20"/>
          <w:color w:val="auto"/>
        </w:rPr>
      </w:pPr>
      <w:r>
        <w:rPr>
          <w:rFonts w:ascii="Arial" w:cs="Arial" w:eastAsia="Arial" w:hAnsi="Arial"/>
          <w:sz w:val="19"/>
          <w:szCs w:val="19"/>
          <w:b w:val="1"/>
          <w:bCs w:val="1"/>
          <w:i w:val="1"/>
          <w:iCs w:val="1"/>
          <w:color w:val="auto"/>
        </w:rPr>
        <w:t>Disclosure of Personal Interests of an Office Holder and Approval of Transactions</w:t>
      </w:r>
    </w:p>
    <w:p>
      <w:pPr>
        <w:spacing w:after="0" w:line="255" w:lineRule="exact"/>
        <w:rPr>
          <w:sz w:val="20"/>
          <w:szCs w:val="20"/>
          <w:color w:val="auto"/>
        </w:rPr>
      </w:pPr>
    </w:p>
    <w:p>
      <w:pPr>
        <w:jc w:val="both"/>
        <w:ind w:left="5" w:right="20" w:firstLine="568"/>
        <w:spacing w:after="0" w:line="265" w:lineRule="auto"/>
        <w:rPr>
          <w:sz w:val="20"/>
          <w:szCs w:val="20"/>
          <w:color w:val="auto"/>
        </w:rPr>
      </w:pPr>
      <w:r>
        <w:rPr>
          <w:rFonts w:ascii="Arial" w:cs="Arial" w:eastAsia="Arial" w:hAnsi="Arial"/>
          <w:sz w:val="19"/>
          <w:szCs w:val="19"/>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213"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206" w:lineRule="exact"/>
        <w:rPr>
          <w:sz w:val="20"/>
          <w:szCs w:val="20"/>
          <w:color w:val="auto"/>
        </w:rPr>
      </w:pPr>
    </w:p>
    <w:p>
      <w:pPr>
        <w:jc w:val="both"/>
        <w:ind w:left="5" w:firstLine="568"/>
        <w:spacing w:after="0" w:line="279" w:lineRule="auto"/>
        <w:rPr>
          <w:sz w:val="20"/>
          <w:szCs w:val="20"/>
          <w:color w:val="auto"/>
        </w:rPr>
      </w:pPr>
      <w:r>
        <w:rPr>
          <w:rFonts w:ascii="Arial" w:cs="Arial" w:eastAsia="Arial" w:hAnsi="Arial"/>
          <w:sz w:val="18"/>
          <w:szCs w:val="18"/>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 – Duties of Directors and Officers and Approval of Specified Related Party Transactions under the Israeli Companies Law – Fiduciary Duties of Office Holders.”</w:t>
      </w:r>
    </w:p>
    <w:p>
      <w:pPr>
        <w:spacing w:after="0" w:line="204" w:lineRule="exact"/>
        <w:rPr>
          <w:sz w:val="20"/>
          <w:szCs w:val="20"/>
          <w:color w:val="auto"/>
        </w:rPr>
      </w:pPr>
    </w:p>
    <w:p>
      <w:pPr>
        <w:jc w:val="both"/>
        <w:ind w:left="5" w:right="20" w:firstLine="568"/>
        <w:spacing w:after="0" w:line="263" w:lineRule="auto"/>
        <w:rPr>
          <w:sz w:val="20"/>
          <w:szCs w:val="20"/>
          <w:color w:val="auto"/>
        </w:rPr>
      </w:pPr>
      <w:r>
        <w:rPr>
          <w:rFonts w:ascii="Arial" w:cs="Arial" w:eastAsia="Arial" w:hAnsi="Arial"/>
          <w:sz w:val="19"/>
          <w:szCs w:val="19"/>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216" w:lineRule="exact"/>
        <w:rPr>
          <w:sz w:val="20"/>
          <w:szCs w:val="20"/>
          <w:color w:val="auto"/>
        </w:rPr>
      </w:pPr>
    </w:p>
    <w:p>
      <w:pPr>
        <w:jc w:val="both"/>
        <w:ind w:left="5" w:right="20" w:firstLine="568"/>
        <w:spacing w:after="0" w:line="291" w:lineRule="auto"/>
        <w:rPr>
          <w:sz w:val="20"/>
          <w:szCs w:val="20"/>
          <w:color w:val="auto"/>
        </w:rPr>
      </w:pPr>
      <w:r>
        <w:rPr>
          <w:rFonts w:ascii="Arial" w:cs="Arial" w:eastAsia="Arial" w:hAnsi="Arial"/>
          <w:sz w:val="17"/>
          <w:szCs w:val="17"/>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w:t>
      </w:r>
    </w:p>
    <w:p>
      <w:pPr>
        <w:spacing w:after="0" w:line="2" w:lineRule="exact"/>
        <w:rPr>
          <w:sz w:val="20"/>
          <w:szCs w:val="20"/>
          <w:color w:val="auto"/>
        </w:rPr>
      </w:pPr>
    </w:p>
    <w:p>
      <w:pPr>
        <w:jc w:val="both"/>
        <w:ind w:left="5" w:right="20" w:hanging="5"/>
        <w:spacing w:after="0" w:line="269" w:lineRule="auto"/>
        <w:tabs>
          <w:tab w:leader="none" w:pos="287" w:val="left"/>
        </w:tabs>
        <w:numPr>
          <w:ilvl w:val="0"/>
          <w:numId w:val="90"/>
        </w:numPr>
        <w:rPr>
          <w:rFonts w:ascii="Arial" w:cs="Arial" w:eastAsia="Arial" w:hAnsi="Arial"/>
          <w:sz w:val="19"/>
          <w:szCs w:val="19"/>
          <w:color w:val="auto"/>
        </w:rPr>
      </w:pPr>
      <w:r>
        <w:rPr>
          <w:rFonts w:ascii="Arial" w:cs="Arial" w:eastAsia="Arial" w:hAnsi="Arial"/>
          <w:sz w:val="19"/>
          <w:szCs w:val="19"/>
          <w:color w:val="auto"/>
        </w:rPr>
        <w:t>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207" w:lineRule="exact"/>
        <w:rPr>
          <w:sz w:val="20"/>
          <w:szCs w:val="20"/>
          <w:color w:val="auto"/>
        </w:rPr>
      </w:pPr>
    </w:p>
    <w:p>
      <w:pPr>
        <w:ind w:left="565"/>
        <w:spacing w:after="0"/>
        <w:rPr>
          <w:sz w:val="20"/>
          <w:szCs w:val="20"/>
          <w:color w:val="auto"/>
        </w:rPr>
      </w:pPr>
      <w:r>
        <w:rPr>
          <w:rFonts w:ascii="Arial" w:cs="Arial" w:eastAsia="Arial" w:hAnsi="Arial"/>
          <w:sz w:val="19"/>
          <w:szCs w:val="19"/>
          <w:color w:val="auto"/>
        </w:rPr>
        <w:t>An “extraordinary transaction” is defined under the Companies Law as any of the following:</w:t>
      </w:r>
    </w:p>
    <w:p>
      <w:pPr>
        <w:spacing w:after="0" w:line="249" w:lineRule="exact"/>
        <w:rPr>
          <w:sz w:val="20"/>
          <w:szCs w:val="20"/>
          <w:color w:val="auto"/>
        </w:rPr>
      </w:pPr>
    </w:p>
    <w:p>
      <w:pPr>
        <w:ind w:left="745" w:hanging="426"/>
        <w:spacing w:after="0"/>
        <w:tabs>
          <w:tab w:leader="none" w:pos="745" w:val="left"/>
        </w:tabs>
        <w:numPr>
          <w:ilvl w:val="0"/>
          <w:numId w:val="91"/>
        </w:numPr>
        <w:rPr>
          <w:rFonts w:ascii="Arial" w:cs="Arial" w:eastAsia="Arial" w:hAnsi="Arial"/>
          <w:sz w:val="16"/>
          <w:szCs w:val="16"/>
          <w:color w:val="auto"/>
        </w:rPr>
      </w:pPr>
      <w:r>
        <w:rPr>
          <w:rFonts w:ascii="Arial" w:cs="Arial" w:eastAsia="Arial" w:hAnsi="Arial"/>
          <w:sz w:val="16"/>
          <w:szCs w:val="16"/>
          <w:color w:val="auto"/>
        </w:rPr>
        <w:t>a transaction other than in the ordinary course of business;</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91"/>
        </w:numPr>
        <w:rPr>
          <w:rFonts w:ascii="Arial" w:cs="Arial" w:eastAsia="Arial" w:hAnsi="Arial"/>
          <w:sz w:val="16"/>
          <w:szCs w:val="16"/>
          <w:color w:val="auto"/>
        </w:rPr>
      </w:pPr>
      <w:r>
        <w:rPr>
          <w:rFonts w:ascii="Arial" w:cs="Arial" w:eastAsia="Arial" w:hAnsi="Arial"/>
          <w:sz w:val="16"/>
          <w:szCs w:val="16"/>
          <w:color w:val="auto"/>
        </w:rPr>
        <w:t>a transaction that is not on market terms; or</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91"/>
        </w:numPr>
        <w:rPr>
          <w:rFonts w:ascii="Arial" w:cs="Arial" w:eastAsia="Arial" w:hAnsi="Arial"/>
          <w:sz w:val="16"/>
          <w:szCs w:val="16"/>
          <w:color w:val="auto"/>
        </w:rPr>
      </w:pPr>
      <w:r>
        <w:rPr>
          <w:rFonts w:ascii="Arial" w:cs="Arial" w:eastAsia="Arial" w:hAnsi="Arial"/>
          <w:sz w:val="16"/>
          <w:szCs w:val="16"/>
          <w:color w:val="auto"/>
        </w:rPr>
        <w:t>a transaction that may have a material impact on the company’s profitability, assets or liabilities.</w:t>
      </w:r>
    </w:p>
    <w:p>
      <w:pPr>
        <w:spacing w:after="0" w:line="389"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12" w:name="page113"/>
    <w:bookmarkEnd w:id="112"/>
    <w:p>
      <w:pPr>
        <w:spacing w:after="0"/>
        <w:rPr>
          <w:sz w:val="20"/>
          <w:szCs w:val="20"/>
          <w:color w:val="auto"/>
        </w:rPr>
      </w:pPr>
      <w:r>
        <w:rPr>
          <w:rFonts w:ascii="Arial" w:cs="Arial" w:eastAsia="Arial" w:hAnsi="Arial"/>
          <w:sz w:val="19"/>
          <w:szCs w:val="19"/>
          <w:b w:val="1"/>
          <w:bCs w:val="1"/>
          <w:i w:val="1"/>
          <w:iCs w:val="1"/>
          <w:color w:val="auto"/>
        </w:rPr>
        <w:t>Disclosure of Personal Interests of a Controlling Shareholder and Approval of Transactions</w:t>
      </w:r>
    </w:p>
    <w:p>
      <w:pPr>
        <w:spacing w:after="0" w:line="255"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 (i) 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199" w:lineRule="exact"/>
        <w:rPr>
          <w:sz w:val="20"/>
          <w:szCs w:val="20"/>
          <w:color w:val="auto"/>
        </w:rPr>
      </w:pPr>
    </w:p>
    <w:p>
      <w:pPr>
        <w:ind w:left="740" w:right="20" w:hanging="426"/>
        <w:spacing w:after="0" w:line="268" w:lineRule="auto"/>
        <w:tabs>
          <w:tab w:leader="none" w:pos="740" w:val="left"/>
        </w:tabs>
        <w:numPr>
          <w:ilvl w:val="0"/>
          <w:numId w:val="92"/>
        </w:numPr>
        <w:rPr>
          <w:rFonts w:ascii="Arial" w:cs="Arial" w:eastAsia="Arial" w:hAnsi="Arial"/>
          <w:sz w:val="16"/>
          <w:szCs w:val="16"/>
          <w:color w:val="auto"/>
        </w:rPr>
      </w:pPr>
      <w:r>
        <w:rPr>
          <w:rFonts w:ascii="Arial" w:cs="Arial" w:eastAsia="Arial" w:hAnsi="Arial"/>
          <w:sz w:val="16"/>
          <w:szCs w:val="16"/>
          <w:color w:val="auto"/>
        </w:rPr>
        <w:t>a majority of the shares held by shareholders who have no personal interest in the transaction and are voting at the meeting must be voted in favor of approving the transaction, excluding abstentions; or</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92"/>
        </w:numPr>
        <w:rPr>
          <w:rFonts w:ascii="Arial" w:cs="Arial" w:eastAsia="Arial" w:hAnsi="Arial"/>
          <w:sz w:val="16"/>
          <w:szCs w:val="16"/>
          <w:color w:val="auto"/>
        </w:rPr>
      </w:pPr>
      <w:r>
        <w:rPr>
          <w:rFonts w:ascii="Arial" w:cs="Arial" w:eastAsia="Arial" w:hAnsi="Arial"/>
          <w:sz w:val="16"/>
          <w:szCs w:val="16"/>
          <w:color w:val="auto"/>
        </w:rPr>
        <w:t>the shares voted by shareholders who have no personal interest in the transaction who vote against the transaction represent no more than two percent (2%) of the voting rights in the company.</w:t>
      </w:r>
    </w:p>
    <w:p>
      <w:pPr>
        <w:spacing w:after="0" w:line="209"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200"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Disclosure of Compensation of Executive Officers</w:t>
      </w:r>
    </w:p>
    <w:p>
      <w:pPr>
        <w:spacing w:after="0" w:line="25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became a public company, to disclose the annual compensation of our five most highly compensated office holders on an individual basis, rather than on an aggregate basis. This disclosure will not be as extensive as that required of a U.S. domestic issuer.</w:t>
      </w: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13" w:name="page114"/>
    <w:bookmarkEnd w:id="113"/>
    <w:p>
      <w:pPr>
        <w:spacing w:after="0"/>
        <w:rPr>
          <w:sz w:val="20"/>
          <w:szCs w:val="20"/>
          <w:color w:val="auto"/>
        </w:rPr>
      </w:pPr>
      <w:r>
        <w:rPr>
          <w:rFonts w:ascii="Arial" w:cs="Arial" w:eastAsia="Arial" w:hAnsi="Arial"/>
          <w:sz w:val="19"/>
          <w:szCs w:val="19"/>
          <w:b w:val="1"/>
          <w:bCs w:val="1"/>
          <w:i w:val="1"/>
          <w:iCs w:val="1"/>
          <w:color w:val="auto"/>
        </w:rPr>
        <w:t>Compensation of Directors and Executive Officers</w:t>
      </w:r>
    </w:p>
    <w:p>
      <w:pPr>
        <w:spacing w:after="0" w:line="255" w:lineRule="exact"/>
        <w:rPr>
          <w:sz w:val="20"/>
          <w:szCs w:val="20"/>
          <w:color w:val="auto"/>
        </w:rPr>
      </w:pPr>
    </w:p>
    <w:p>
      <w:pPr>
        <w:jc w:val="both"/>
        <w:ind w:firstLine="564"/>
        <w:spacing w:after="0" w:line="284" w:lineRule="auto"/>
        <w:rPr>
          <w:sz w:val="20"/>
          <w:szCs w:val="20"/>
          <w:color w:val="auto"/>
        </w:rPr>
      </w:pPr>
      <w:r>
        <w:rPr>
          <w:rFonts w:ascii="Arial" w:cs="Arial" w:eastAsia="Arial" w:hAnsi="Arial"/>
          <w:sz w:val="18"/>
          <w:szCs w:val="18"/>
          <w:i w:val="1"/>
          <w:iCs w:val="1"/>
          <w:color w:val="auto"/>
        </w:rPr>
        <w:t>Directors</w:t>
      </w:r>
      <w:r>
        <w:rPr>
          <w:rFonts w:ascii="Arial" w:cs="Arial" w:eastAsia="Arial" w:hAnsi="Arial"/>
          <w:sz w:val="18"/>
          <w:szCs w:val="18"/>
          <w:color w:val="auto"/>
        </w:rPr>
        <w:t>. Under the Companies Law, the compensation of our directors requires the approval of our compensation committee, the</w:t>
      </w:r>
      <w:r>
        <w:rPr>
          <w:rFonts w:ascii="Arial" w:cs="Arial" w:eastAsia="Arial" w:hAnsi="Arial"/>
          <w:sz w:val="18"/>
          <w:szCs w:val="18"/>
          <w:i w:val="1"/>
          <w:iCs w:val="1"/>
          <w:color w:val="auto"/>
        </w:rPr>
        <w:t xml:space="preserve"> </w:t>
      </w:r>
      <w:r>
        <w:rPr>
          <w:rFonts w:ascii="Arial" w:cs="Arial" w:eastAsia="Arial" w:hAnsi="Arial"/>
          <w:sz w:val="18"/>
          <w:szCs w:val="18"/>
          <w:color w:val="auto"/>
        </w:rPr>
        <w:t>subsequent approval 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189" w:lineRule="exact"/>
        <w:rPr>
          <w:sz w:val="20"/>
          <w:szCs w:val="20"/>
          <w:color w:val="auto"/>
        </w:rPr>
      </w:pPr>
    </w:p>
    <w:p>
      <w:pPr>
        <w:ind w:left="740" w:right="20" w:hanging="426"/>
        <w:spacing w:after="0" w:line="268" w:lineRule="auto"/>
        <w:tabs>
          <w:tab w:leader="none" w:pos="740" w:val="left"/>
        </w:tabs>
        <w:numPr>
          <w:ilvl w:val="0"/>
          <w:numId w:val="93"/>
        </w:numPr>
        <w:rPr>
          <w:rFonts w:ascii="Arial" w:cs="Arial" w:eastAsia="Arial" w:hAnsi="Arial"/>
          <w:sz w:val="16"/>
          <w:szCs w:val="16"/>
          <w:color w:val="auto"/>
        </w:rPr>
      </w:pPr>
      <w:r>
        <w:rPr>
          <w:rFonts w:ascii="Arial" w:cs="Arial" w:eastAsia="Arial" w:hAnsi="Arial"/>
          <w:sz w:val="16"/>
          <w:szCs w:val="16"/>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93"/>
        </w:numPr>
        <w:rPr>
          <w:rFonts w:ascii="Arial" w:cs="Arial" w:eastAsia="Arial" w:hAnsi="Arial"/>
          <w:sz w:val="16"/>
          <w:szCs w:val="16"/>
          <w:color w:val="auto"/>
        </w:rPr>
      </w:pPr>
      <w:r>
        <w:rPr>
          <w:rFonts w:ascii="Arial" w:cs="Arial" w:eastAsia="Arial" w:hAnsi="Arial"/>
          <w:sz w:val="16"/>
          <w:szCs w:val="16"/>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209" w:lineRule="exact"/>
        <w:rPr>
          <w:sz w:val="20"/>
          <w:szCs w:val="20"/>
          <w:color w:val="auto"/>
        </w:rPr>
      </w:pPr>
    </w:p>
    <w:p>
      <w:pPr>
        <w:jc w:val="both"/>
        <w:ind w:firstLine="564"/>
        <w:spacing w:after="0" w:line="280" w:lineRule="auto"/>
        <w:rPr>
          <w:sz w:val="20"/>
          <w:szCs w:val="20"/>
          <w:color w:val="auto"/>
        </w:rPr>
      </w:pPr>
      <w:r>
        <w:rPr>
          <w:rFonts w:ascii="Arial" w:cs="Arial" w:eastAsia="Arial" w:hAnsi="Arial"/>
          <w:sz w:val="18"/>
          <w:szCs w:val="18"/>
          <w:i w:val="1"/>
          <w:iCs w:val="1"/>
          <w:color w:val="auto"/>
        </w:rPr>
        <w:t xml:space="preserve">Executive officers other than the chief executive officer. </w:t>
      </w:r>
      <w:r>
        <w:rPr>
          <w:rFonts w:ascii="Arial" w:cs="Arial" w:eastAsia="Arial" w:hAnsi="Arial"/>
          <w:sz w:val="18"/>
          <w:szCs w:val="18"/>
          <w:color w:val="auto"/>
        </w:rPr>
        <w:t>The Companies Law requires the approval of the compensation of a public</w:t>
      </w:r>
      <w:r>
        <w:rPr>
          <w:rFonts w:ascii="Arial" w:cs="Arial" w:eastAsia="Arial" w:hAnsi="Arial"/>
          <w:sz w:val="18"/>
          <w:szCs w:val="18"/>
          <w:i w:val="1"/>
          <w:iCs w:val="1"/>
          <w:color w:val="auto"/>
        </w:rPr>
        <w:t xml:space="preserve"> </w:t>
      </w:r>
      <w:r>
        <w:rPr>
          <w:rFonts w:ascii="Arial" w:cs="Arial" w:eastAsia="Arial" w:hAnsi="Arial"/>
          <w:sz w:val="18"/>
          <w:szCs w:val="18"/>
          <w:color w:val="auto"/>
        </w:rPr>
        <w:t>company’s executive officers (other than the chief executive officer) in the following order: (i) the compensation committee, (ii) the company’s board of directors, and (iii) if such compensation arrangement is inconsistent with the company’s stated compensation policy, the company’s shareholders (by a special majority vote as discussed above 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202" w:lineRule="exact"/>
        <w:rPr>
          <w:sz w:val="20"/>
          <w:szCs w:val="20"/>
          <w:color w:val="auto"/>
        </w:rPr>
      </w:pPr>
    </w:p>
    <w:p>
      <w:pPr>
        <w:jc w:val="both"/>
        <w:ind w:firstLine="566"/>
        <w:spacing w:after="0" w:line="277" w:lineRule="auto"/>
        <w:rPr>
          <w:sz w:val="20"/>
          <w:szCs w:val="20"/>
          <w:color w:val="auto"/>
        </w:rPr>
      </w:pPr>
      <w:r>
        <w:rPr>
          <w:rFonts w:ascii="Arial" w:cs="Arial" w:eastAsia="Arial" w:hAnsi="Arial"/>
          <w:sz w:val="18"/>
          <w:szCs w:val="18"/>
          <w:i w:val="1"/>
          <w:iCs w:val="1"/>
          <w:color w:val="auto"/>
        </w:rPr>
        <w:t xml:space="preserve">Chief executive officer. </w:t>
      </w:r>
      <w:r>
        <w:rPr>
          <w:rFonts w:ascii="Arial" w:cs="Arial" w:eastAsia="Arial" w:hAnsi="Arial"/>
          <w:sz w:val="18"/>
          <w:szCs w:val="18"/>
          <w:color w:val="auto"/>
        </w:rPr>
        <w:t>Under the Companies Law, the compensation of a public company’s chief executive officer is required to be</w:t>
      </w:r>
      <w:r>
        <w:rPr>
          <w:rFonts w:ascii="Arial" w:cs="Arial" w:eastAsia="Arial" w:hAnsi="Arial"/>
          <w:sz w:val="18"/>
          <w:szCs w:val="18"/>
          <w:i w:val="1"/>
          <w:iCs w:val="1"/>
          <w:color w:val="auto"/>
        </w:rPr>
        <w:t xml:space="preserve"> </w:t>
      </w:r>
      <w:r>
        <w:rPr>
          <w:rFonts w:ascii="Arial" w:cs="Arial" w:eastAsia="Arial" w:hAnsi="Arial"/>
          <w:sz w:val="18"/>
          <w:szCs w:val="18"/>
          <w:color w:val="auto"/>
        </w:rPr>
        <w:t>approved by: (i) the 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20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Duties of Shareholders</w:t>
      </w:r>
    </w:p>
    <w:p>
      <w:pPr>
        <w:spacing w:after="0" w:line="255"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201" w:lineRule="exact"/>
        <w:rPr>
          <w:sz w:val="20"/>
          <w:szCs w:val="20"/>
          <w:color w:val="auto"/>
        </w:rPr>
      </w:pPr>
    </w:p>
    <w:p>
      <w:pPr>
        <w:ind w:left="740" w:hanging="426"/>
        <w:spacing w:after="0"/>
        <w:tabs>
          <w:tab w:leader="none" w:pos="740" w:val="left"/>
        </w:tabs>
        <w:numPr>
          <w:ilvl w:val="0"/>
          <w:numId w:val="94"/>
        </w:numPr>
        <w:rPr>
          <w:rFonts w:ascii="Arial" w:cs="Arial" w:eastAsia="Arial" w:hAnsi="Arial"/>
          <w:sz w:val="16"/>
          <w:szCs w:val="16"/>
          <w:color w:val="auto"/>
        </w:rPr>
      </w:pPr>
      <w:r>
        <w:rPr>
          <w:rFonts w:ascii="Arial" w:cs="Arial" w:eastAsia="Arial" w:hAnsi="Arial"/>
          <w:sz w:val="16"/>
          <w:szCs w:val="16"/>
          <w:color w:val="auto"/>
        </w:rPr>
        <w:t>an amendment to the articles of association;</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94"/>
        </w:numPr>
        <w:rPr>
          <w:rFonts w:ascii="Arial" w:cs="Arial" w:eastAsia="Arial" w:hAnsi="Arial"/>
          <w:sz w:val="16"/>
          <w:szCs w:val="16"/>
          <w:color w:val="auto"/>
        </w:rPr>
      </w:pPr>
      <w:r>
        <w:rPr>
          <w:rFonts w:ascii="Arial" w:cs="Arial" w:eastAsia="Arial" w:hAnsi="Arial"/>
          <w:sz w:val="16"/>
          <w:szCs w:val="16"/>
          <w:color w:val="auto"/>
        </w:rPr>
        <w:t>an increase in the company’s authorized share capital;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94"/>
        </w:numPr>
        <w:rPr>
          <w:rFonts w:ascii="Arial" w:cs="Arial" w:eastAsia="Arial" w:hAnsi="Arial"/>
          <w:sz w:val="16"/>
          <w:szCs w:val="16"/>
          <w:color w:val="auto"/>
        </w:rPr>
      </w:pPr>
      <w:r>
        <w:rPr>
          <w:rFonts w:ascii="Arial" w:cs="Arial" w:eastAsia="Arial" w:hAnsi="Arial"/>
          <w:sz w:val="16"/>
          <w:szCs w:val="16"/>
          <w:color w:val="auto"/>
        </w:rPr>
        <w:t>a merger; and</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14" w:name="page115"/>
    <w:bookmarkEnd w:id="114"/>
    <w:p>
      <w:pPr>
        <w:ind w:left="740" w:hanging="426"/>
        <w:spacing w:after="0"/>
        <w:tabs>
          <w:tab w:leader="none" w:pos="740" w:val="left"/>
        </w:tabs>
        <w:numPr>
          <w:ilvl w:val="0"/>
          <w:numId w:val="95"/>
        </w:numPr>
        <w:rPr>
          <w:rFonts w:ascii="Arial" w:cs="Arial" w:eastAsia="Arial" w:hAnsi="Arial"/>
          <w:sz w:val="16"/>
          <w:szCs w:val="16"/>
          <w:color w:val="auto"/>
        </w:rPr>
      </w:pPr>
      <w:r>
        <w:rPr>
          <w:rFonts w:ascii="Arial" w:cs="Arial" w:eastAsia="Arial" w:hAnsi="Arial"/>
          <w:sz w:val="16"/>
          <w:szCs w:val="16"/>
          <w:color w:val="auto"/>
        </w:rPr>
        <w:t>the approval of related party transactions and acts of office holders that require shareholder approval.</w:t>
      </w:r>
    </w:p>
    <w:p>
      <w:pPr>
        <w:spacing w:after="0" w:line="247" w:lineRule="exact"/>
        <w:rPr>
          <w:sz w:val="20"/>
          <w:szCs w:val="20"/>
          <w:color w:val="auto"/>
        </w:rPr>
      </w:pPr>
    </w:p>
    <w:p>
      <w:pPr>
        <w:ind w:left="560"/>
        <w:spacing w:after="0"/>
        <w:rPr>
          <w:sz w:val="20"/>
          <w:szCs w:val="20"/>
          <w:color w:val="auto"/>
        </w:rPr>
      </w:pPr>
      <w:r>
        <w:rPr>
          <w:rFonts w:ascii="Arial" w:cs="Arial" w:eastAsia="Arial" w:hAnsi="Arial"/>
          <w:sz w:val="19"/>
          <w:szCs w:val="19"/>
          <w:color w:val="auto"/>
        </w:rPr>
        <w:t>A shareholder also has a general duty to refrain from discriminating against other shareholders.</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193"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19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Approval of Private Placements</w:t>
      </w:r>
    </w:p>
    <w:p>
      <w:pPr>
        <w:spacing w:after="0" w:line="25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“Item 10. Additional Information— Memorandum of Association – Acquisitions under Israeli Law”) or a private placement which qualifies as a related party transaction (see “— Duties of Directors and Officers and Approval of Specified Related Party Transactions under the Israeli Companies Law – Fiduciary Duties of Office Holders”), approval at a general meeting of the shareholders of a company is required.</w:t>
      </w:r>
    </w:p>
    <w:p>
      <w:pPr>
        <w:spacing w:after="0" w:line="20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Exculpation, Insurance and Indemnification of Directors and Officers</w:t>
      </w:r>
    </w:p>
    <w:p>
      <w:pPr>
        <w:spacing w:after="0" w:line="261"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195" w:lineRule="exact"/>
        <w:rPr>
          <w:sz w:val="20"/>
          <w:szCs w:val="20"/>
          <w:color w:val="auto"/>
        </w:rPr>
      </w:pPr>
    </w:p>
    <w:p>
      <w:pPr>
        <w:jc w:val="both"/>
        <w:ind w:right="20" w:firstLine="568"/>
        <w:spacing w:after="0" w:line="293" w:lineRule="auto"/>
        <w:rPr>
          <w:sz w:val="20"/>
          <w:szCs w:val="20"/>
          <w:color w:val="auto"/>
        </w:rPr>
      </w:pPr>
      <w:r>
        <w:rPr>
          <w:rFonts w:ascii="Arial" w:cs="Arial" w:eastAsia="Arial" w:hAnsi="Arial"/>
          <w:sz w:val="18"/>
          <w:szCs w:val="18"/>
          <w:color w:val="auto"/>
        </w:rPr>
        <w:t>Under the Companies Law and the Israeli Securities Law, 5728-1968, or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183" w:lineRule="exact"/>
        <w:rPr>
          <w:sz w:val="20"/>
          <w:szCs w:val="20"/>
          <w:color w:val="auto"/>
        </w:rPr>
      </w:pPr>
    </w:p>
    <w:p>
      <w:pPr>
        <w:jc w:val="both"/>
        <w:ind w:left="740" w:hanging="426"/>
        <w:spacing w:after="0" w:line="273" w:lineRule="auto"/>
        <w:tabs>
          <w:tab w:leader="none" w:pos="740" w:val="left"/>
        </w:tabs>
        <w:numPr>
          <w:ilvl w:val="0"/>
          <w:numId w:val="96"/>
        </w:numPr>
        <w:rPr>
          <w:rFonts w:ascii="Arial" w:cs="Arial" w:eastAsia="Arial" w:hAnsi="Arial"/>
          <w:sz w:val="15"/>
          <w:szCs w:val="15"/>
          <w:color w:val="auto"/>
        </w:rPr>
      </w:pPr>
      <w:r>
        <w:rPr>
          <w:rFonts w:ascii="Arial" w:cs="Arial" w:eastAsia="Arial" w:hAnsi="Arial"/>
          <w:sz w:val="15"/>
          <w:szCs w:val="15"/>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201" w:lineRule="exact"/>
        <w:rPr>
          <w:rFonts w:ascii="Arial" w:cs="Arial" w:eastAsia="Arial" w:hAnsi="Arial"/>
          <w:sz w:val="15"/>
          <w:szCs w:val="15"/>
          <w:color w:val="auto"/>
        </w:rPr>
      </w:pPr>
    </w:p>
    <w:p>
      <w:pPr>
        <w:jc w:val="both"/>
        <w:ind w:left="740" w:right="20" w:hanging="426"/>
        <w:spacing w:after="0" w:line="273" w:lineRule="auto"/>
        <w:tabs>
          <w:tab w:leader="none" w:pos="740" w:val="left"/>
        </w:tabs>
        <w:numPr>
          <w:ilvl w:val="0"/>
          <w:numId w:val="96"/>
        </w:numPr>
        <w:rPr>
          <w:rFonts w:ascii="Arial" w:cs="Arial" w:eastAsia="Arial" w:hAnsi="Arial"/>
          <w:sz w:val="15"/>
          <w:szCs w:val="15"/>
          <w:color w:val="auto"/>
        </w:rPr>
      </w:pPr>
      <w:r>
        <w:rPr>
          <w:rFonts w:ascii="Arial" w:cs="Arial" w:eastAsia="Arial" w:hAnsi="Arial"/>
          <w:sz w:val="15"/>
          <w:szCs w:val="15"/>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15" w:name="page116"/>
    <w:bookmarkEnd w:id="115"/>
    <w:p>
      <w:pPr>
        <w:ind w:left="740" w:right="20" w:hanging="426"/>
        <w:spacing w:after="0" w:line="268" w:lineRule="auto"/>
        <w:tabs>
          <w:tab w:leader="none" w:pos="740" w:val="left"/>
        </w:tabs>
        <w:numPr>
          <w:ilvl w:val="0"/>
          <w:numId w:val="97"/>
        </w:numPr>
        <w:rPr>
          <w:rFonts w:ascii="Arial" w:cs="Arial" w:eastAsia="Arial" w:hAnsi="Arial"/>
          <w:sz w:val="16"/>
          <w:szCs w:val="16"/>
          <w:color w:val="auto"/>
        </w:rPr>
      </w:pPr>
      <w:r>
        <w:rPr>
          <w:rFonts w:ascii="Arial" w:cs="Arial" w:eastAsia="Arial" w:hAnsi="Arial"/>
          <w:sz w:val="16"/>
          <w:szCs w:val="16"/>
          <w:color w:val="auto"/>
        </w:rPr>
        <w:t>a monetary liability imposed on the office holder in favor of a payment for a breach offended at an Administrative Procedure (as defined below) as set forth in Section 52(54)(a)(1)(a) to the Securities Law;</w:t>
      </w:r>
    </w:p>
    <w:p>
      <w:pPr>
        <w:spacing w:after="0" w:line="204"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97"/>
        </w:numPr>
        <w:rPr>
          <w:rFonts w:ascii="Arial" w:cs="Arial" w:eastAsia="Arial" w:hAnsi="Arial"/>
          <w:sz w:val="16"/>
          <w:szCs w:val="16"/>
          <w:color w:val="auto"/>
        </w:rPr>
      </w:pPr>
      <w:r>
        <w:rPr>
          <w:rFonts w:ascii="Arial" w:cs="Arial" w:eastAsia="Arial" w:hAnsi="Arial"/>
          <w:sz w:val="16"/>
          <w:szCs w:val="16"/>
          <w:color w:val="auto"/>
        </w:rPr>
        <w:t>expenses expended by the office holder with respect to an Administrative Procedure under the Securities Law, including reasonable litigation expenses and reasonable attorneys’ fees;</w:t>
      </w:r>
    </w:p>
    <w:p>
      <w:pPr>
        <w:spacing w:after="0" w:line="204" w:lineRule="exact"/>
        <w:rPr>
          <w:rFonts w:ascii="Arial" w:cs="Arial" w:eastAsia="Arial" w:hAnsi="Arial"/>
          <w:sz w:val="16"/>
          <w:szCs w:val="16"/>
          <w:color w:val="auto"/>
        </w:rPr>
      </w:pPr>
    </w:p>
    <w:p>
      <w:pPr>
        <w:jc w:val="both"/>
        <w:ind w:left="740" w:hanging="426"/>
        <w:spacing w:after="0" w:line="282" w:lineRule="auto"/>
        <w:tabs>
          <w:tab w:leader="none" w:pos="740" w:val="left"/>
        </w:tabs>
        <w:numPr>
          <w:ilvl w:val="0"/>
          <w:numId w:val="97"/>
        </w:numPr>
        <w:rPr>
          <w:rFonts w:ascii="Arial" w:cs="Arial" w:eastAsia="Arial" w:hAnsi="Arial"/>
          <w:sz w:val="15"/>
          <w:szCs w:val="15"/>
          <w:color w:val="auto"/>
        </w:rPr>
      </w:pPr>
      <w:r>
        <w:rPr>
          <w:rFonts w:ascii="Arial" w:cs="Arial" w:eastAsia="Arial" w:hAnsi="Arial"/>
          <w:sz w:val="15"/>
          <w:szCs w:val="15"/>
          <w:color w:val="auto"/>
        </w:rPr>
        <w:t>reasonable litigation expenses, including attorneys’ fees, incurred by the office holder or which were imposed on the office holder by a court (i) in a proceeding instituted against him or her by the company, on its behalf, or by a third party, (ii) in connection with criminal indictment of which the office holder was acquitted, or (iii) in a criminal indictment which the office holder was convicted of an offense that does not require proof of criminal intent; and</w:t>
      </w:r>
    </w:p>
    <w:p>
      <w:pPr>
        <w:spacing w:after="0" w:line="196" w:lineRule="exact"/>
        <w:rPr>
          <w:rFonts w:ascii="Arial" w:cs="Arial" w:eastAsia="Arial" w:hAnsi="Arial"/>
          <w:sz w:val="15"/>
          <w:szCs w:val="15"/>
          <w:color w:val="auto"/>
        </w:rPr>
      </w:pPr>
    </w:p>
    <w:p>
      <w:pPr>
        <w:ind w:left="740" w:hanging="426"/>
        <w:spacing w:after="0" w:line="268" w:lineRule="auto"/>
        <w:tabs>
          <w:tab w:leader="none" w:pos="740" w:val="left"/>
        </w:tabs>
        <w:numPr>
          <w:ilvl w:val="0"/>
          <w:numId w:val="97"/>
        </w:numPr>
        <w:rPr>
          <w:rFonts w:ascii="Arial" w:cs="Arial" w:eastAsia="Arial" w:hAnsi="Arial"/>
          <w:sz w:val="16"/>
          <w:szCs w:val="16"/>
          <w:color w:val="auto"/>
        </w:rPr>
      </w:pPr>
      <w:r>
        <w:rPr>
          <w:rFonts w:ascii="Arial" w:cs="Arial" w:eastAsia="Arial" w:hAnsi="Arial"/>
          <w:sz w:val="16"/>
          <w:szCs w:val="16"/>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209"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206"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187" w:lineRule="exact"/>
        <w:rPr>
          <w:sz w:val="20"/>
          <w:szCs w:val="20"/>
          <w:color w:val="auto"/>
        </w:rPr>
      </w:pPr>
    </w:p>
    <w:p>
      <w:pPr>
        <w:ind w:left="740" w:right="20" w:hanging="426"/>
        <w:spacing w:after="0" w:line="268" w:lineRule="auto"/>
        <w:tabs>
          <w:tab w:leader="none" w:pos="740" w:val="left"/>
        </w:tabs>
        <w:numPr>
          <w:ilvl w:val="0"/>
          <w:numId w:val="98"/>
        </w:numPr>
        <w:rPr>
          <w:rFonts w:ascii="Arial" w:cs="Arial" w:eastAsia="Arial" w:hAnsi="Arial"/>
          <w:sz w:val="16"/>
          <w:szCs w:val="16"/>
          <w:color w:val="auto"/>
        </w:rPr>
      </w:pPr>
      <w:r>
        <w:rPr>
          <w:rFonts w:ascii="Arial" w:cs="Arial" w:eastAsia="Arial" w:hAnsi="Arial"/>
          <w:sz w:val="16"/>
          <w:szCs w:val="16"/>
          <w:color w:val="auto"/>
        </w:rPr>
        <w:t>a breach of the fiduciary duty to the company, provided that the office holder acted in good faith and had a reasonable basis to believe that the act would not harm the company;</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98"/>
        </w:numPr>
        <w:rPr>
          <w:rFonts w:ascii="Arial" w:cs="Arial" w:eastAsia="Arial" w:hAnsi="Arial"/>
          <w:sz w:val="16"/>
          <w:szCs w:val="16"/>
          <w:color w:val="auto"/>
        </w:rPr>
      </w:pPr>
      <w:r>
        <w:rPr>
          <w:rFonts w:ascii="Arial" w:cs="Arial" w:eastAsia="Arial" w:hAnsi="Arial"/>
          <w:sz w:val="16"/>
          <w:szCs w:val="16"/>
          <w:color w:val="auto"/>
        </w:rPr>
        <w:t>a breach of duty of care to the company or to a third party, to the extent such a breach arises out of the negligent conduct of the office holder;</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98"/>
        </w:numPr>
        <w:rPr>
          <w:rFonts w:ascii="Arial" w:cs="Arial" w:eastAsia="Arial" w:hAnsi="Arial"/>
          <w:sz w:val="16"/>
          <w:szCs w:val="16"/>
          <w:color w:val="auto"/>
        </w:rPr>
      </w:pPr>
      <w:r>
        <w:rPr>
          <w:rFonts w:ascii="Arial" w:cs="Arial" w:eastAsia="Arial" w:hAnsi="Arial"/>
          <w:sz w:val="16"/>
          <w:szCs w:val="16"/>
          <w:color w:val="auto"/>
        </w:rPr>
        <w:t>a monetary liability imposed on the office holder in favor of a third party;</w:t>
      </w:r>
    </w:p>
    <w:p>
      <w:pPr>
        <w:spacing w:after="0" w:line="241" w:lineRule="exact"/>
        <w:rPr>
          <w:rFonts w:ascii="Arial" w:cs="Arial" w:eastAsia="Arial" w:hAnsi="Arial"/>
          <w:sz w:val="16"/>
          <w:szCs w:val="16"/>
          <w:color w:val="auto"/>
        </w:rPr>
      </w:pPr>
    </w:p>
    <w:p>
      <w:pPr>
        <w:ind w:left="740" w:right="20" w:hanging="426"/>
        <w:spacing w:after="0" w:line="268" w:lineRule="auto"/>
        <w:tabs>
          <w:tab w:leader="none" w:pos="740" w:val="left"/>
        </w:tabs>
        <w:numPr>
          <w:ilvl w:val="0"/>
          <w:numId w:val="98"/>
        </w:numPr>
        <w:rPr>
          <w:rFonts w:ascii="Arial" w:cs="Arial" w:eastAsia="Arial" w:hAnsi="Arial"/>
          <w:sz w:val="16"/>
          <w:szCs w:val="16"/>
          <w:color w:val="auto"/>
        </w:rPr>
      </w:pPr>
      <w:r>
        <w:rPr>
          <w:rFonts w:ascii="Arial" w:cs="Arial" w:eastAsia="Arial" w:hAnsi="Arial"/>
          <w:sz w:val="16"/>
          <w:szCs w:val="16"/>
          <w:color w:val="auto"/>
        </w:rPr>
        <w:t>a monetary liability imposed on the office holder in favor of an injured party at an Administrative Procedure pursuant to Section 52(54)(a)(1)(a) of the Securities Law; and</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98"/>
        </w:numPr>
        <w:rPr>
          <w:rFonts w:ascii="Arial" w:cs="Arial" w:eastAsia="Arial" w:hAnsi="Arial"/>
          <w:sz w:val="14"/>
          <w:szCs w:val="14"/>
          <w:color w:val="auto"/>
        </w:rPr>
      </w:pPr>
      <w:r>
        <w:rPr>
          <w:rFonts w:ascii="Arial" w:cs="Arial" w:eastAsia="Arial" w:hAnsi="Arial"/>
          <w:sz w:val="14"/>
          <w:szCs w:val="14"/>
          <w:color w:val="auto"/>
        </w:rPr>
        <w:t>expenses incurred by an office holder in connection with an Administrative Procedure, including reasonable litigation expenses and reasonable attorneys’ fees.</w:t>
      </w:r>
    </w:p>
    <w:p>
      <w:pPr>
        <w:spacing w:after="0" w:line="27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Under the Companies Law, a company may not indemnify, exculpate or insure an office holder against any of the following:</w:t>
      </w:r>
    </w:p>
    <w:p>
      <w:pPr>
        <w:spacing w:after="0" w:line="249" w:lineRule="exact"/>
        <w:rPr>
          <w:sz w:val="20"/>
          <w:szCs w:val="20"/>
          <w:color w:val="auto"/>
        </w:rPr>
      </w:pPr>
    </w:p>
    <w:p>
      <w:pPr>
        <w:ind w:left="740" w:right="20" w:hanging="426"/>
        <w:spacing w:after="0" w:line="268" w:lineRule="auto"/>
        <w:tabs>
          <w:tab w:leader="none" w:pos="740" w:val="left"/>
        </w:tabs>
        <w:numPr>
          <w:ilvl w:val="0"/>
          <w:numId w:val="99"/>
        </w:numPr>
        <w:rPr>
          <w:rFonts w:ascii="Arial" w:cs="Arial" w:eastAsia="Arial" w:hAnsi="Arial"/>
          <w:sz w:val="16"/>
          <w:szCs w:val="16"/>
          <w:color w:val="auto"/>
        </w:rPr>
      </w:pPr>
      <w:r>
        <w:rPr>
          <w:rFonts w:ascii="Arial" w:cs="Arial" w:eastAsia="Arial" w:hAnsi="Arial"/>
          <w:sz w:val="16"/>
          <w:szCs w:val="16"/>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99"/>
        </w:numPr>
        <w:rPr>
          <w:rFonts w:ascii="Arial" w:cs="Arial" w:eastAsia="Arial" w:hAnsi="Arial"/>
          <w:sz w:val="16"/>
          <w:szCs w:val="16"/>
          <w:color w:val="auto"/>
        </w:rPr>
      </w:pPr>
      <w:r>
        <w:rPr>
          <w:rFonts w:ascii="Arial" w:cs="Arial" w:eastAsia="Arial" w:hAnsi="Arial"/>
          <w:sz w:val="16"/>
          <w:szCs w:val="16"/>
          <w:color w:val="auto"/>
        </w:rPr>
        <w:t>a breach of duty of care committed intentionally or recklessly, excluding a breach arising out of the negligent conduct of the office holder;</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16" w:name="page117"/>
    <w:bookmarkEnd w:id="116"/>
    <w:p>
      <w:pPr>
        <w:ind w:left="745" w:hanging="426"/>
        <w:spacing w:after="0"/>
        <w:tabs>
          <w:tab w:leader="none" w:pos="745" w:val="left"/>
        </w:tabs>
        <w:numPr>
          <w:ilvl w:val="0"/>
          <w:numId w:val="100"/>
        </w:numPr>
        <w:rPr>
          <w:rFonts w:ascii="Arial" w:cs="Arial" w:eastAsia="Arial" w:hAnsi="Arial"/>
          <w:sz w:val="16"/>
          <w:szCs w:val="16"/>
          <w:color w:val="auto"/>
        </w:rPr>
      </w:pPr>
      <w:r>
        <w:rPr>
          <w:rFonts w:ascii="Arial" w:cs="Arial" w:eastAsia="Arial" w:hAnsi="Arial"/>
          <w:sz w:val="16"/>
          <w:szCs w:val="16"/>
          <w:color w:val="auto"/>
        </w:rPr>
        <w:t>an act or omission committed with intent to derive illegal personal benefit; or</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100"/>
        </w:numPr>
        <w:rPr>
          <w:rFonts w:ascii="Arial" w:cs="Arial" w:eastAsia="Arial" w:hAnsi="Arial"/>
          <w:sz w:val="16"/>
          <w:szCs w:val="16"/>
          <w:color w:val="auto"/>
        </w:rPr>
      </w:pPr>
      <w:r>
        <w:rPr>
          <w:rFonts w:ascii="Arial" w:cs="Arial" w:eastAsia="Arial" w:hAnsi="Arial"/>
          <w:sz w:val="16"/>
          <w:szCs w:val="16"/>
          <w:color w:val="auto"/>
        </w:rPr>
        <w:t>a fine or forfeit levied against the office holder.</w:t>
      </w:r>
    </w:p>
    <w:p>
      <w:pPr>
        <w:spacing w:after="0" w:line="247"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206" w:lineRule="exact"/>
        <w:rPr>
          <w:sz w:val="20"/>
          <w:szCs w:val="20"/>
          <w:color w:val="auto"/>
        </w:rPr>
      </w:pPr>
    </w:p>
    <w:p>
      <w:pPr>
        <w:jc w:val="both"/>
        <w:ind w:left="5" w:right="20" w:firstLine="568"/>
        <w:spacing w:after="0" w:line="308" w:lineRule="auto"/>
        <w:rPr>
          <w:sz w:val="20"/>
          <w:szCs w:val="20"/>
          <w:color w:val="auto"/>
        </w:rPr>
      </w:pPr>
      <w:r>
        <w:rPr>
          <w:rFonts w:ascii="Arial" w:cs="Arial" w:eastAsia="Arial" w:hAnsi="Arial"/>
          <w:sz w:val="17"/>
          <w:szCs w:val="17"/>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annual report,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179" w:lineRule="exact"/>
        <w:rPr>
          <w:sz w:val="20"/>
          <w:szCs w:val="20"/>
          <w:color w:val="auto"/>
        </w:rPr>
      </w:pPr>
    </w:p>
    <w:p>
      <w:pPr>
        <w:jc w:val="both"/>
        <w:ind w:left="5" w:right="20" w:firstLine="566"/>
        <w:spacing w:after="0" w:line="313" w:lineRule="auto"/>
        <w:rPr>
          <w:sz w:val="20"/>
          <w:szCs w:val="20"/>
          <w:color w:val="auto"/>
        </w:rPr>
      </w:pPr>
      <w:r>
        <w:rPr>
          <w:rFonts w:ascii="Arial" w:cs="Arial" w:eastAsia="Arial" w:hAnsi="Arial"/>
          <w:sz w:val="18"/>
          <w:szCs w:val="18"/>
          <w:color w:val="auto"/>
        </w:rPr>
        <w:t>See "Item 7. Major Shareholders and Related Party Transactions – B. Related Party Transactions - Directors and Officers Insurance Policy and Indemnification Agreements" for information regarding letters of indemnification to directors and officers of the Company.</w:t>
      </w:r>
    </w:p>
    <w:p>
      <w:pPr>
        <w:spacing w:after="0" w:line="164" w:lineRule="exact"/>
        <w:rPr>
          <w:sz w:val="20"/>
          <w:szCs w:val="20"/>
          <w:color w:val="auto"/>
        </w:rPr>
      </w:pPr>
    </w:p>
    <w:p>
      <w:pPr>
        <w:ind w:left="705" w:hanging="705"/>
        <w:spacing w:after="0"/>
        <w:tabs>
          <w:tab w:leader="none" w:pos="705" w:val="left"/>
        </w:tabs>
        <w:numPr>
          <w:ilvl w:val="0"/>
          <w:numId w:val="101"/>
        </w:numPr>
        <w:rPr>
          <w:rFonts w:ascii="Arial" w:cs="Arial" w:eastAsia="Arial" w:hAnsi="Arial"/>
          <w:sz w:val="19"/>
          <w:szCs w:val="19"/>
          <w:b w:val="1"/>
          <w:bCs w:val="1"/>
          <w:color w:val="auto"/>
        </w:rPr>
      </w:pPr>
      <w:r>
        <w:rPr>
          <w:rFonts w:ascii="Arial" w:cs="Arial" w:eastAsia="Arial" w:hAnsi="Arial"/>
          <w:sz w:val="19"/>
          <w:szCs w:val="19"/>
          <w:b w:val="1"/>
          <w:bCs w:val="1"/>
          <w:color w:val="auto"/>
        </w:rPr>
        <w:t>Employees</w:t>
      </w:r>
    </w:p>
    <w:p>
      <w:pPr>
        <w:spacing w:after="0" w:line="261" w:lineRule="exact"/>
        <w:rPr>
          <w:sz w:val="20"/>
          <w:szCs w:val="20"/>
          <w:color w:val="auto"/>
        </w:rPr>
      </w:pPr>
    </w:p>
    <w:p>
      <w:pPr>
        <w:ind w:left="565"/>
        <w:spacing w:after="0"/>
        <w:rPr>
          <w:sz w:val="20"/>
          <w:szCs w:val="20"/>
          <w:color w:val="auto"/>
        </w:rPr>
      </w:pPr>
      <w:r>
        <w:rPr>
          <w:rFonts w:ascii="Arial" w:cs="Arial" w:eastAsia="Arial" w:hAnsi="Arial"/>
          <w:sz w:val="19"/>
          <w:szCs w:val="19"/>
          <w:color w:val="auto"/>
        </w:rPr>
        <w:t>As of December 31, 2020, we had 65 employees, all of whom except 3 are located in Israel.</w:t>
      </w:r>
    </w:p>
    <w:p>
      <w:pPr>
        <w:spacing w:after="0" w:line="245" w:lineRule="exact"/>
        <w:rPr>
          <w:sz w:val="20"/>
          <w:szCs w:val="20"/>
          <w:color w:val="auto"/>
        </w:rPr>
      </w:pPr>
    </w:p>
    <w:p>
      <w:pPr>
        <w:ind w:left="6765"/>
        <w:spacing w:after="0"/>
        <w:rPr>
          <w:sz w:val="20"/>
          <w:szCs w:val="20"/>
          <w:color w:val="auto"/>
        </w:rPr>
      </w:pPr>
      <w:r>
        <w:rPr>
          <w:rFonts w:ascii="Arial" w:cs="Arial" w:eastAsia="Arial" w:hAnsi="Arial"/>
          <w:sz w:val="16"/>
          <w:szCs w:val="16"/>
          <w:b w:val="1"/>
          <w:bCs w:val="1"/>
          <w:color w:val="auto"/>
        </w:rPr>
        <w:t>As of December 31,</w:t>
      </w:r>
    </w:p>
    <w:p>
      <w:pPr>
        <w:spacing w:after="0" w:line="20" w:lineRule="exact"/>
        <w:rPr>
          <w:sz w:val="20"/>
          <w:szCs w:val="20"/>
          <w:color w:val="auto"/>
        </w:rPr>
      </w:pPr>
    </w:p>
    <w:tbl>
      <w:tblPr>
        <w:tblLayout w:type="fixed"/>
        <w:tblInd w:w="565" w:type="dxa"/>
        <w:tblCellMar>
          <w:top w:w="0" w:type="dxa"/>
          <w:left w:w="0" w:type="dxa"/>
          <w:bottom w:w="0" w:type="dxa"/>
          <w:right w:w="0" w:type="dxa"/>
        </w:tblCellMar>
      </w:tblPr>
      <w:tr>
        <w:trPr>
          <w:trHeight w:val="198"/>
        </w:trPr>
        <w:tc>
          <w:tcPr>
            <w:tcW w:w="20" w:type="dxa"/>
            <w:vAlign w:val="bottom"/>
          </w:tcPr>
          <w:p>
            <w:pPr>
              <w:spacing w:after="0"/>
              <w:rPr>
                <w:sz w:val="17"/>
                <w:szCs w:val="17"/>
                <w:color w:val="auto"/>
              </w:rPr>
            </w:pPr>
          </w:p>
        </w:tc>
        <w:tc>
          <w:tcPr>
            <w:tcW w:w="3100" w:type="dxa"/>
            <w:vAlign w:val="bottom"/>
          </w:tcPr>
          <w:p>
            <w:pPr>
              <w:spacing w:after="0"/>
              <w:rPr>
                <w:sz w:val="17"/>
                <w:szCs w:val="17"/>
                <w:color w:val="auto"/>
              </w:rPr>
            </w:pPr>
          </w:p>
        </w:tc>
        <w:tc>
          <w:tcPr>
            <w:tcW w:w="1380" w:type="dxa"/>
            <w:vAlign w:val="bottom"/>
            <w:tcBorders>
              <w:top w:val="single" w:sz="8" w:color="auto"/>
            </w:tcBorders>
            <w:gridSpan w:val="3"/>
          </w:tcPr>
          <w:p>
            <w:pPr>
              <w:jc w:val="right"/>
              <w:ind w:right="40"/>
              <w:spacing w:after="0"/>
              <w:rPr>
                <w:sz w:val="20"/>
                <w:szCs w:val="20"/>
                <w:color w:val="auto"/>
              </w:rPr>
            </w:pPr>
            <w:r>
              <w:rPr>
                <w:rFonts w:ascii="Arial" w:cs="Arial" w:eastAsia="Arial" w:hAnsi="Arial"/>
                <w:sz w:val="16"/>
                <w:szCs w:val="16"/>
                <w:b w:val="1"/>
                <w:bCs w:val="1"/>
                <w:color w:val="auto"/>
              </w:rPr>
              <w:t>2018</w:t>
            </w:r>
          </w:p>
        </w:tc>
        <w:tc>
          <w:tcPr>
            <w:tcW w:w="980" w:type="dxa"/>
            <w:vAlign w:val="bottom"/>
            <w:tcBorders>
              <w:top w:val="single" w:sz="8" w:color="auto"/>
            </w:tcBorders>
          </w:tcPr>
          <w:p>
            <w:pPr>
              <w:spacing w:after="0"/>
              <w:rPr>
                <w:sz w:val="17"/>
                <w:szCs w:val="17"/>
                <w:color w:val="auto"/>
              </w:rPr>
            </w:pPr>
          </w:p>
        </w:tc>
        <w:tc>
          <w:tcPr>
            <w:tcW w:w="1580" w:type="dxa"/>
            <w:vAlign w:val="bottom"/>
            <w:tcBorders>
              <w:top w:val="single" w:sz="8" w:color="auto"/>
            </w:tcBorders>
            <w:gridSpan w:val="4"/>
          </w:tcPr>
          <w:p>
            <w:pPr>
              <w:jc w:val="right"/>
              <w:ind w:right="40"/>
              <w:spacing w:after="0"/>
              <w:rPr>
                <w:sz w:val="20"/>
                <w:szCs w:val="20"/>
                <w:color w:val="auto"/>
              </w:rPr>
            </w:pPr>
            <w:r>
              <w:rPr>
                <w:rFonts w:ascii="Arial" w:cs="Arial" w:eastAsia="Arial" w:hAnsi="Arial"/>
                <w:sz w:val="16"/>
                <w:szCs w:val="16"/>
                <w:b w:val="1"/>
                <w:bCs w:val="1"/>
                <w:color w:val="auto"/>
              </w:rPr>
              <w:t>2019</w:t>
            </w:r>
          </w:p>
        </w:tc>
        <w:tc>
          <w:tcPr>
            <w:tcW w:w="98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440" w:type="dxa"/>
            <w:vAlign w:val="bottom"/>
            <w:tcBorders>
              <w:top w:val="single" w:sz="8" w:color="auto"/>
            </w:tcBorders>
            <w:gridSpan w:val="3"/>
          </w:tcPr>
          <w:p>
            <w:pPr>
              <w:jc w:val="right"/>
              <w:ind w:right="92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7"/>
                <w:szCs w:val="17"/>
                <w:color w:val="auto"/>
              </w:rPr>
            </w:pPr>
          </w:p>
        </w:tc>
      </w:tr>
      <w:tr>
        <w:trPr>
          <w:trHeight w:val="173"/>
        </w:trPr>
        <w:tc>
          <w:tcPr>
            <w:tcW w:w="20" w:type="dxa"/>
            <w:vAlign w:val="bottom"/>
          </w:tcPr>
          <w:p>
            <w:pPr>
              <w:spacing w:after="0"/>
              <w:rPr>
                <w:sz w:val="15"/>
                <w:szCs w:val="15"/>
                <w:color w:val="auto"/>
              </w:rPr>
            </w:pPr>
          </w:p>
        </w:tc>
        <w:tc>
          <w:tcPr>
            <w:tcW w:w="3100" w:type="dxa"/>
            <w:vAlign w:val="bottom"/>
          </w:tcPr>
          <w:p>
            <w:pPr>
              <w:spacing w:after="0"/>
              <w:rPr>
                <w:sz w:val="15"/>
                <w:szCs w:val="15"/>
                <w:color w:val="auto"/>
              </w:rPr>
            </w:pPr>
          </w:p>
        </w:tc>
        <w:tc>
          <w:tcPr>
            <w:tcW w:w="1380" w:type="dxa"/>
            <w:vAlign w:val="bottom"/>
            <w:tcBorders>
              <w:top w:val="single" w:sz="8" w:color="auto"/>
            </w:tcBorders>
            <w:gridSpan w:val="3"/>
          </w:tcPr>
          <w:p>
            <w:pPr>
              <w:jc w:val="center"/>
              <w:ind w:right="280"/>
              <w:spacing w:after="0" w:line="173" w:lineRule="exact"/>
              <w:rPr>
                <w:sz w:val="20"/>
                <w:szCs w:val="20"/>
                <w:color w:val="auto"/>
              </w:rPr>
            </w:pPr>
            <w:r>
              <w:rPr>
                <w:rFonts w:ascii="Arial" w:cs="Arial" w:eastAsia="Arial" w:hAnsi="Arial"/>
                <w:sz w:val="16"/>
                <w:szCs w:val="16"/>
                <w:b w:val="1"/>
                <w:bCs w:val="1"/>
                <w:color w:val="auto"/>
                <w:w w:val="90"/>
              </w:rPr>
              <w:t>Company</w:t>
            </w:r>
          </w:p>
        </w:tc>
        <w:tc>
          <w:tcPr>
            <w:tcW w:w="9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Borders>
              <w:top w:val="single" w:sz="8" w:color="auto"/>
            </w:tcBorders>
            <w:gridSpan w:val="3"/>
          </w:tcPr>
          <w:p>
            <w:pPr>
              <w:jc w:val="center"/>
              <w:ind w:right="300"/>
              <w:spacing w:after="0" w:line="173" w:lineRule="exact"/>
              <w:rPr>
                <w:sz w:val="20"/>
                <w:szCs w:val="20"/>
                <w:color w:val="auto"/>
              </w:rPr>
            </w:pPr>
            <w:r>
              <w:rPr>
                <w:rFonts w:ascii="Arial" w:cs="Arial" w:eastAsia="Arial" w:hAnsi="Arial"/>
                <w:sz w:val="16"/>
                <w:szCs w:val="16"/>
                <w:b w:val="1"/>
                <w:bCs w:val="1"/>
                <w:color w:val="auto"/>
                <w:w w:val="90"/>
              </w:rPr>
              <w:t>Company</w:t>
            </w:r>
          </w:p>
        </w:tc>
        <w:tc>
          <w:tcPr>
            <w:tcW w:w="980" w:type="dxa"/>
            <w:vAlign w:val="bottom"/>
            <w:tcBorders>
              <w:top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tcBorders>
              <w:top w:val="single" w:sz="8" w:color="auto"/>
            </w:tcBorders>
          </w:tcPr>
          <w:p>
            <w:pPr>
              <w:jc w:val="center"/>
              <w:ind w:left="81"/>
              <w:spacing w:after="0" w:line="173" w:lineRule="exact"/>
              <w:rPr>
                <w:sz w:val="20"/>
                <w:szCs w:val="20"/>
                <w:color w:val="auto"/>
              </w:rPr>
            </w:pPr>
            <w:r>
              <w:rPr>
                <w:rFonts w:ascii="Arial" w:cs="Arial" w:eastAsia="Arial" w:hAnsi="Arial"/>
                <w:sz w:val="16"/>
                <w:szCs w:val="16"/>
                <w:b w:val="1"/>
                <w:bCs w:val="1"/>
                <w:color w:val="auto"/>
                <w:w w:val="90"/>
              </w:rPr>
              <w:t>Company</w:t>
            </w:r>
          </w:p>
        </w:tc>
        <w:tc>
          <w:tcPr>
            <w:tcW w:w="16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r>
      <w:tr>
        <w:trPr>
          <w:trHeight w:val="209"/>
        </w:trPr>
        <w:tc>
          <w:tcPr>
            <w:tcW w:w="20" w:type="dxa"/>
            <w:vAlign w:val="bottom"/>
          </w:tcPr>
          <w:p>
            <w:pPr>
              <w:spacing w:after="0"/>
              <w:rPr>
                <w:sz w:val="18"/>
                <w:szCs w:val="18"/>
                <w:color w:val="auto"/>
              </w:rPr>
            </w:pPr>
          </w:p>
        </w:tc>
        <w:tc>
          <w:tcPr>
            <w:tcW w:w="3100" w:type="dxa"/>
            <w:vAlign w:val="bottom"/>
          </w:tcPr>
          <w:p>
            <w:pPr>
              <w:spacing w:after="0"/>
              <w:rPr>
                <w:sz w:val="18"/>
                <w:szCs w:val="18"/>
                <w:color w:val="auto"/>
              </w:rPr>
            </w:pPr>
          </w:p>
        </w:tc>
        <w:tc>
          <w:tcPr>
            <w:tcW w:w="1380" w:type="dxa"/>
            <w:vAlign w:val="bottom"/>
            <w:gridSpan w:val="3"/>
          </w:tcPr>
          <w:p>
            <w:pPr>
              <w:jc w:val="center"/>
              <w:ind w:right="300"/>
              <w:spacing w:after="0"/>
              <w:rPr>
                <w:sz w:val="20"/>
                <w:szCs w:val="20"/>
                <w:color w:val="auto"/>
              </w:rPr>
            </w:pPr>
            <w:r>
              <w:rPr>
                <w:rFonts w:ascii="Arial" w:cs="Arial" w:eastAsia="Arial" w:hAnsi="Arial"/>
                <w:sz w:val="16"/>
                <w:szCs w:val="16"/>
                <w:b w:val="1"/>
                <w:bCs w:val="1"/>
                <w:color w:val="auto"/>
                <w:w w:val="85"/>
              </w:rPr>
              <w:t>Employees</w:t>
            </w:r>
          </w:p>
        </w:tc>
        <w:tc>
          <w:tcPr>
            <w:tcW w:w="980" w:type="dxa"/>
            <w:vAlign w:val="bottom"/>
          </w:tcPr>
          <w:p>
            <w:pPr>
              <w:ind w:left="40"/>
              <w:spacing w:after="0"/>
              <w:rPr>
                <w:sz w:val="20"/>
                <w:szCs w:val="20"/>
                <w:color w:val="auto"/>
              </w:rPr>
            </w:pPr>
            <w:r>
              <w:rPr>
                <w:rFonts w:ascii="Arial" w:cs="Arial" w:eastAsia="Arial" w:hAnsi="Arial"/>
                <w:sz w:val="16"/>
                <w:szCs w:val="16"/>
                <w:b w:val="1"/>
                <w:bCs w:val="1"/>
                <w:color w:val="auto"/>
                <w:w w:val="99"/>
              </w:rPr>
              <w:t>Consultants</w:t>
            </w:r>
          </w:p>
        </w:tc>
        <w:tc>
          <w:tcPr>
            <w:tcW w:w="220" w:type="dxa"/>
            <w:vAlign w:val="bottom"/>
          </w:tcPr>
          <w:p>
            <w:pPr>
              <w:spacing w:after="0"/>
              <w:rPr>
                <w:sz w:val="18"/>
                <w:szCs w:val="18"/>
                <w:color w:val="auto"/>
              </w:rPr>
            </w:pPr>
          </w:p>
        </w:tc>
        <w:tc>
          <w:tcPr>
            <w:tcW w:w="1360" w:type="dxa"/>
            <w:vAlign w:val="bottom"/>
            <w:gridSpan w:val="3"/>
          </w:tcPr>
          <w:p>
            <w:pPr>
              <w:jc w:val="center"/>
              <w:ind w:right="320"/>
              <w:spacing w:after="0"/>
              <w:rPr>
                <w:sz w:val="20"/>
                <w:szCs w:val="20"/>
                <w:color w:val="auto"/>
              </w:rPr>
            </w:pPr>
            <w:r>
              <w:rPr>
                <w:rFonts w:ascii="Arial" w:cs="Arial" w:eastAsia="Arial" w:hAnsi="Arial"/>
                <w:sz w:val="16"/>
                <w:szCs w:val="16"/>
                <w:b w:val="1"/>
                <w:bCs w:val="1"/>
                <w:color w:val="auto"/>
                <w:w w:val="85"/>
              </w:rPr>
              <w:t>Employees</w:t>
            </w:r>
          </w:p>
        </w:tc>
        <w:tc>
          <w:tcPr>
            <w:tcW w:w="980" w:type="dxa"/>
            <w:vAlign w:val="bottom"/>
          </w:tcPr>
          <w:p>
            <w:pPr>
              <w:ind w:left="40"/>
              <w:spacing w:after="0"/>
              <w:rPr>
                <w:sz w:val="20"/>
                <w:szCs w:val="20"/>
                <w:color w:val="auto"/>
              </w:rPr>
            </w:pPr>
            <w:r>
              <w:rPr>
                <w:rFonts w:ascii="Arial" w:cs="Arial" w:eastAsia="Arial" w:hAnsi="Arial"/>
                <w:sz w:val="16"/>
                <w:szCs w:val="16"/>
                <w:b w:val="1"/>
                <w:bCs w:val="1"/>
                <w:color w:val="auto"/>
                <w:w w:val="99"/>
              </w:rPr>
              <w:t>Consultants</w:t>
            </w:r>
          </w:p>
        </w:tc>
        <w:tc>
          <w:tcPr>
            <w:tcW w:w="200" w:type="dxa"/>
            <w:vAlign w:val="bottom"/>
          </w:tcPr>
          <w:p>
            <w:pPr>
              <w:spacing w:after="0"/>
              <w:rPr>
                <w:sz w:val="18"/>
                <w:szCs w:val="18"/>
                <w:color w:val="auto"/>
              </w:rPr>
            </w:pPr>
          </w:p>
        </w:tc>
        <w:tc>
          <w:tcPr>
            <w:tcW w:w="900" w:type="dxa"/>
            <w:vAlign w:val="bottom"/>
          </w:tcPr>
          <w:p>
            <w:pPr>
              <w:jc w:val="center"/>
              <w:ind w:left="101"/>
              <w:spacing w:after="0"/>
              <w:rPr>
                <w:sz w:val="20"/>
                <w:szCs w:val="20"/>
                <w:color w:val="auto"/>
              </w:rPr>
            </w:pPr>
            <w:r>
              <w:rPr>
                <w:rFonts w:ascii="Arial" w:cs="Arial" w:eastAsia="Arial" w:hAnsi="Arial"/>
                <w:sz w:val="16"/>
                <w:szCs w:val="16"/>
                <w:b w:val="1"/>
                <w:bCs w:val="1"/>
                <w:color w:val="auto"/>
                <w:w w:val="85"/>
              </w:rPr>
              <w:t>Employees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tcPr>
          <w:p>
            <w:pPr>
              <w:jc w:val="right"/>
              <w:ind w:right="41"/>
              <w:spacing w:after="0"/>
              <w:rPr>
                <w:sz w:val="20"/>
                <w:szCs w:val="20"/>
                <w:color w:val="auto"/>
              </w:rPr>
            </w:pPr>
            <w:r>
              <w:rPr>
                <w:rFonts w:ascii="Arial" w:cs="Arial" w:eastAsia="Arial" w:hAnsi="Arial"/>
                <w:sz w:val="16"/>
                <w:szCs w:val="16"/>
                <w:b w:val="1"/>
                <w:bCs w:val="1"/>
                <w:color w:val="auto"/>
                <w:w w:val="99"/>
              </w:rPr>
              <w:t>Consultants</w:t>
            </w:r>
          </w:p>
        </w:tc>
        <w:tc>
          <w:tcPr>
            <w:tcW w:w="120" w:type="dxa"/>
            <w:vAlign w:val="bottom"/>
          </w:tcPr>
          <w:p>
            <w:pPr>
              <w:spacing w:after="0"/>
              <w:rPr>
                <w:sz w:val="18"/>
                <w:szCs w:val="18"/>
                <w:color w:val="auto"/>
              </w:rPr>
            </w:pPr>
          </w:p>
        </w:tc>
      </w:tr>
      <w:tr>
        <w:trPr>
          <w:trHeight w:val="189"/>
        </w:trPr>
        <w:tc>
          <w:tcPr>
            <w:tcW w:w="20" w:type="dxa"/>
            <w:vAlign w:val="bottom"/>
          </w:tcPr>
          <w:p>
            <w:pPr>
              <w:spacing w:after="0"/>
              <w:rPr>
                <w:sz w:val="16"/>
                <w:szCs w:val="16"/>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6"/>
                <w:szCs w:val="16"/>
                <w:color w:val="auto"/>
              </w:rPr>
              <w:t>Management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220" w:type="dxa"/>
            <w:vAlign w:val="bottom"/>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20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w:t>
            </w:r>
          </w:p>
        </w:tc>
        <w:tc>
          <w:tcPr>
            <w:tcW w:w="220" w:type="dxa"/>
            <w:vAlign w:val="bottom"/>
            <w:shd w:val="clear" w:color="auto" w:fill="CCEEFF"/>
          </w:tcPr>
          <w:p>
            <w:pPr>
              <w:spacing w:after="0"/>
              <w:rPr>
                <w:sz w:val="16"/>
                <w:szCs w:val="16"/>
                <w:color w:val="auto"/>
              </w:rPr>
            </w:pPr>
          </w:p>
        </w:tc>
        <w:tc>
          <w:tcPr>
            <w:tcW w:w="1060" w:type="dxa"/>
            <w:vAlign w:val="bottom"/>
            <w:tcBorders>
              <w:top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r>
      <w:tr>
        <w:trPr>
          <w:trHeight w:val="200"/>
        </w:trPr>
        <w:tc>
          <w:tcPr>
            <w:tcW w:w="20" w:type="dxa"/>
            <w:vAlign w:val="bottom"/>
          </w:tcPr>
          <w:p>
            <w:pPr>
              <w:spacing w:after="0"/>
              <w:rPr>
                <w:sz w:val="17"/>
                <w:szCs w:val="17"/>
                <w:color w:val="auto"/>
              </w:rPr>
            </w:pPr>
          </w:p>
        </w:tc>
        <w:tc>
          <w:tcPr>
            <w:tcW w:w="3100" w:type="dxa"/>
            <w:vAlign w:val="bottom"/>
          </w:tcPr>
          <w:p>
            <w:pPr>
              <w:spacing w:after="0"/>
              <w:rPr>
                <w:sz w:val="20"/>
                <w:szCs w:val="20"/>
                <w:color w:val="auto"/>
              </w:rPr>
            </w:pPr>
            <w:r>
              <w:rPr>
                <w:rFonts w:ascii="Arial" w:cs="Arial" w:eastAsia="Arial" w:hAnsi="Arial"/>
                <w:sz w:val="16"/>
                <w:szCs w:val="16"/>
                <w:color w:val="auto"/>
              </w:rPr>
              <w:t>Research and development and other</w:t>
            </w:r>
          </w:p>
        </w:tc>
        <w:tc>
          <w:tcPr>
            <w:tcW w:w="1080" w:type="dxa"/>
            <w:vAlign w:val="bottom"/>
          </w:tcPr>
          <w:p>
            <w:pPr>
              <w:jc w:val="right"/>
              <w:spacing w:after="0"/>
              <w:rPr>
                <w:sz w:val="20"/>
                <w:szCs w:val="20"/>
                <w:color w:val="auto"/>
              </w:rPr>
            </w:pPr>
            <w:r>
              <w:rPr>
                <w:rFonts w:ascii="Arial" w:cs="Arial" w:eastAsia="Arial" w:hAnsi="Arial"/>
                <w:sz w:val="16"/>
                <w:szCs w:val="16"/>
                <w:color w:val="auto"/>
              </w:rPr>
              <w:t>48</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80" w:type="dxa"/>
            <w:vAlign w:val="bottom"/>
            <w:gridSpan w:val="3"/>
          </w:tcPr>
          <w:p>
            <w:pPr>
              <w:jc w:val="right"/>
              <w:ind w:right="200"/>
              <w:spacing w:after="0"/>
              <w:rPr>
                <w:sz w:val="20"/>
                <w:szCs w:val="20"/>
                <w:color w:val="auto"/>
              </w:rPr>
            </w:pPr>
            <w:r>
              <w:rPr>
                <w:rFonts w:ascii="Arial" w:cs="Arial" w:eastAsia="Arial" w:hAnsi="Arial"/>
                <w:sz w:val="16"/>
                <w:szCs w:val="16"/>
                <w:color w:val="auto"/>
              </w:rPr>
              <w:t>52</w:t>
            </w: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80" w:type="dxa"/>
            <w:vAlign w:val="bottom"/>
            <w:gridSpan w:val="2"/>
          </w:tcPr>
          <w:p>
            <w:pPr>
              <w:jc w:val="right"/>
              <w:ind w:right="220"/>
              <w:spacing w:after="0"/>
              <w:rPr>
                <w:sz w:val="20"/>
                <w:szCs w:val="20"/>
                <w:color w:val="auto"/>
              </w:rPr>
            </w:pPr>
            <w:r>
              <w:rPr>
                <w:rFonts w:ascii="Arial" w:cs="Arial" w:eastAsia="Arial" w:hAnsi="Arial"/>
                <w:sz w:val="16"/>
                <w:szCs w:val="16"/>
                <w:color w:val="auto"/>
                <w:w w:val="78"/>
              </w:rPr>
              <w:t>56</w:t>
            </w: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r>
    </w:tbl>
    <w:p>
      <w:pPr>
        <w:spacing w:after="0" w:line="218" w:lineRule="exact"/>
        <w:rPr>
          <w:sz w:val="20"/>
          <w:szCs w:val="20"/>
          <w:color w:val="auto"/>
        </w:rPr>
      </w:pPr>
    </w:p>
    <w:p>
      <w:pPr>
        <w:jc w:val="both"/>
        <w:ind w:left="5" w:firstLine="568"/>
        <w:spacing w:after="0" w:line="264" w:lineRule="auto"/>
        <w:rPr>
          <w:sz w:val="20"/>
          <w:szCs w:val="20"/>
          <w:color w:val="auto"/>
        </w:rPr>
      </w:pPr>
      <w:r>
        <w:rPr>
          <w:rFonts w:ascii="Arial" w:cs="Arial" w:eastAsia="Arial" w:hAnsi="Arial"/>
          <w:sz w:val="19"/>
          <w:szCs w:val="19"/>
          <w:color w:val="auto"/>
        </w:rPr>
        <w:t>While none of our employees are party to a collective bargaining agreement, certain provisions of the collective bargaining agreements between the Histadrut (General Federation of Labor in Israel) and the Coordination Bureau of Economic Organizations (including the Industrialists’ Associations) are applicable to our employees by order of the Israel Ministry of Labor. These provisions primarily concern the length of the workday, minimum daily wages for professional workers, pension fund benefits for all employees, insurance for work-related accidents, procedures for dismissing employees, determination of severance pay and other conditions of employment. We generally provide our employees with benefits and working conditions beyond the required minimums.</w:t>
      </w:r>
    </w:p>
    <w:p>
      <w:pPr>
        <w:spacing w:after="0" w:line="214" w:lineRule="exact"/>
        <w:rPr>
          <w:sz w:val="20"/>
          <w:szCs w:val="20"/>
          <w:color w:val="auto"/>
        </w:rPr>
      </w:pPr>
    </w:p>
    <w:p>
      <w:pPr>
        <w:ind w:left="565"/>
        <w:spacing w:after="0"/>
        <w:rPr>
          <w:sz w:val="20"/>
          <w:szCs w:val="20"/>
          <w:color w:val="auto"/>
        </w:rPr>
      </w:pPr>
      <w:r>
        <w:rPr>
          <w:rFonts w:ascii="Arial" w:cs="Arial" w:eastAsia="Arial" w:hAnsi="Arial"/>
          <w:sz w:val="19"/>
          <w:szCs w:val="19"/>
          <w:color w:val="auto"/>
        </w:rPr>
        <w:t>We have never experienced any employment-related work stoppages and believe our relationship with our employees is good.</w:t>
      </w:r>
    </w:p>
    <w:p>
      <w:pPr>
        <w:spacing w:after="0" w:line="249" w:lineRule="exact"/>
        <w:rPr>
          <w:sz w:val="20"/>
          <w:szCs w:val="20"/>
          <w:color w:val="auto"/>
        </w:rPr>
      </w:pPr>
    </w:p>
    <w:p>
      <w:pPr>
        <w:ind w:left="645" w:hanging="645"/>
        <w:spacing w:after="0"/>
        <w:tabs>
          <w:tab w:leader="none" w:pos="645" w:val="left"/>
        </w:tabs>
        <w:numPr>
          <w:ilvl w:val="0"/>
          <w:numId w:val="102"/>
        </w:numPr>
        <w:rPr>
          <w:rFonts w:ascii="Arial" w:cs="Arial" w:eastAsia="Arial" w:hAnsi="Arial"/>
          <w:sz w:val="19"/>
          <w:szCs w:val="19"/>
          <w:b w:val="1"/>
          <w:bCs w:val="1"/>
          <w:color w:val="auto"/>
        </w:rPr>
      </w:pPr>
      <w:r>
        <w:rPr>
          <w:rFonts w:ascii="Arial" w:cs="Arial" w:eastAsia="Arial" w:hAnsi="Arial"/>
          <w:sz w:val="19"/>
          <w:szCs w:val="19"/>
          <w:b w:val="1"/>
          <w:bCs w:val="1"/>
          <w:color w:val="auto"/>
        </w:rPr>
        <w:t>Share Ownership</w:t>
      </w:r>
    </w:p>
    <w:p>
      <w:pPr>
        <w:spacing w:after="0" w:line="261" w:lineRule="exact"/>
        <w:rPr>
          <w:sz w:val="20"/>
          <w:szCs w:val="20"/>
          <w:color w:val="auto"/>
        </w:rPr>
      </w:pPr>
    </w:p>
    <w:p>
      <w:pPr>
        <w:ind w:left="565"/>
        <w:spacing w:after="0"/>
        <w:rPr>
          <w:sz w:val="20"/>
          <w:szCs w:val="20"/>
          <w:color w:val="auto"/>
        </w:rPr>
      </w:pPr>
      <w:r>
        <w:rPr>
          <w:rFonts w:ascii="Arial" w:cs="Arial" w:eastAsia="Arial" w:hAnsi="Arial"/>
          <w:sz w:val="18"/>
          <w:szCs w:val="18"/>
          <w:color w:val="auto"/>
        </w:rPr>
        <w:t>For information regarding the share ownership of our directors and executive officers, please see “Item 7.A. Major Shareholders.”</w:t>
      </w:r>
    </w:p>
    <w:p>
      <w:pPr>
        <w:spacing w:after="0" w:line="260"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Award Plans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2014 Share Incentive Plan</w:t>
      </w:r>
    </w:p>
    <w:p>
      <w:pPr>
        <w:spacing w:after="0" w:line="255" w:lineRule="exact"/>
        <w:rPr>
          <w:sz w:val="20"/>
          <w:szCs w:val="20"/>
          <w:color w:val="auto"/>
        </w:rPr>
      </w:pPr>
    </w:p>
    <w:p>
      <w:pPr>
        <w:jc w:val="both"/>
        <w:ind w:left="5" w:firstLine="568"/>
        <w:spacing w:after="0" w:line="265" w:lineRule="auto"/>
        <w:rPr>
          <w:sz w:val="20"/>
          <w:szCs w:val="20"/>
          <w:color w:val="auto"/>
        </w:rPr>
      </w:pPr>
      <w:r>
        <w:rPr>
          <w:rFonts w:ascii="Arial" w:cs="Arial" w:eastAsia="Arial" w:hAnsi="Arial"/>
          <w:sz w:val="19"/>
          <w:szCs w:val="19"/>
          <w:color w:val="auto"/>
        </w:rPr>
        <w:t>On December 2, 2014, we adopted the 2014 Share Incentive Plan, or the Plan, and, in connection with our initial public offering, we amended and restated the Plan which became effective immediately after the pricing of our initial public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pacing w:after="0" w:line="355"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7" w:right="319" w:bottom="1440" w:gutter="0" w:footer="0" w:header="0"/>
        </w:sectPr>
      </w:pPr>
    </w:p>
    <w:bookmarkStart w:id="117" w:name="page118"/>
    <w:bookmarkEnd w:id="117"/>
    <w:p>
      <w:pPr>
        <w:jc w:val="both"/>
        <w:ind w:firstLine="568"/>
        <w:spacing w:after="0" w:line="264" w:lineRule="auto"/>
        <w:rPr>
          <w:sz w:val="20"/>
          <w:szCs w:val="20"/>
          <w:color w:val="auto"/>
        </w:rPr>
      </w:pPr>
      <w:r>
        <w:rPr>
          <w:rFonts w:ascii="Arial" w:cs="Arial" w:eastAsia="Arial" w:hAnsi="Arial"/>
          <w:sz w:val="19"/>
          <w:szCs w:val="19"/>
          <w:color w:val="auto"/>
        </w:rPr>
        <w:t>The number of shares that may be issued under the Plan is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 reserved shares and will again be available for grant under the Plan. As of February 26, 2021, we had an aggregate of 929,415 ordinary shares available for issuance under the Plan (including ordinary shares underlying outstanding options and restricted share units).</w:t>
      </w:r>
    </w:p>
    <w:p>
      <w:pPr>
        <w:spacing w:after="0" w:line="214" w:lineRule="exact"/>
        <w:rPr>
          <w:sz w:val="20"/>
          <w:szCs w:val="20"/>
          <w:color w:val="auto"/>
        </w:rPr>
      </w:pPr>
    </w:p>
    <w:p>
      <w:pPr>
        <w:jc w:val="both"/>
        <w:ind w:right="20" w:firstLine="568"/>
        <w:spacing w:after="0" w:line="265" w:lineRule="auto"/>
        <w:rPr>
          <w:sz w:val="20"/>
          <w:szCs w:val="20"/>
          <w:color w:val="auto"/>
        </w:rPr>
      </w:pPr>
      <w:r>
        <w:rPr>
          <w:rFonts w:ascii="Arial" w:cs="Arial" w:eastAsia="Arial" w:hAnsi="Arial"/>
          <w:sz w:val="19"/>
          <w:szCs w:val="19"/>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213"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193"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w:t>
      </w:r>
    </w:p>
    <w:p>
      <w:pPr>
        <w:spacing w:after="0" w:line="200"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In addition, any options granted under the Plan to participants in the United States will be either “incentive stock options,” which may be eligible for special tax treatment under the Code, or options other than incentive stock options (referred to as “nonqualified stock options” under the Plan). The type of option granted under the Plan and specific terms and conditions are, in each case, determined by our compensation committee or our board of directors and set forth in the applicable option agreement.</w:t>
      </w:r>
    </w:p>
    <w:p>
      <w:pPr>
        <w:spacing w:after="0" w:line="210"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9" w:right="319" w:bottom="1440" w:gutter="0" w:footer="0" w:header="0"/>
        </w:sectPr>
      </w:pPr>
    </w:p>
    <w:bookmarkStart w:id="118" w:name="page119"/>
    <w:bookmarkEnd w:id="118"/>
    <w:p>
      <w:pPr>
        <w:jc w:val="both"/>
        <w:ind w:left="5" w:right="20" w:firstLine="568"/>
        <w:spacing w:after="0" w:line="282" w:lineRule="auto"/>
        <w:rPr>
          <w:sz w:val="20"/>
          <w:szCs w:val="20"/>
          <w:color w:val="auto"/>
        </w:rPr>
      </w:pPr>
      <w:r>
        <w:rPr>
          <w:rFonts w:ascii="Arial" w:cs="Arial" w:eastAsia="Arial" w:hAnsi="Arial"/>
          <w:sz w:val="18"/>
          <w:szCs w:val="18"/>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196" w:lineRule="exact"/>
        <w:rPr>
          <w:sz w:val="20"/>
          <w:szCs w:val="20"/>
          <w:color w:val="auto"/>
        </w:rPr>
      </w:pPr>
    </w:p>
    <w:p>
      <w:pPr>
        <w:jc w:val="both"/>
        <w:ind w:left="5" w:firstLine="568"/>
        <w:spacing w:after="0" w:line="299" w:lineRule="auto"/>
        <w:rPr>
          <w:sz w:val="20"/>
          <w:szCs w:val="20"/>
          <w:color w:val="auto"/>
        </w:rPr>
      </w:pPr>
      <w:r>
        <w:rPr>
          <w:rFonts w:ascii="Arial" w:cs="Arial" w:eastAsia="Arial" w:hAnsi="Arial"/>
          <w:sz w:val="17"/>
          <w:szCs w:val="17"/>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188" w:lineRule="exact"/>
        <w:rPr>
          <w:sz w:val="20"/>
          <w:szCs w:val="20"/>
          <w:color w:val="auto"/>
        </w:rPr>
      </w:pPr>
    </w:p>
    <w:p>
      <w:pPr>
        <w:jc w:val="both"/>
        <w:ind w:left="5" w:right="20" w:firstLine="566"/>
        <w:spacing w:after="0" w:line="271" w:lineRule="auto"/>
        <w:rPr>
          <w:sz w:val="20"/>
          <w:szCs w:val="20"/>
          <w:color w:val="auto"/>
        </w:rPr>
      </w:pPr>
      <w:r>
        <w:rPr>
          <w:rFonts w:ascii="Arial" w:cs="Arial" w:eastAsia="Arial" w:hAnsi="Arial"/>
          <w:sz w:val="19"/>
          <w:szCs w:val="19"/>
          <w:color w:val="auto"/>
        </w:rPr>
        <w:t>Any equity award to an office holder, director or controlling shareholder, whether under the Plan or otherwise, may be subject to further approvals in addition to the approval of the compensation committee as described above. As of December 31, 2020, options to purchase 1,199,469 ordinary shares, at a weighted average exercise price of $5.08 per share, were outstanding under our Plan.</w:t>
      </w:r>
    </w:p>
    <w:p>
      <w:pPr>
        <w:spacing w:after="0" w:line="200" w:lineRule="exact"/>
        <w:rPr>
          <w:sz w:val="20"/>
          <w:szCs w:val="20"/>
          <w:color w:val="auto"/>
        </w:rPr>
      </w:pPr>
    </w:p>
    <w:p>
      <w:pPr>
        <w:ind w:left="5"/>
        <w:spacing w:after="0"/>
        <w:tabs>
          <w:tab w:leader="none" w:pos="1145" w:val="left"/>
        </w:tabs>
        <w:rPr>
          <w:sz w:val="20"/>
          <w:szCs w:val="20"/>
          <w:color w:val="auto"/>
        </w:rPr>
      </w:pPr>
      <w:r>
        <w:rPr>
          <w:rFonts w:ascii="Arial" w:cs="Arial" w:eastAsia="Arial" w:hAnsi="Arial"/>
          <w:sz w:val="19"/>
          <w:szCs w:val="19"/>
          <w:b w:val="1"/>
          <w:bCs w:val="1"/>
          <w:color w:val="auto"/>
        </w:rPr>
        <w:t>ITEM 7.</w:t>
      </w:r>
      <w:r>
        <w:rPr>
          <w:sz w:val="20"/>
          <w:szCs w:val="20"/>
          <w:color w:val="auto"/>
        </w:rPr>
        <w:tab/>
      </w:r>
      <w:r>
        <w:rPr>
          <w:rFonts w:ascii="Arial" w:cs="Arial" w:eastAsia="Arial" w:hAnsi="Arial"/>
          <w:sz w:val="18"/>
          <w:szCs w:val="18"/>
          <w:b w:val="1"/>
          <w:bCs w:val="1"/>
          <w:color w:val="auto"/>
        </w:rPr>
        <w:t>MAJOR SHAREHOLDERS AND RELATED PARTY TRANSACTIONS</w:t>
      </w:r>
    </w:p>
    <w:p>
      <w:pPr>
        <w:spacing w:after="0" w:line="255" w:lineRule="exact"/>
        <w:rPr>
          <w:sz w:val="20"/>
          <w:szCs w:val="20"/>
          <w:color w:val="auto"/>
        </w:rPr>
      </w:pPr>
    </w:p>
    <w:p>
      <w:pPr>
        <w:ind w:left="665" w:hanging="665"/>
        <w:spacing w:after="0"/>
        <w:tabs>
          <w:tab w:leader="none" w:pos="665" w:val="left"/>
        </w:tabs>
        <w:numPr>
          <w:ilvl w:val="0"/>
          <w:numId w:val="103"/>
        </w:numPr>
        <w:rPr>
          <w:rFonts w:ascii="Arial" w:cs="Arial" w:eastAsia="Arial" w:hAnsi="Arial"/>
          <w:sz w:val="19"/>
          <w:szCs w:val="19"/>
          <w:b w:val="1"/>
          <w:bCs w:val="1"/>
          <w:color w:val="auto"/>
        </w:rPr>
      </w:pPr>
      <w:r>
        <w:rPr>
          <w:rFonts w:ascii="Arial" w:cs="Arial" w:eastAsia="Arial" w:hAnsi="Arial"/>
          <w:sz w:val="19"/>
          <w:szCs w:val="19"/>
          <w:b w:val="1"/>
          <w:bCs w:val="1"/>
          <w:color w:val="auto"/>
        </w:rPr>
        <w:t>Major Shareholders</w:t>
      </w:r>
    </w:p>
    <w:p>
      <w:pPr>
        <w:spacing w:after="0" w:line="261" w:lineRule="exact"/>
        <w:rPr>
          <w:sz w:val="20"/>
          <w:szCs w:val="20"/>
          <w:color w:val="auto"/>
        </w:rPr>
      </w:pPr>
    </w:p>
    <w:p>
      <w:pPr>
        <w:jc w:val="center"/>
        <w:ind w:right="15"/>
        <w:spacing w:after="0"/>
        <w:rPr>
          <w:sz w:val="20"/>
          <w:szCs w:val="20"/>
          <w:color w:val="auto"/>
        </w:rPr>
      </w:pPr>
      <w:r>
        <w:rPr>
          <w:rFonts w:ascii="Arial" w:cs="Arial" w:eastAsia="Arial" w:hAnsi="Arial"/>
          <w:sz w:val="19"/>
          <w:szCs w:val="19"/>
          <w:color w:val="auto"/>
        </w:rPr>
        <w:t>The following table sets forth information with respect to the beneficial ownership of our ordinary shares as of February 26, 2021 by:</w:t>
      </w:r>
    </w:p>
    <w:p>
      <w:pPr>
        <w:spacing w:after="0" w:line="249" w:lineRule="exact"/>
        <w:rPr>
          <w:sz w:val="20"/>
          <w:szCs w:val="20"/>
          <w:color w:val="auto"/>
        </w:rPr>
      </w:pPr>
    </w:p>
    <w:p>
      <w:pPr>
        <w:ind w:left="745" w:hanging="426"/>
        <w:spacing w:after="0"/>
        <w:tabs>
          <w:tab w:leader="none" w:pos="745" w:val="left"/>
        </w:tabs>
        <w:numPr>
          <w:ilvl w:val="0"/>
          <w:numId w:val="104"/>
        </w:numPr>
        <w:rPr>
          <w:rFonts w:ascii="Arial" w:cs="Arial" w:eastAsia="Arial" w:hAnsi="Arial"/>
          <w:sz w:val="16"/>
          <w:szCs w:val="16"/>
          <w:color w:val="auto"/>
        </w:rPr>
      </w:pPr>
      <w:r>
        <w:rPr>
          <w:rFonts w:ascii="Arial" w:cs="Arial" w:eastAsia="Arial" w:hAnsi="Arial"/>
          <w:sz w:val="16"/>
          <w:szCs w:val="16"/>
          <w:color w:val="auto"/>
        </w:rPr>
        <w:t>each person or entity known by us to own beneficially 5% or more of our outstanding ordinary shares;</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104"/>
        </w:numPr>
        <w:rPr>
          <w:rFonts w:ascii="Arial" w:cs="Arial" w:eastAsia="Arial" w:hAnsi="Arial"/>
          <w:sz w:val="16"/>
          <w:szCs w:val="16"/>
          <w:color w:val="auto"/>
        </w:rPr>
      </w:pPr>
      <w:r>
        <w:rPr>
          <w:rFonts w:ascii="Arial" w:cs="Arial" w:eastAsia="Arial" w:hAnsi="Arial"/>
          <w:sz w:val="16"/>
          <w:szCs w:val="16"/>
          <w:color w:val="auto"/>
        </w:rPr>
        <w:t>each of our directors, executive officers and director nominees; and</w:t>
      </w:r>
    </w:p>
    <w:p>
      <w:pPr>
        <w:spacing w:after="0" w:line="241" w:lineRule="exact"/>
        <w:rPr>
          <w:rFonts w:ascii="Arial" w:cs="Arial" w:eastAsia="Arial" w:hAnsi="Arial"/>
          <w:sz w:val="16"/>
          <w:szCs w:val="16"/>
          <w:color w:val="auto"/>
        </w:rPr>
      </w:pPr>
    </w:p>
    <w:p>
      <w:pPr>
        <w:ind w:left="745" w:hanging="426"/>
        <w:spacing w:after="0"/>
        <w:tabs>
          <w:tab w:leader="none" w:pos="745" w:val="left"/>
        </w:tabs>
        <w:numPr>
          <w:ilvl w:val="0"/>
          <w:numId w:val="104"/>
        </w:numPr>
        <w:rPr>
          <w:rFonts w:ascii="Arial" w:cs="Arial" w:eastAsia="Arial" w:hAnsi="Arial"/>
          <w:sz w:val="16"/>
          <w:szCs w:val="16"/>
          <w:color w:val="auto"/>
        </w:rPr>
      </w:pPr>
      <w:r>
        <w:rPr>
          <w:rFonts w:ascii="Arial" w:cs="Arial" w:eastAsia="Arial" w:hAnsi="Arial"/>
          <w:sz w:val="16"/>
          <w:szCs w:val="16"/>
          <w:color w:val="auto"/>
        </w:rPr>
        <w:t>all of our executive officers, directors and director nominees as a group.</w:t>
      </w:r>
    </w:p>
    <w:p>
      <w:pPr>
        <w:spacing w:after="0" w:line="247" w:lineRule="exact"/>
        <w:rPr>
          <w:sz w:val="20"/>
          <w:szCs w:val="20"/>
          <w:color w:val="auto"/>
        </w:rPr>
      </w:pPr>
    </w:p>
    <w:p>
      <w:pPr>
        <w:jc w:val="both"/>
        <w:ind w:left="5" w:firstLine="568"/>
        <w:spacing w:after="0" w:line="299" w:lineRule="auto"/>
        <w:rPr>
          <w:sz w:val="20"/>
          <w:szCs w:val="20"/>
          <w:color w:val="auto"/>
        </w:rPr>
      </w:pPr>
      <w:r>
        <w:rPr>
          <w:rFonts w:ascii="Arial" w:cs="Arial" w:eastAsia="Arial" w:hAnsi="Arial"/>
          <w:sz w:val="17"/>
          <w:szCs w:val="17"/>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February 26, 2021,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is based on 23,000,782 ordinary shares outstanding as of February 26, 2021.</w:t>
      </w:r>
    </w:p>
    <w:p>
      <w:pPr>
        <w:spacing w:after="0" w:line="188"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Except where otherwise indicated, we believe, based on information furnished to us by such owners, that the beneficial owners of the ordinary shares listed below have sole investment and voting power with respect to such shares.</w:t>
      </w:r>
    </w:p>
    <w:p>
      <w:pPr>
        <w:spacing w:after="0" w:line="33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19" w:name="page120"/>
    <w:bookmarkEnd w:id="119"/>
    <w:p>
      <w:pPr>
        <w:ind w:left="5" w:right="20" w:firstLine="568"/>
        <w:spacing w:after="0" w:line="284" w:lineRule="auto"/>
        <w:rPr>
          <w:sz w:val="20"/>
          <w:szCs w:val="20"/>
          <w:color w:val="auto"/>
        </w:rPr>
      </w:pPr>
      <w:r>
        <w:rPr>
          <w:rFonts w:ascii="Arial" w:cs="Arial" w:eastAsia="Arial" w:hAnsi="Arial"/>
          <w:sz w:val="19"/>
          <w:szCs w:val="19"/>
          <w:color w:val="auto"/>
        </w:rPr>
        <w:t>None of our shareholders has different voting rights from other shareholders. We are not aware of any arrangement that may, at a subsequent date, result in a change of control of our company.</w:t>
      </w:r>
    </w:p>
    <w:p>
      <w:pPr>
        <w:spacing w:after="0" w:line="193" w:lineRule="exact"/>
        <w:rPr>
          <w:sz w:val="20"/>
          <w:szCs w:val="20"/>
          <w:color w:val="auto"/>
        </w:rPr>
      </w:pPr>
    </w:p>
    <w:p>
      <w:pPr>
        <w:ind w:left="5" w:right="20" w:firstLine="568"/>
        <w:spacing w:after="0" w:line="284" w:lineRule="auto"/>
        <w:rPr>
          <w:sz w:val="20"/>
          <w:szCs w:val="20"/>
          <w:color w:val="auto"/>
        </w:rPr>
      </w:pPr>
      <w:r>
        <w:rPr>
          <w:rFonts w:ascii="Arial" w:cs="Arial" w:eastAsia="Arial" w:hAnsi="Arial"/>
          <w:sz w:val="19"/>
          <w:szCs w:val="19"/>
          <w:color w:val="auto"/>
        </w:rPr>
        <w:t>Unless otherwise noted below, the address for each beneficial owner is c/o Sol-Gel Technologies Ltd., 7 Golda Meir St., Weizmann Science Park, Ness Ziona, 7403650 Israel.</w:t>
      </w:r>
    </w:p>
    <w:p>
      <w:pPr>
        <w:spacing w:after="0" w:line="183" w:lineRule="exact"/>
        <w:rPr>
          <w:sz w:val="20"/>
          <w:szCs w:val="20"/>
          <w:color w:val="auto"/>
        </w:rPr>
      </w:pPr>
    </w:p>
    <w:tbl>
      <w:tblPr>
        <w:tblLayout w:type="fixed"/>
        <w:tblInd w:w="5" w:type="dxa"/>
        <w:tblCellMar>
          <w:top w:w="0" w:type="dxa"/>
          <w:left w:w="0" w:type="dxa"/>
          <w:bottom w:w="0" w:type="dxa"/>
          <w:right w:w="0" w:type="dxa"/>
        </w:tblCellMar>
      </w:tblPr>
      <w:tr>
        <w:trPr>
          <w:trHeight w:val="189"/>
        </w:trPr>
        <w:tc>
          <w:tcPr>
            <w:tcW w:w="20" w:type="dxa"/>
            <w:vAlign w:val="bottom"/>
          </w:tcPr>
          <w:p>
            <w:pPr>
              <w:spacing w:after="0"/>
              <w:rPr>
                <w:sz w:val="16"/>
                <w:szCs w:val="16"/>
                <w:color w:val="auto"/>
              </w:rPr>
            </w:pPr>
          </w:p>
        </w:tc>
        <w:tc>
          <w:tcPr>
            <w:tcW w:w="8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580" w:type="dxa"/>
            <w:vAlign w:val="bottom"/>
            <w:gridSpan w:val="4"/>
          </w:tcPr>
          <w:p>
            <w:pPr>
              <w:jc w:val="right"/>
              <w:ind w:right="720"/>
              <w:spacing w:after="0"/>
              <w:rPr>
                <w:sz w:val="20"/>
                <w:szCs w:val="20"/>
                <w:color w:val="auto"/>
              </w:rPr>
            </w:pPr>
            <w:r>
              <w:rPr>
                <w:rFonts w:ascii="Arial" w:cs="Arial" w:eastAsia="Arial" w:hAnsi="Arial"/>
                <w:sz w:val="16"/>
                <w:szCs w:val="16"/>
                <w:b w:val="1"/>
                <w:bCs w:val="1"/>
                <w:color w:val="auto"/>
              </w:rPr>
              <w:t>Shares Beneficially</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8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80" w:type="dxa"/>
            <w:vAlign w:val="bottom"/>
            <w:gridSpan w:val="4"/>
          </w:tcPr>
          <w:p>
            <w:pPr>
              <w:jc w:val="right"/>
              <w:ind w:right="1120"/>
              <w:spacing w:after="0"/>
              <w:rPr>
                <w:sz w:val="20"/>
                <w:szCs w:val="20"/>
                <w:color w:val="auto"/>
              </w:rPr>
            </w:pPr>
            <w:r>
              <w:rPr>
                <w:rFonts w:ascii="Arial" w:cs="Arial" w:eastAsia="Arial" w:hAnsi="Arial"/>
                <w:sz w:val="16"/>
                <w:szCs w:val="16"/>
                <w:b w:val="1"/>
                <w:bCs w:val="1"/>
                <w:color w:val="auto"/>
              </w:rPr>
              <w:t>Owned</w:t>
            </w:r>
          </w:p>
        </w:tc>
        <w:tc>
          <w:tcPr>
            <w:tcW w:w="0" w:type="dxa"/>
            <w:vAlign w:val="bottom"/>
          </w:tcPr>
          <w:p>
            <w:pPr>
              <w:spacing w:after="0"/>
              <w:rPr>
                <w:sz w:val="1"/>
                <w:szCs w:val="1"/>
                <w:color w:val="auto"/>
              </w:rPr>
            </w:pPr>
          </w:p>
        </w:tc>
      </w:tr>
      <w:tr>
        <w:trPr>
          <w:trHeight w:val="193"/>
        </w:trPr>
        <w:tc>
          <w:tcPr>
            <w:tcW w:w="8560" w:type="dxa"/>
            <w:vAlign w:val="bottom"/>
            <w:gridSpan w:val="2"/>
          </w:tcPr>
          <w:p>
            <w:pPr>
              <w:spacing w:after="0"/>
              <w:rPr>
                <w:sz w:val="20"/>
                <w:szCs w:val="20"/>
                <w:color w:val="auto"/>
              </w:rPr>
            </w:pPr>
            <w:r>
              <w:rPr>
                <w:rFonts w:ascii="Arial" w:cs="Arial" w:eastAsia="Arial" w:hAnsi="Arial"/>
                <w:sz w:val="16"/>
                <w:szCs w:val="16"/>
                <w:b w:val="1"/>
                <w:bCs w:val="1"/>
                <w:color w:val="auto"/>
              </w:rPr>
              <w:t>Name of Beneficial Owner</w:t>
            </w:r>
          </w:p>
        </w:tc>
        <w:tc>
          <w:tcPr>
            <w:tcW w:w="120" w:type="dxa"/>
            <w:vAlign w:val="bottom"/>
          </w:tcPr>
          <w:p>
            <w:pPr>
              <w:spacing w:after="0"/>
              <w:rPr>
                <w:sz w:val="16"/>
                <w:szCs w:val="16"/>
                <w:color w:val="auto"/>
              </w:rPr>
            </w:pPr>
          </w:p>
        </w:tc>
        <w:tc>
          <w:tcPr>
            <w:tcW w:w="1320" w:type="dxa"/>
            <w:vAlign w:val="bottom"/>
            <w:tcBorders>
              <w:top w:val="single" w:sz="8" w:color="auto"/>
            </w:tcBorders>
            <w:gridSpan w:val="2"/>
          </w:tcPr>
          <w:p>
            <w:pPr>
              <w:spacing w:after="0"/>
              <w:rPr>
                <w:sz w:val="20"/>
                <w:szCs w:val="20"/>
                <w:color w:val="auto"/>
              </w:rPr>
            </w:pPr>
            <w:r>
              <w:rPr>
                <w:rFonts w:ascii="Arial" w:cs="Arial" w:eastAsia="Arial" w:hAnsi="Arial"/>
                <w:sz w:val="16"/>
                <w:szCs w:val="16"/>
                <w:b w:val="1"/>
                <w:bCs w:val="1"/>
                <w:color w:val="auto"/>
              </w:rPr>
              <w:t>Number</w:t>
            </w:r>
          </w:p>
        </w:tc>
        <w:tc>
          <w:tcPr>
            <w:tcW w:w="1120" w:type="dxa"/>
            <w:vAlign w:val="bottom"/>
            <w:tcBorders>
              <w:top w:val="single" w:sz="8" w:color="auto"/>
            </w:tcBorders>
          </w:tcPr>
          <w:p>
            <w:pPr>
              <w:jc w:val="right"/>
              <w:ind w:right="301"/>
              <w:spacing w:after="0"/>
              <w:rPr>
                <w:sz w:val="20"/>
                <w:szCs w:val="20"/>
                <w:color w:val="auto"/>
              </w:rPr>
            </w:pPr>
            <w:r>
              <w:rPr>
                <w:rFonts w:ascii="Arial" w:cs="Arial" w:eastAsia="Arial" w:hAnsi="Arial"/>
                <w:sz w:val="16"/>
                <w:szCs w:val="16"/>
                <w:b w:val="1"/>
                <w:bCs w:val="1"/>
                <w:color w:val="auto"/>
                <w:w w:val="83"/>
              </w:rPr>
              <w:t>Percentage</w:t>
            </w: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6"/>
                <w:szCs w:val="16"/>
                <w:b w:val="1"/>
                <w:bCs w:val="1"/>
                <w:i w:val="1"/>
                <w:iCs w:val="1"/>
                <w:color w:val="auto"/>
              </w:rPr>
              <w:t>5% or greater shareholders</w:t>
            </w:r>
          </w:p>
        </w:tc>
        <w:tc>
          <w:tcPr>
            <w:tcW w:w="120" w:type="dxa"/>
            <w:vAlign w:val="bottom"/>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tcBorders>
              <w:top w:val="single" w:sz="8" w:color="auto"/>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M. Arkin Dermatology Ltd. (1)</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14,432,266</w:t>
            </w:r>
          </w:p>
        </w:tc>
        <w:tc>
          <w:tcPr>
            <w:tcW w:w="220" w:type="dxa"/>
            <w:vAlign w:val="bottom"/>
          </w:tcPr>
          <w:p>
            <w:pPr>
              <w:spacing w:after="0"/>
              <w:rPr>
                <w:sz w:val="16"/>
                <w:szCs w:val="16"/>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62.75%</w:t>
            </w: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854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The Phoenix Holding Ltd. (2)</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2,672,944</w:t>
            </w:r>
          </w:p>
        </w:tc>
        <w:tc>
          <w:tcPr>
            <w:tcW w:w="220" w:type="dxa"/>
            <w:vAlign w:val="bottom"/>
          </w:tcPr>
          <w:p>
            <w:pPr>
              <w:spacing w:after="0"/>
              <w:rPr>
                <w:sz w:val="16"/>
                <w:szCs w:val="16"/>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11.62%</w:t>
            </w: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85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b w:val="1"/>
                <w:bCs w:val="1"/>
                <w:i w:val="1"/>
                <w:iCs w:val="1"/>
                <w:color w:val="auto"/>
              </w:rPr>
              <w:t>Directors, director nominees and executive officers</w:t>
            </w:r>
          </w:p>
        </w:tc>
        <w:tc>
          <w:tcPr>
            <w:tcW w:w="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Moshe Arkin (1)</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14,518,266</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63.12%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Alon Seri-Levy (3)</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285,188</w:t>
            </w:r>
          </w:p>
        </w:tc>
        <w:tc>
          <w:tcPr>
            <w:tcW w:w="220" w:type="dxa"/>
            <w:vAlign w:val="bottom"/>
          </w:tcPr>
          <w:p>
            <w:pPr>
              <w:spacing w:after="0"/>
              <w:rPr>
                <w:sz w:val="16"/>
                <w:szCs w:val="16"/>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1.23%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Gilad Mamlok</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Ofer Toledano</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Ofra Levy-Hacham</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Karine Neimann</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Itzik Yosef</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Dubi Zamir</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Nissim Bilman</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John Vieira</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Itai Arkin</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Ran Gottfried</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Jerrold S. Gattegno</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Shmuel Ben Zvi</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Hani Lerman</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color w:val="auto"/>
              </w:rPr>
              <w:t>Yaffa Krindel Sieradzki</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Jonathan Siegel</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6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540" w:type="dxa"/>
            <w:vAlign w:val="bottom"/>
          </w:tcPr>
          <w:p>
            <w:pPr>
              <w:spacing w:after="0"/>
              <w:rPr>
                <w:sz w:val="20"/>
                <w:szCs w:val="20"/>
                <w:color w:val="auto"/>
              </w:rPr>
            </w:pPr>
            <w:r>
              <w:rPr>
                <w:rFonts w:ascii="Arial" w:cs="Arial" w:eastAsia="Arial" w:hAnsi="Arial"/>
                <w:sz w:val="16"/>
                <w:szCs w:val="16"/>
                <w:b w:val="1"/>
                <w:bCs w:val="1"/>
                <w:i w:val="1"/>
                <w:iCs w:val="1"/>
                <w:color w:val="auto"/>
              </w:rPr>
              <w:t>All directors, director nominees and executive officers as a group (17 persons) (1)</w:t>
            </w:r>
          </w:p>
        </w:tc>
        <w:tc>
          <w:tcPr>
            <w:tcW w:w="1220" w:type="dxa"/>
            <w:vAlign w:val="bottom"/>
            <w:gridSpan w:val="2"/>
          </w:tcPr>
          <w:p>
            <w:pPr>
              <w:jc w:val="right"/>
              <w:spacing w:after="0"/>
              <w:rPr>
                <w:sz w:val="20"/>
                <w:szCs w:val="20"/>
                <w:color w:val="auto"/>
              </w:rPr>
            </w:pPr>
            <w:r>
              <w:rPr>
                <w:rFonts w:ascii="Arial" w:cs="Arial" w:eastAsia="Arial" w:hAnsi="Arial"/>
                <w:sz w:val="16"/>
                <w:szCs w:val="16"/>
                <w:color w:val="auto"/>
              </w:rPr>
              <w:t>15,292,379</w:t>
            </w:r>
          </w:p>
        </w:tc>
        <w:tc>
          <w:tcPr>
            <w:tcW w:w="220" w:type="dxa"/>
            <w:vAlign w:val="bottom"/>
          </w:tcPr>
          <w:p>
            <w:pPr>
              <w:spacing w:after="0"/>
              <w:rPr>
                <w:sz w:val="16"/>
                <w:szCs w:val="16"/>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64.49%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120015</wp:posOffset>
            </wp:positionV>
            <wp:extent cx="600710" cy="762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600710" cy="7620"/>
                    </a:xfrm>
                    <a:prstGeom prst="rect">
                      <a:avLst/>
                    </a:prstGeom>
                    <a:noFill/>
                  </pic:spPr>
                </pic:pic>
              </a:graphicData>
            </a:graphic>
          </wp:anchor>
        </w:drawing>
      </w:r>
    </w:p>
    <w:p>
      <w:pPr>
        <w:spacing w:after="0" w:line="204" w:lineRule="exact"/>
        <w:rPr>
          <w:sz w:val="20"/>
          <w:szCs w:val="20"/>
          <w:color w:val="auto"/>
        </w:rPr>
      </w:pPr>
    </w:p>
    <w:p>
      <w:pPr>
        <w:ind w:left="425" w:hanging="425"/>
        <w:spacing w:after="0"/>
        <w:tabs>
          <w:tab w:leader="none" w:pos="425" w:val="left"/>
        </w:tabs>
        <w:numPr>
          <w:ilvl w:val="0"/>
          <w:numId w:val="105"/>
        </w:numPr>
        <w:rPr>
          <w:rFonts w:ascii="Arial" w:cs="Arial" w:eastAsia="Arial" w:hAnsi="Arial"/>
          <w:sz w:val="16"/>
          <w:szCs w:val="16"/>
          <w:color w:val="auto"/>
        </w:rPr>
      </w:pPr>
      <w:r>
        <w:rPr>
          <w:rFonts w:ascii="Arial" w:cs="Arial" w:eastAsia="Arial" w:hAnsi="Arial"/>
          <w:sz w:val="16"/>
          <w:szCs w:val="16"/>
          <w:color w:val="auto"/>
        </w:rPr>
        <w:t>Less than 1%.</w:t>
      </w:r>
    </w:p>
    <w:p>
      <w:pPr>
        <w:spacing w:after="0" w:line="241" w:lineRule="exact"/>
        <w:rPr>
          <w:rFonts w:ascii="Arial" w:cs="Arial" w:eastAsia="Arial" w:hAnsi="Arial"/>
          <w:sz w:val="16"/>
          <w:szCs w:val="16"/>
          <w:color w:val="auto"/>
        </w:rPr>
      </w:pPr>
    </w:p>
    <w:p>
      <w:pPr>
        <w:jc w:val="both"/>
        <w:ind w:left="745" w:right="20" w:hanging="426"/>
        <w:spacing w:after="0" w:line="282" w:lineRule="auto"/>
        <w:tabs>
          <w:tab w:leader="none" w:pos="745" w:val="left"/>
        </w:tabs>
        <w:numPr>
          <w:ilvl w:val="1"/>
          <w:numId w:val="105"/>
        </w:numPr>
        <w:rPr>
          <w:rFonts w:ascii="Arial" w:cs="Arial" w:eastAsia="Arial" w:hAnsi="Arial"/>
          <w:sz w:val="15"/>
          <w:szCs w:val="15"/>
          <w:color w:val="auto"/>
        </w:rPr>
      </w:pPr>
      <w:r>
        <w:rPr>
          <w:rFonts w:ascii="Arial" w:cs="Arial" w:eastAsia="Arial" w:hAnsi="Arial"/>
          <w:sz w:val="15"/>
          <w:szCs w:val="15"/>
          <w:color w:val="auto"/>
        </w:rPr>
        <w:t>Based on the Schedule 13D/A filed with the SEC on April 20, 2020, Arkin Dermatology directly owns 14,432,266 ordinary shares. Mr. Moshe Arkin, the chairman of our board of directors, is the sole shareholder and sole director of Arkin Dermatology and may therefore be deemed to be the indirect beneficial owner of the ordinary shares owned directly by Arkin Dermatology. In addition, Mr. Moshe Arkin directly owns 86,000 ordinary shares.</w:t>
      </w:r>
    </w:p>
    <w:p>
      <w:pPr>
        <w:spacing w:after="0" w:line="196" w:lineRule="exact"/>
        <w:rPr>
          <w:rFonts w:ascii="Arial" w:cs="Arial" w:eastAsia="Arial" w:hAnsi="Arial"/>
          <w:sz w:val="15"/>
          <w:szCs w:val="15"/>
          <w:color w:val="auto"/>
        </w:rPr>
      </w:pPr>
    </w:p>
    <w:p>
      <w:pPr>
        <w:jc w:val="both"/>
        <w:ind w:left="745" w:right="20" w:hanging="426"/>
        <w:spacing w:after="0" w:line="276" w:lineRule="auto"/>
        <w:tabs>
          <w:tab w:leader="none" w:pos="745" w:val="left"/>
        </w:tabs>
        <w:numPr>
          <w:ilvl w:val="1"/>
          <w:numId w:val="105"/>
        </w:numPr>
        <w:rPr>
          <w:rFonts w:ascii="Arial" w:cs="Arial" w:eastAsia="Arial" w:hAnsi="Arial"/>
          <w:sz w:val="15"/>
          <w:szCs w:val="15"/>
          <w:color w:val="auto"/>
        </w:rPr>
      </w:pPr>
      <w:r>
        <w:rPr>
          <w:rFonts w:ascii="Arial" w:cs="Arial" w:eastAsia="Arial" w:hAnsi="Arial"/>
          <w:sz w:val="15"/>
          <w:szCs w:val="15"/>
          <w:color w:val="auto"/>
        </w:rPr>
        <w:t>Based on the Schedule 13G/A filed with the SEC on February 11, 2021, the ordinary shares are beneficially owned by various direct or indirect, majority or wholly-owned subsidiaries of the Phoenix Holding Ltd., or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w:t>
      </w:r>
    </w:p>
    <w:p>
      <w:pPr>
        <w:spacing w:after="0" w:line="199" w:lineRule="exact"/>
        <w:rPr>
          <w:rFonts w:ascii="Arial" w:cs="Arial" w:eastAsia="Arial" w:hAnsi="Arial"/>
          <w:sz w:val="15"/>
          <w:szCs w:val="15"/>
          <w:color w:val="auto"/>
        </w:rPr>
      </w:pPr>
    </w:p>
    <w:p>
      <w:pPr>
        <w:ind w:left="745" w:right="20" w:hanging="426"/>
        <w:spacing w:after="0" w:line="268" w:lineRule="auto"/>
        <w:tabs>
          <w:tab w:leader="none" w:pos="745" w:val="left"/>
        </w:tabs>
        <w:numPr>
          <w:ilvl w:val="1"/>
          <w:numId w:val="105"/>
        </w:numPr>
        <w:rPr>
          <w:rFonts w:ascii="Arial" w:cs="Arial" w:eastAsia="Arial" w:hAnsi="Arial"/>
          <w:sz w:val="16"/>
          <w:szCs w:val="16"/>
          <w:color w:val="auto"/>
        </w:rPr>
      </w:pPr>
      <w:r>
        <w:rPr>
          <w:rFonts w:ascii="Arial" w:cs="Arial" w:eastAsia="Arial" w:hAnsi="Arial"/>
          <w:sz w:val="16"/>
          <w:szCs w:val="16"/>
          <w:color w:val="auto"/>
        </w:rPr>
        <w:t>Consists of options to purchase 285,188 ordinary shares exercisable within 60 days of February 26, 2021. The exercise price of these options ranges between $1.59 and $11.21 per share and the options expire between March 2025 and May 2028.</w:t>
      </w:r>
    </w:p>
    <w:p>
      <w:pPr>
        <w:spacing w:after="0" w:line="351"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20" w:name="page121"/>
    <w:bookmarkEnd w:id="120"/>
    <w:p>
      <w:pPr>
        <w:ind w:left="5"/>
        <w:spacing w:after="0"/>
        <w:rPr>
          <w:sz w:val="20"/>
          <w:szCs w:val="20"/>
          <w:color w:val="auto"/>
        </w:rPr>
      </w:pPr>
      <w:r>
        <w:rPr>
          <w:rFonts w:ascii="Arial" w:cs="Arial" w:eastAsia="Arial" w:hAnsi="Arial"/>
          <w:sz w:val="19"/>
          <w:szCs w:val="19"/>
          <w:i w:val="1"/>
          <w:iCs w:val="1"/>
          <w:color w:val="auto"/>
        </w:rPr>
        <w:t>Record Holders</w:t>
      </w:r>
    </w:p>
    <w:p>
      <w:pPr>
        <w:spacing w:after="0" w:line="255" w:lineRule="exact"/>
        <w:rPr>
          <w:sz w:val="20"/>
          <w:szCs w:val="20"/>
          <w:color w:val="auto"/>
        </w:rPr>
      </w:pPr>
    </w:p>
    <w:p>
      <w:pPr>
        <w:jc w:val="both"/>
        <w:ind w:left="5" w:firstLine="568"/>
        <w:spacing w:after="0" w:line="308" w:lineRule="auto"/>
        <w:rPr>
          <w:sz w:val="20"/>
          <w:szCs w:val="20"/>
          <w:color w:val="auto"/>
        </w:rPr>
      </w:pPr>
      <w:r>
        <w:rPr>
          <w:rFonts w:ascii="Arial" w:cs="Arial" w:eastAsia="Arial" w:hAnsi="Arial"/>
          <w:sz w:val="17"/>
          <w:szCs w:val="17"/>
          <w:color w:val="auto"/>
        </w:rPr>
        <w:t>As of February 26, 2021, we had one holder of record of our ordinary shares in the United States, consisting of Cede &amp; Co., the nominee of The Depository Trust Company. That shareholder held, in the aggregate, 10,811,084 ordinary shares, representing 47.0% of the outstanding ordinary shares as of February 26, 2021. The number of record holders in the United States is not representative of the number of beneficial holders nor is it representative of where such beneficial holders are resident since many of these ordinary shares were held by brokers or other nominees.</w:t>
      </w:r>
    </w:p>
    <w:p>
      <w:pPr>
        <w:spacing w:after="0" w:line="173" w:lineRule="exact"/>
        <w:rPr>
          <w:sz w:val="20"/>
          <w:szCs w:val="20"/>
          <w:color w:val="auto"/>
        </w:rPr>
      </w:pPr>
    </w:p>
    <w:p>
      <w:pPr>
        <w:ind w:left="685" w:hanging="685"/>
        <w:spacing w:after="0"/>
        <w:tabs>
          <w:tab w:leader="none" w:pos="685" w:val="left"/>
        </w:tabs>
        <w:numPr>
          <w:ilvl w:val="0"/>
          <w:numId w:val="106"/>
        </w:numPr>
        <w:rPr>
          <w:rFonts w:ascii="Arial" w:cs="Arial" w:eastAsia="Arial" w:hAnsi="Arial"/>
          <w:sz w:val="19"/>
          <w:szCs w:val="19"/>
          <w:b w:val="1"/>
          <w:bCs w:val="1"/>
          <w:color w:val="auto"/>
        </w:rPr>
      </w:pPr>
      <w:r>
        <w:rPr>
          <w:rFonts w:ascii="Arial" w:cs="Arial" w:eastAsia="Arial" w:hAnsi="Arial"/>
          <w:sz w:val="19"/>
          <w:szCs w:val="19"/>
          <w:b w:val="1"/>
          <w:bCs w:val="1"/>
          <w:color w:val="auto"/>
        </w:rPr>
        <w:t>Related Party Transactions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Private Placement with Our Controlling Shareholder</w:t>
      </w:r>
    </w:p>
    <w:p>
      <w:pPr>
        <w:spacing w:after="0" w:line="255" w:lineRule="exact"/>
        <w:rPr>
          <w:sz w:val="20"/>
          <w:szCs w:val="20"/>
          <w:color w:val="auto"/>
        </w:rPr>
      </w:pPr>
    </w:p>
    <w:p>
      <w:pPr>
        <w:jc w:val="both"/>
        <w:ind w:left="5" w:firstLine="566"/>
        <w:spacing w:after="0" w:line="263" w:lineRule="auto"/>
        <w:rPr>
          <w:sz w:val="20"/>
          <w:szCs w:val="20"/>
          <w:color w:val="auto"/>
        </w:rPr>
      </w:pPr>
      <w:r>
        <w:rPr>
          <w:rFonts w:ascii="Arial" w:cs="Arial" w:eastAsia="Arial" w:hAnsi="Arial"/>
          <w:sz w:val="19"/>
          <w:szCs w:val="19"/>
          <w:color w:val="auto"/>
        </w:rPr>
        <w:t>On April 13, 2020, we closed a $5.0 million private placement with our controlling shareholder, Arkin Dermatology, which agreed to make this private investment concurrently with the February 2020 public offering. In the private placement, we issued to Arkin Dermatology 454,628 ordinary shares and warrants to purchase up to 363,702 ordinary shares at a combined price of $11.00 per ordinary share and accompanying warrant to purchase 0.80 of an ordinary share, which is the same price as the public offering price of the ordinary shares and accompanying warrants issued in the Company’s February 2020 public offering. The warrants issued to Arkin Dermatology have an initial exercise price of $14.00 per share, subject to certain adjustments, and will expire on February 19, 2023, which are on the same terms as the warrants issued in the February 2020 public offering.</w:t>
      </w:r>
    </w:p>
    <w:p>
      <w:pPr>
        <w:spacing w:after="0" w:line="216"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Participation in Our Initial Public Offering</w:t>
      </w:r>
    </w:p>
    <w:p>
      <w:pPr>
        <w:spacing w:after="0" w:line="255"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According to Form 13D filed by it on February 12, 2018, our controlling shareholder, Arkin Dermatology, which is wholly-owned by the chairman of our board of directors, purchased 1,833,333 of our ordinary shares in our initial public offering in consideration for $22.0 million, on the same terms as the other purchasers in the offering.</w:t>
      </w:r>
    </w:p>
    <w:p>
      <w:pPr>
        <w:spacing w:after="0" w:line="206"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Directors and Officers Insurance Policy and Indemnification Agreements</w:t>
      </w:r>
    </w:p>
    <w:p>
      <w:pPr>
        <w:spacing w:after="0" w:line="255" w:lineRule="exact"/>
        <w:rPr>
          <w:sz w:val="20"/>
          <w:szCs w:val="20"/>
          <w:color w:val="auto"/>
        </w:rPr>
      </w:pPr>
    </w:p>
    <w:p>
      <w:pPr>
        <w:jc w:val="both"/>
        <w:ind w:left="5" w:right="20" w:firstLine="568"/>
        <w:spacing w:after="0" w:line="261" w:lineRule="auto"/>
        <w:rPr>
          <w:sz w:val="20"/>
          <w:szCs w:val="20"/>
          <w:color w:val="auto"/>
        </w:rPr>
      </w:pPr>
      <w:r>
        <w:rPr>
          <w:rFonts w:ascii="Arial" w:cs="Arial" w:eastAsia="Arial" w:hAnsi="Arial"/>
          <w:sz w:val="19"/>
          <w:szCs w:val="19"/>
          <w:color w:val="auto"/>
        </w:rPr>
        <w:t>Our amended and restated articles of association permit us to exculpate, indemnify and insure each of our directors and officers to the fullest extent permitted by the Companies Law. We have obtained Directors and Officers insurance for each of our executive officers and directors. For further information, see</w:t>
      </w:r>
    </w:p>
    <w:p>
      <w:pPr>
        <w:spacing w:after="0" w:line="1" w:lineRule="exact"/>
        <w:rPr>
          <w:sz w:val="20"/>
          <w:szCs w:val="20"/>
          <w:color w:val="auto"/>
        </w:rPr>
      </w:pPr>
    </w:p>
    <w:p>
      <w:pPr>
        <w:ind w:left="5"/>
        <w:spacing w:after="0"/>
        <w:rPr>
          <w:sz w:val="20"/>
          <w:szCs w:val="20"/>
          <w:color w:val="auto"/>
        </w:rPr>
      </w:pPr>
      <w:r>
        <w:rPr>
          <w:rFonts w:ascii="Arial" w:cs="Arial" w:eastAsia="Arial" w:hAnsi="Arial"/>
          <w:sz w:val="19"/>
          <w:szCs w:val="19"/>
          <w:color w:val="auto"/>
        </w:rPr>
        <w:t>“Item 6 C. – Board Practices – Exculpation, Insurance and Indemnification of Directors and Officers”.</w:t>
      </w:r>
    </w:p>
    <w:p>
      <w:pPr>
        <w:spacing w:after="0" w:line="251" w:lineRule="exact"/>
        <w:rPr>
          <w:sz w:val="20"/>
          <w:szCs w:val="20"/>
          <w:color w:val="auto"/>
        </w:rPr>
      </w:pPr>
    </w:p>
    <w:p>
      <w:pPr>
        <w:jc w:val="both"/>
        <w:ind w:left="5" w:firstLine="568"/>
        <w:spacing w:after="0" w:line="278" w:lineRule="auto"/>
        <w:rPr>
          <w:sz w:val="20"/>
          <w:szCs w:val="20"/>
          <w:color w:val="auto"/>
        </w:rPr>
      </w:pPr>
      <w:r>
        <w:rPr>
          <w:rFonts w:ascii="Arial" w:cs="Arial" w:eastAsia="Arial" w:hAnsi="Arial"/>
          <w:sz w:val="18"/>
          <w:szCs w:val="18"/>
          <w:color w:val="auto"/>
        </w:rPr>
        <w:t>We entered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our initial public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pacing w:after="0" w:line="204"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Registration Rights Agreement</w:t>
      </w:r>
    </w:p>
    <w:p>
      <w:pPr>
        <w:spacing w:after="0" w:line="255" w:lineRule="exact"/>
        <w:rPr>
          <w:sz w:val="20"/>
          <w:szCs w:val="20"/>
          <w:color w:val="auto"/>
        </w:rPr>
      </w:pPr>
    </w:p>
    <w:p>
      <w:pPr>
        <w:jc w:val="both"/>
        <w:ind w:left="5" w:firstLine="568"/>
        <w:spacing w:after="0" w:line="308" w:lineRule="auto"/>
        <w:rPr>
          <w:sz w:val="20"/>
          <w:szCs w:val="20"/>
          <w:color w:val="auto"/>
        </w:rPr>
      </w:pPr>
      <w:r>
        <w:rPr>
          <w:rFonts w:ascii="Arial" w:cs="Arial" w:eastAsia="Arial" w:hAnsi="Arial"/>
          <w:sz w:val="17"/>
          <w:szCs w:val="17"/>
          <w:color w:val="auto"/>
        </w:rPr>
        <w:t>We entered into a registration rights agreement, pursuant to which we granted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with the underwriters in connection with our initial public offering.</w:t>
      </w:r>
    </w:p>
    <w:p>
      <w:pPr>
        <w:spacing w:after="0" w:line="321"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21" w:name="page122"/>
    <w:bookmarkEnd w:id="121"/>
    <w:p>
      <w:pPr>
        <w:ind w:left="665" w:hanging="665"/>
        <w:spacing w:after="0"/>
        <w:tabs>
          <w:tab w:leader="none" w:pos="665" w:val="left"/>
        </w:tabs>
        <w:numPr>
          <w:ilvl w:val="0"/>
          <w:numId w:val="107"/>
        </w:numPr>
        <w:rPr>
          <w:rFonts w:ascii="Arial" w:cs="Arial" w:eastAsia="Arial" w:hAnsi="Arial"/>
          <w:sz w:val="19"/>
          <w:szCs w:val="19"/>
          <w:b w:val="1"/>
          <w:bCs w:val="1"/>
          <w:color w:val="auto"/>
        </w:rPr>
      </w:pPr>
      <w:r>
        <w:rPr>
          <w:rFonts w:ascii="Arial" w:cs="Arial" w:eastAsia="Arial" w:hAnsi="Arial"/>
          <w:sz w:val="19"/>
          <w:szCs w:val="19"/>
          <w:b w:val="1"/>
          <w:bCs w:val="1"/>
          <w:color w:val="auto"/>
        </w:rPr>
        <w:t>Interests of Experts and Counsel</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145" w:val="left"/>
        </w:tabs>
        <w:rPr>
          <w:sz w:val="20"/>
          <w:szCs w:val="20"/>
          <w:color w:val="auto"/>
        </w:rPr>
      </w:pPr>
      <w:r>
        <w:rPr>
          <w:rFonts w:ascii="Arial" w:cs="Arial" w:eastAsia="Arial" w:hAnsi="Arial"/>
          <w:sz w:val="19"/>
          <w:szCs w:val="19"/>
          <w:b w:val="1"/>
          <w:bCs w:val="1"/>
          <w:color w:val="auto"/>
        </w:rPr>
        <w:t>ITEM 8.</w:t>
      </w:r>
      <w:r>
        <w:rPr>
          <w:sz w:val="20"/>
          <w:szCs w:val="20"/>
          <w:color w:val="auto"/>
        </w:rPr>
        <w:tab/>
      </w:r>
      <w:r>
        <w:rPr>
          <w:rFonts w:ascii="Arial" w:cs="Arial" w:eastAsia="Arial" w:hAnsi="Arial"/>
          <w:sz w:val="19"/>
          <w:szCs w:val="19"/>
          <w:b w:val="1"/>
          <w:bCs w:val="1"/>
          <w:color w:val="auto"/>
        </w:rPr>
        <w:t>FINANCIAL INFORMATION</w:t>
      </w:r>
    </w:p>
    <w:p>
      <w:pPr>
        <w:spacing w:after="0" w:line="255" w:lineRule="exact"/>
        <w:rPr>
          <w:sz w:val="20"/>
          <w:szCs w:val="20"/>
          <w:color w:val="auto"/>
        </w:rPr>
      </w:pPr>
    </w:p>
    <w:p>
      <w:pPr>
        <w:ind w:left="665" w:hanging="665"/>
        <w:spacing w:after="0"/>
        <w:tabs>
          <w:tab w:leader="none" w:pos="665" w:val="left"/>
        </w:tabs>
        <w:numPr>
          <w:ilvl w:val="0"/>
          <w:numId w:val="108"/>
        </w:numPr>
        <w:rPr>
          <w:rFonts w:ascii="Arial" w:cs="Arial" w:eastAsia="Arial" w:hAnsi="Arial"/>
          <w:sz w:val="19"/>
          <w:szCs w:val="19"/>
          <w:b w:val="1"/>
          <w:bCs w:val="1"/>
          <w:color w:val="auto"/>
        </w:rPr>
      </w:pPr>
      <w:r>
        <w:rPr>
          <w:rFonts w:ascii="Arial" w:cs="Arial" w:eastAsia="Arial" w:hAnsi="Arial"/>
          <w:sz w:val="19"/>
          <w:szCs w:val="19"/>
          <w:b w:val="1"/>
          <w:bCs w:val="1"/>
          <w:color w:val="auto"/>
        </w:rPr>
        <w:t>Financial Statements and Other Financial Information</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The financial statements required by this item are found at the end of this annual report, beginning on page F-2.</w:t>
      </w:r>
    </w:p>
    <w:p>
      <w:pPr>
        <w:spacing w:after="0" w:line="249"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Legal Proceedings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We are not currently a party to any material legal proceedings.</w:t>
      </w:r>
    </w:p>
    <w:p>
      <w:pPr>
        <w:spacing w:after="0" w:line="249"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Dividend Policy</w:t>
      </w:r>
    </w:p>
    <w:p>
      <w:pPr>
        <w:spacing w:after="0" w:line="261"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206" w:lineRule="exact"/>
        <w:rPr>
          <w:sz w:val="20"/>
          <w:szCs w:val="20"/>
          <w:color w:val="auto"/>
        </w:rPr>
      </w:pPr>
    </w:p>
    <w:p>
      <w:pPr>
        <w:jc w:val="both"/>
        <w:ind w:left="5" w:firstLine="568"/>
        <w:spacing w:after="0" w:line="265" w:lineRule="auto"/>
        <w:rPr>
          <w:sz w:val="20"/>
          <w:szCs w:val="20"/>
          <w:color w:val="auto"/>
        </w:rPr>
      </w:pPr>
      <w:r>
        <w:rPr>
          <w:rFonts w:ascii="Arial" w:cs="Arial" w:eastAsia="Arial" w:hAnsi="Arial"/>
          <w:sz w:val="19"/>
          <w:szCs w:val="19"/>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207" w:lineRule="exact"/>
        <w:rPr>
          <w:sz w:val="20"/>
          <w:szCs w:val="20"/>
          <w:color w:val="auto"/>
        </w:rPr>
      </w:pPr>
    </w:p>
    <w:p>
      <w:pPr>
        <w:ind w:left="645" w:hanging="645"/>
        <w:spacing w:after="0"/>
        <w:tabs>
          <w:tab w:leader="none" w:pos="645" w:val="left"/>
        </w:tabs>
        <w:numPr>
          <w:ilvl w:val="0"/>
          <w:numId w:val="109"/>
        </w:numPr>
        <w:rPr>
          <w:rFonts w:ascii="Arial" w:cs="Arial" w:eastAsia="Arial" w:hAnsi="Arial"/>
          <w:sz w:val="19"/>
          <w:szCs w:val="19"/>
          <w:b w:val="1"/>
          <w:bCs w:val="1"/>
          <w:color w:val="auto"/>
        </w:rPr>
      </w:pPr>
      <w:r>
        <w:rPr>
          <w:rFonts w:ascii="Arial" w:cs="Arial" w:eastAsia="Arial" w:hAnsi="Arial"/>
          <w:sz w:val="19"/>
          <w:szCs w:val="19"/>
          <w:b w:val="1"/>
          <w:bCs w:val="1"/>
          <w:color w:val="auto"/>
        </w:rPr>
        <w:t>Significant Changes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Except as otherwise disclosed in this annual report, no significant change has occurred since December 31, 2020.</w:t>
      </w:r>
    </w:p>
    <w:p>
      <w:pPr>
        <w:spacing w:after="0" w:line="249" w:lineRule="exact"/>
        <w:rPr>
          <w:sz w:val="20"/>
          <w:szCs w:val="20"/>
          <w:color w:val="auto"/>
        </w:rPr>
      </w:pPr>
    </w:p>
    <w:p>
      <w:pPr>
        <w:ind w:left="5"/>
        <w:spacing w:after="0"/>
        <w:tabs>
          <w:tab w:leader="none" w:pos="1145" w:val="left"/>
        </w:tabs>
        <w:rPr>
          <w:sz w:val="20"/>
          <w:szCs w:val="20"/>
          <w:color w:val="auto"/>
        </w:rPr>
      </w:pPr>
      <w:r>
        <w:rPr>
          <w:rFonts w:ascii="Arial" w:cs="Arial" w:eastAsia="Arial" w:hAnsi="Arial"/>
          <w:sz w:val="19"/>
          <w:szCs w:val="19"/>
          <w:b w:val="1"/>
          <w:bCs w:val="1"/>
          <w:color w:val="auto"/>
        </w:rPr>
        <w:t>ITEM 9.</w:t>
      </w:r>
      <w:r>
        <w:rPr>
          <w:sz w:val="20"/>
          <w:szCs w:val="20"/>
          <w:color w:val="auto"/>
        </w:rPr>
        <w:tab/>
      </w:r>
      <w:r>
        <w:rPr>
          <w:rFonts w:ascii="Arial" w:cs="Arial" w:eastAsia="Arial" w:hAnsi="Arial"/>
          <w:sz w:val="19"/>
          <w:szCs w:val="19"/>
          <w:b w:val="1"/>
          <w:bCs w:val="1"/>
          <w:color w:val="auto"/>
        </w:rPr>
        <w:t>THE OFFER AND LISTING</w:t>
      </w:r>
    </w:p>
    <w:p>
      <w:pPr>
        <w:spacing w:after="0" w:line="255" w:lineRule="exact"/>
        <w:rPr>
          <w:sz w:val="20"/>
          <w:szCs w:val="20"/>
          <w:color w:val="auto"/>
        </w:rPr>
      </w:pPr>
    </w:p>
    <w:p>
      <w:pPr>
        <w:ind w:left="665" w:hanging="665"/>
        <w:spacing w:after="0"/>
        <w:tabs>
          <w:tab w:leader="none" w:pos="665" w:val="left"/>
        </w:tabs>
        <w:numPr>
          <w:ilvl w:val="0"/>
          <w:numId w:val="110"/>
        </w:numPr>
        <w:rPr>
          <w:rFonts w:ascii="Arial" w:cs="Arial" w:eastAsia="Arial" w:hAnsi="Arial"/>
          <w:sz w:val="19"/>
          <w:szCs w:val="19"/>
          <w:b w:val="1"/>
          <w:bCs w:val="1"/>
          <w:color w:val="auto"/>
        </w:rPr>
      </w:pPr>
      <w:r>
        <w:rPr>
          <w:rFonts w:ascii="Arial" w:cs="Arial" w:eastAsia="Arial" w:hAnsi="Arial"/>
          <w:sz w:val="19"/>
          <w:szCs w:val="19"/>
          <w:b w:val="1"/>
          <w:bCs w:val="1"/>
          <w:color w:val="auto"/>
        </w:rPr>
        <w:t>Offer and Listing Details</w:t>
      </w:r>
    </w:p>
    <w:p>
      <w:pPr>
        <w:spacing w:after="0" w:line="261" w:lineRule="exact"/>
        <w:rPr>
          <w:sz w:val="20"/>
          <w:szCs w:val="20"/>
          <w:color w:val="auto"/>
        </w:rPr>
      </w:pPr>
    </w:p>
    <w:p>
      <w:pPr>
        <w:ind w:left="5" w:right="20" w:firstLine="568"/>
        <w:spacing w:after="0" w:line="345" w:lineRule="auto"/>
        <w:rPr>
          <w:sz w:val="20"/>
          <w:szCs w:val="20"/>
          <w:color w:val="auto"/>
        </w:rPr>
      </w:pPr>
      <w:r>
        <w:rPr>
          <w:rFonts w:ascii="Arial" w:cs="Arial" w:eastAsia="Arial" w:hAnsi="Arial"/>
          <w:sz w:val="17"/>
          <w:szCs w:val="17"/>
          <w:color w:val="auto"/>
        </w:rPr>
        <w:t>Our Ordinary Shares have been trading on The Nasdaq Global Market under the symbol “SLGL” since February 1, 2018. Prior to that date, there was no public trading market for our Ordinary Shares. Our initial public offering was priced at $12.00 per share on January 31, 2018.</w:t>
      </w:r>
    </w:p>
    <w:p>
      <w:pPr>
        <w:spacing w:after="0" w:line="148" w:lineRule="exact"/>
        <w:rPr>
          <w:sz w:val="20"/>
          <w:szCs w:val="20"/>
          <w:color w:val="auto"/>
        </w:rPr>
      </w:pPr>
    </w:p>
    <w:p>
      <w:pPr>
        <w:ind w:left="565"/>
        <w:spacing w:after="0"/>
        <w:rPr>
          <w:sz w:val="20"/>
          <w:szCs w:val="20"/>
          <w:color w:val="auto"/>
        </w:rPr>
      </w:pPr>
      <w:r>
        <w:rPr>
          <w:rFonts w:ascii="Arial" w:cs="Arial" w:eastAsia="Arial" w:hAnsi="Arial"/>
          <w:sz w:val="18"/>
          <w:szCs w:val="18"/>
          <w:color w:val="auto"/>
        </w:rPr>
        <w:t>On February 26, 2021, the last reported closing price of our Ordinary Shares on The Nasdaq Global Market was $8.90 per share.</w:t>
      </w:r>
    </w:p>
    <w:p>
      <w:pPr>
        <w:spacing w:after="0" w:line="260" w:lineRule="exact"/>
        <w:rPr>
          <w:sz w:val="20"/>
          <w:szCs w:val="20"/>
          <w:color w:val="auto"/>
        </w:rPr>
      </w:pPr>
    </w:p>
    <w:p>
      <w:pPr>
        <w:ind w:left="645" w:hanging="645"/>
        <w:spacing w:after="0"/>
        <w:tabs>
          <w:tab w:leader="none" w:pos="645" w:val="left"/>
        </w:tabs>
        <w:numPr>
          <w:ilvl w:val="0"/>
          <w:numId w:val="111"/>
        </w:numPr>
        <w:rPr>
          <w:rFonts w:ascii="Arial" w:cs="Arial" w:eastAsia="Arial" w:hAnsi="Arial"/>
          <w:sz w:val="19"/>
          <w:szCs w:val="19"/>
          <w:b w:val="1"/>
          <w:bCs w:val="1"/>
          <w:color w:val="auto"/>
        </w:rPr>
      </w:pPr>
      <w:r>
        <w:rPr>
          <w:rFonts w:ascii="Arial" w:cs="Arial" w:eastAsia="Arial" w:hAnsi="Arial"/>
          <w:sz w:val="19"/>
          <w:szCs w:val="19"/>
          <w:b w:val="1"/>
          <w:bCs w:val="1"/>
          <w:color w:val="auto"/>
        </w:rPr>
        <w:t>Plan of Distribution</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39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22" w:name="page123"/>
    <w:bookmarkEnd w:id="122"/>
    <w:p>
      <w:pPr>
        <w:ind w:left="665" w:hanging="665"/>
        <w:spacing w:after="0"/>
        <w:tabs>
          <w:tab w:leader="none" w:pos="665" w:val="left"/>
        </w:tabs>
        <w:numPr>
          <w:ilvl w:val="0"/>
          <w:numId w:val="112"/>
        </w:numPr>
        <w:rPr>
          <w:rFonts w:ascii="Arial" w:cs="Arial" w:eastAsia="Arial" w:hAnsi="Arial"/>
          <w:sz w:val="19"/>
          <w:szCs w:val="19"/>
          <w:b w:val="1"/>
          <w:bCs w:val="1"/>
          <w:color w:val="auto"/>
        </w:rPr>
      </w:pPr>
      <w:r>
        <w:rPr>
          <w:rFonts w:ascii="Arial" w:cs="Arial" w:eastAsia="Arial" w:hAnsi="Arial"/>
          <w:sz w:val="19"/>
          <w:szCs w:val="19"/>
          <w:b w:val="1"/>
          <w:bCs w:val="1"/>
          <w:color w:val="auto"/>
        </w:rPr>
        <w:t>Markets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Our Ordinary Shares are listed and traded on The Nasdaq Global Market under the symbol “SLGL”.</w:t>
      </w:r>
    </w:p>
    <w:p>
      <w:pPr>
        <w:spacing w:after="0" w:line="249" w:lineRule="exact"/>
        <w:rPr>
          <w:sz w:val="20"/>
          <w:szCs w:val="20"/>
          <w:color w:val="auto"/>
        </w:rPr>
      </w:pPr>
    </w:p>
    <w:p>
      <w:pPr>
        <w:ind w:left="665" w:hanging="665"/>
        <w:spacing w:after="0"/>
        <w:tabs>
          <w:tab w:leader="none" w:pos="665" w:val="left"/>
        </w:tabs>
        <w:numPr>
          <w:ilvl w:val="0"/>
          <w:numId w:val="113"/>
        </w:numPr>
        <w:rPr>
          <w:rFonts w:ascii="Arial" w:cs="Arial" w:eastAsia="Arial" w:hAnsi="Arial"/>
          <w:sz w:val="19"/>
          <w:szCs w:val="19"/>
          <w:b w:val="1"/>
          <w:bCs w:val="1"/>
          <w:color w:val="auto"/>
        </w:rPr>
      </w:pPr>
      <w:r>
        <w:rPr>
          <w:rFonts w:ascii="Arial" w:cs="Arial" w:eastAsia="Arial" w:hAnsi="Arial"/>
          <w:sz w:val="19"/>
          <w:szCs w:val="19"/>
          <w:b w:val="1"/>
          <w:bCs w:val="1"/>
          <w:color w:val="auto"/>
        </w:rPr>
        <w:t>Selling Shareholders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645" w:hanging="645"/>
        <w:spacing w:after="0"/>
        <w:tabs>
          <w:tab w:leader="none" w:pos="645" w:val="left"/>
        </w:tabs>
        <w:numPr>
          <w:ilvl w:val="0"/>
          <w:numId w:val="114"/>
        </w:numPr>
        <w:rPr>
          <w:rFonts w:ascii="Arial" w:cs="Arial" w:eastAsia="Arial" w:hAnsi="Arial"/>
          <w:sz w:val="19"/>
          <w:szCs w:val="19"/>
          <w:b w:val="1"/>
          <w:bCs w:val="1"/>
          <w:color w:val="auto"/>
        </w:rPr>
      </w:pPr>
      <w:r>
        <w:rPr>
          <w:rFonts w:ascii="Arial" w:cs="Arial" w:eastAsia="Arial" w:hAnsi="Arial"/>
          <w:sz w:val="19"/>
          <w:szCs w:val="19"/>
          <w:b w:val="1"/>
          <w:bCs w:val="1"/>
          <w:color w:val="auto"/>
        </w:rPr>
        <w:t>Dilution</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625" w:hanging="625"/>
        <w:spacing w:after="0"/>
        <w:tabs>
          <w:tab w:leader="none" w:pos="625" w:val="left"/>
        </w:tabs>
        <w:numPr>
          <w:ilvl w:val="0"/>
          <w:numId w:val="115"/>
        </w:numPr>
        <w:rPr>
          <w:rFonts w:ascii="Arial" w:cs="Arial" w:eastAsia="Arial" w:hAnsi="Arial"/>
          <w:sz w:val="19"/>
          <w:szCs w:val="19"/>
          <w:b w:val="1"/>
          <w:bCs w:val="1"/>
          <w:color w:val="auto"/>
        </w:rPr>
      </w:pPr>
      <w:r>
        <w:rPr>
          <w:rFonts w:ascii="Arial" w:cs="Arial" w:eastAsia="Arial" w:hAnsi="Arial"/>
          <w:sz w:val="19"/>
          <w:szCs w:val="19"/>
          <w:b w:val="1"/>
          <w:bCs w:val="1"/>
          <w:color w:val="auto"/>
        </w:rPr>
        <w:t>Expenses of the Issue</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25" w:val="left"/>
        </w:tabs>
        <w:rPr>
          <w:sz w:val="20"/>
          <w:szCs w:val="20"/>
          <w:color w:val="auto"/>
        </w:rPr>
      </w:pPr>
      <w:r>
        <w:rPr>
          <w:rFonts w:ascii="Arial" w:cs="Arial" w:eastAsia="Arial" w:hAnsi="Arial"/>
          <w:sz w:val="19"/>
          <w:szCs w:val="19"/>
          <w:b w:val="1"/>
          <w:bCs w:val="1"/>
          <w:color w:val="auto"/>
        </w:rPr>
        <w:t>ITEM 10.</w:t>
      </w:r>
      <w:r>
        <w:rPr>
          <w:sz w:val="20"/>
          <w:szCs w:val="20"/>
          <w:color w:val="auto"/>
        </w:rPr>
        <w:tab/>
      </w:r>
      <w:r>
        <w:rPr>
          <w:rFonts w:ascii="Arial" w:cs="Arial" w:eastAsia="Arial" w:hAnsi="Arial"/>
          <w:sz w:val="19"/>
          <w:szCs w:val="19"/>
          <w:b w:val="1"/>
          <w:bCs w:val="1"/>
          <w:color w:val="auto"/>
        </w:rPr>
        <w:t>ADDITIONAL INFORMATION</w:t>
      </w:r>
    </w:p>
    <w:p>
      <w:pPr>
        <w:spacing w:after="0" w:line="255" w:lineRule="exact"/>
        <w:rPr>
          <w:sz w:val="20"/>
          <w:szCs w:val="20"/>
          <w:color w:val="auto"/>
        </w:rPr>
      </w:pPr>
    </w:p>
    <w:p>
      <w:pPr>
        <w:ind w:left="665" w:hanging="665"/>
        <w:spacing w:after="0"/>
        <w:tabs>
          <w:tab w:leader="none" w:pos="665" w:val="left"/>
        </w:tabs>
        <w:numPr>
          <w:ilvl w:val="0"/>
          <w:numId w:val="116"/>
        </w:numPr>
        <w:rPr>
          <w:rFonts w:ascii="Arial" w:cs="Arial" w:eastAsia="Arial" w:hAnsi="Arial"/>
          <w:sz w:val="19"/>
          <w:szCs w:val="19"/>
          <w:b w:val="1"/>
          <w:bCs w:val="1"/>
          <w:color w:val="auto"/>
        </w:rPr>
      </w:pPr>
      <w:r>
        <w:rPr>
          <w:rFonts w:ascii="Arial" w:cs="Arial" w:eastAsia="Arial" w:hAnsi="Arial"/>
          <w:sz w:val="19"/>
          <w:szCs w:val="19"/>
          <w:b w:val="1"/>
          <w:bCs w:val="1"/>
          <w:color w:val="auto"/>
        </w:rPr>
        <w:t>Share Capital</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right="7080" w:hanging="5"/>
        <w:spacing w:after="0" w:line="620" w:lineRule="auto"/>
        <w:tabs>
          <w:tab w:leader="none" w:pos="652" w:val="left"/>
        </w:tabs>
        <w:numPr>
          <w:ilvl w:val="0"/>
          <w:numId w:val="117"/>
        </w:numPr>
        <w:rPr>
          <w:rFonts w:ascii="Arial" w:cs="Arial" w:eastAsia="Arial" w:hAnsi="Arial"/>
          <w:sz w:val="16"/>
          <w:szCs w:val="16"/>
          <w:b w:val="1"/>
          <w:bCs w:val="1"/>
          <w:color w:val="auto"/>
        </w:rPr>
      </w:pPr>
      <w:r>
        <w:rPr>
          <w:rFonts w:ascii="Arial" w:cs="Arial" w:eastAsia="Arial" w:hAnsi="Arial"/>
          <w:sz w:val="16"/>
          <w:szCs w:val="16"/>
          <w:b w:val="1"/>
          <w:bCs w:val="1"/>
          <w:color w:val="auto"/>
        </w:rPr>
        <w:t>Memorandum and Articles of Association Registration Number and Purposes of the Company</w:t>
      </w:r>
    </w:p>
    <w:p>
      <w:pPr>
        <w:spacing w:after="0" w:line="2" w:lineRule="exact"/>
        <w:rPr>
          <w:sz w:val="20"/>
          <w:szCs w:val="20"/>
          <w:color w:val="auto"/>
        </w:rPr>
      </w:pPr>
    </w:p>
    <w:p>
      <w:pPr>
        <w:jc w:val="both"/>
        <w:ind w:left="5" w:firstLine="568"/>
        <w:spacing w:after="0" w:line="284" w:lineRule="auto"/>
        <w:rPr>
          <w:sz w:val="20"/>
          <w:szCs w:val="20"/>
          <w:color w:val="auto"/>
        </w:rPr>
      </w:pPr>
      <w:r>
        <w:rPr>
          <w:rFonts w:ascii="Arial" w:cs="Arial" w:eastAsia="Arial" w:hAnsi="Arial"/>
          <w:sz w:val="19"/>
          <w:szCs w:val="19"/>
          <w:color w:val="auto"/>
        </w:rPr>
        <w:t>Our registration number with the Israeli Registrar of Companies is 51-254469-3. Our purpose as set forth in our amended and restated articles of association is to engage in any lawful activity.</w:t>
      </w:r>
    </w:p>
    <w:p>
      <w:pPr>
        <w:spacing w:after="0" w:line="187"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Voting Rights and Conversion</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All ordinary shares will have identical voting and other rights in all respects.</w:t>
      </w:r>
    </w:p>
    <w:p>
      <w:pPr>
        <w:spacing w:after="0" w:line="249"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Transfer of Shares</w:t>
      </w:r>
    </w:p>
    <w:p>
      <w:pPr>
        <w:spacing w:after="0" w:line="261" w:lineRule="exact"/>
        <w:rPr>
          <w:sz w:val="20"/>
          <w:szCs w:val="20"/>
          <w:color w:val="auto"/>
        </w:rPr>
      </w:pPr>
    </w:p>
    <w:p>
      <w:pPr>
        <w:jc w:val="both"/>
        <w:ind w:left="5" w:firstLine="568"/>
        <w:spacing w:after="0" w:line="265" w:lineRule="auto"/>
        <w:rPr>
          <w:sz w:val="20"/>
          <w:szCs w:val="20"/>
          <w:color w:val="auto"/>
        </w:rPr>
      </w:pPr>
      <w:r>
        <w:rPr>
          <w:rFonts w:ascii="Arial" w:cs="Arial" w:eastAsia="Arial" w:hAnsi="Arial"/>
          <w:sz w:val="19"/>
          <w:szCs w:val="19"/>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207"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Liability to Further Capital Calls</w:t>
      </w:r>
    </w:p>
    <w:p>
      <w:pPr>
        <w:spacing w:after="0" w:line="261" w:lineRule="exact"/>
        <w:rPr>
          <w:sz w:val="20"/>
          <w:szCs w:val="20"/>
          <w:color w:val="auto"/>
        </w:rPr>
      </w:pPr>
    </w:p>
    <w:p>
      <w:pPr>
        <w:jc w:val="both"/>
        <w:ind w:left="5" w:firstLine="568"/>
        <w:spacing w:after="0" w:line="263" w:lineRule="auto"/>
        <w:rPr>
          <w:sz w:val="20"/>
          <w:szCs w:val="20"/>
          <w:color w:val="auto"/>
        </w:rPr>
      </w:pPr>
      <w:r>
        <w:rPr>
          <w:rFonts w:ascii="Arial" w:cs="Arial" w:eastAsia="Arial" w:hAnsi="Arial"/>
          <w:sz w:val="19"/>
          <w:szCs w:val="19"/>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35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23" w:name="page124"/>
    <w:bookmarkEnd w:id="123"/>
    <w:p>
      <w:pPr>
        <w:spacing w:after="0"/>
        <w:rPr>
          <w:sz w:val="20"/>
          <w:szCs w:val="20"/>
          <w:color w:val="auto"/>
        </w:rPr>
      </w:pPr>
      <w:r>
        <w:rPr>
          <w:rFonts w:ascii="Arial" w:cs="Arial" w:eastAsia="Arial" w:hAnsi="Arial"/>
          <w:sz w:val="19"/>
          <w:szCs w:val="19"/>
          <w:b w:val="1"/>
          <w:bCs w:val="1"/>
          <w:color w:val="auto"/>
        </w:rPr>
        <w:t>Election of Directors</w:t>
      </w:r>
    </w:p>
    <w:p>
      <w:pPr>
        <w:spacing w:after="0" w:line="261"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206"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 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“Item 6. Directors, Senior Management and Employees — C. Board Practices — Appointment of Directors and Terms of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“Item 6. Directors, Senior Management and Employees — C. Board Practices — External Directors — Election and Dismissal of External Directors.”</w:t>
      </w:r>
    </w:p>
    <w:p>
      <w:pPr>
        <w:spacing w:after="0" w:line="18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Dividend and Liquidation Rights</w:t>
      </w:r>
    </w:p>
    <w:p>
      <w:pPr>
        <w:spacing w:after="0" w:line="261" w:lineRule="exact"/>
        <w:rPr>
          <w:sz w:val="20"/>
          <w:szCs w:val="20"/>
          <w:color w:val="auto"/>
        </w:rPr>
      </w:pPr>
    </w:p>
    <w:p>
      <w:pPr>
        <w:jc w:val="both"/>
        <w:ind w:firstLine="568"/>
        <w:spacing w:after="0" w:line="287" w:lineRule="auto"/>
        <w:rPr>
          <w:sz w:val="20"/>
          <w:szCs w:val="20"/>
          <w:color w:val="auto"/>
        </w:rPr>
      </w:pPr>
      <w:r>
        <w:rPr>
          <w:rFonts w:ascii="Arial" w:cs="Arial" w:eastAsia="Arial" w:hAnsi="Arial"/>
          <w:sz w:val="18"/>
          <w:szCs w:val="18"/>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193"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181" w:lineRule="exact"/>
        <w:rPr>
          <w:sz w:val="20"/>
          <w:szCs w:val="20"/>
          <w:color w:val="auto"/>
        </w:rPr>
      </w:pPr>
    </w:p>
    <w:p>
      <w:pPr>
        <w:jc w:val="both"/>
        <w:ind w:firstLine="566"/>
        <w:spacing w:after="0" w:line="293" w:lineRule="auto"/>
        <w:rPr>
          <w:sz w:val="20"/>
          <w:szCs w:val="20"/>
          <w:color w:val="auto"/>
        </w:rPr>
      </w:pPr>
      <w:r>
        <w:rPr>
          <w:rFonts w:ascii="Arial" w:cs="Arial" w:eastAsia="Arial" w:hAnsi="Arial"/>
          <w:sz w:val="18"/>
          <w:szCs w:val="18"/>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18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Shareholder Meetings</w:t>
      </w:r>
    </w:p>
    <w:p>
      <w:pPr>
        <w:spacing w:after="0" w:line="261" w:lineRule="exact"/>
        <w:rPr>
          <w:sz w:val="20"/>
          <w:szCs w:val="20"/>
          <w:color w:val="auto"/>
        </w:rPr>
      </w:pPr>
    </w:p>
    <w:p>
      <w:pPr>
        <w:jc w:val="both"/>
        <w:ind w:firstLine="568"/>
        <w:spacing w:after="0" w:line="298" w:lineRule="auto"/>
        <w:rPr>
          <w:sz w:val="20"/>
          <w:szCs w:val="20"/>
          <w:color w:val="auto"/>
        </w:rPr>
      </w:pPr>
      <w:r>
        <w:rPr>
          <w:rFonts w:ascii="Arial" w:cs="Arial" w:eastAsia="Arial" w:hAnsi="Arial"/>
          <w:sz w:val="17"/>
          <w:szCs w:val="17"/>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9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24" w:name="page125"/>
    <w:bookmarkEnd w:id="124"/>
    <w:p>
      <w:pPr>
        <w:jc w:val="both"/>
        <w:ind w:right="20" w:firstLine="568"/>
        <w:spacing w:after="0" w:line="271" w:lineRule="auto"/>
        <w:rPr>
          <w:sz w:val="20"/>
          <w:szCs w:val="20"/>
          <w:color w:val="auto"/>
        </w:rPr>
      </w:pPr>
      <w:r>
        <w:rPr>
          <w:rFonts w:ascii="Arial" w:cs="Arial" w:eastAsia="Arial" w:hAnsi="Arial"/>
          <w:sz w:val="19"/>
          <w:szCs w:val="19"/>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206"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205" w:lineRule="exact"/>
        <w:rPr>
          <w:sz w:val="20"/>
          <w:szCs w:val="20"/>
          <w:color w:val="auto"/>
        </w:rPr>
      </w:pPr>
    </w:p>
    <w:p>
      <w:pPr>
        <w:ind w:left="740" w:hanging="426"/>
        <w:spacing w:after="0"/>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amendments to our amended and restated articles of association;</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appointment or termination of our auditors;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appointment of external directors;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approval of certain related party transactions;</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increases or reductions of our authorized share capital;</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mergers; and</w:t>
      </w:r>
    </w:p>
    <w:p>
      <w:pPr>
        <w:spacing w:after="0" w:line="241" w:lineRule="exact"/>
        <w:rPr>
          <w:rFonts w:ascii="Arial" w:cs="Arial" w:eastAsia="Arial" w:hAnsi="Arial"/>
          <w:sz w:val="16"/>
          <w:szCs w:val="16"/>
          <w:color w:val="auto"/>
        </w:rPr>
      </w:pPr>
    </w:p>
    <w:p>
      <w:pPr>
        <w:ind w:left="740" w:hanging="426"/>
        <w:spacing w:after="0" w:line="268" w:lineRule="auto"/>
        <w:tabs>
          <w:tab w:leader="none" w:pos="7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the exercise of our board of director’s powers by a general meeting, if our board of directors is unable to exercise its powers and the exercise of any of its powers is required for our proper management.</w:t>
      </w:r>
    </w:p>
    <w:p>
      <w:pPr>
        <w:spacing w:after="0" w:line="209"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19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Voting Rights</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Quorum Requirements</w:t>
      </w:r>
    </w:p>
    <w:p>
      <w:pPr>
        <w:spacing w:after="0" w:line="25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 1⁄3%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 1⁄3% of the issued share capital as required under the Nasdaq Marketplace Rules.</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45" w:right="319" w:bottom="1440" w:gutter="0" w:footer="0" w:header="0"/>
        </w:sectPr>
      </w:pPr>
    </w:p>
    <w:bookmarkStart w:id="125" w:name="page126"/>
    <w:bookmarkEnd w:id="125"/>
    <w:p>
      <w:pPr>
        <w:spacing w:after="0"/>
        <w:rPr>
          <w:sz w:val="20"/>
          <w:szCs w:val="20"/>
          <w:color w:val="auto"/>
        </w:rPr>
      </w:pPr>
      <w:r>
        <w:rPr>
          <w:rFonts w:ascii="Arial" w:cs="Arial" w:eastAsia="Arial" w:hAnsi="Arial"/>
          <w:sz w:val="19"/>
          <w:szCs w:val="19"/>
          <w:b w:val="1"/>
          <w:bCs w:val="1"/>
          <w:i w:val="1"/>
          <w:iCs w:val="1"/>
          <w:color w:val="auto"/>
        </w:rPr>
        <w:t>Vote Requirements</w:t>
      </w:r>
    </w:p>
    <w:p>
      <w:pPr>
        <w:spacing w:after="0" w:line="255" w:lineRule="exact"/>
        <w:rPr>
          <w:sz w:val="20"/>
          <w:szCs w:val="20"/>
          <w:color w:val="auto"/>
        </w:rPr>
      </w:pPr>
    </w:p>
    <w:p>
      <w:pPr>
        <w:jc w:val="both"/>
        <w:ind w:firstLine="568"/>
        <w:spacing w:after="0" w:line="294" w:lineRule="auto"/>
        <w:rPr>
          <w:sz w:val="20"/>
          <w:szCs w:val="20"/>
          <w:color w:val="auto"/>
        </w:rPr>
      </w:pPr>
      <w:r>
        <w:rPr>
          <w:rFonts w:ascii="Arial" w:cs="Arial" w:eastAsia="Arial" w:hAnsi="Arial"/>
          <w:sz w:val="17"/>
          <w:szCs w:val="17"/>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 of association, an amendment to our amended and restated articles of association regarding any change of the composition or election procedures of our directors will require a special majority vote (662⁄3%).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Access to Corporate Records</w:t>
      </w:r>
    </w:p>
    <w:p>
      <w:pPr>
        <w:spacing w:after="0" w:line="261"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20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Modification of Class Rights</w:t>
      </w:r>
    </w:p>
    <w:p>
      <w:pPr>
        <w:spacing w:after="0" w:line="261" w:lineRule="exact"/>
        <w:rPr>
          <w:sz w:val="20"/>
          <w:szCs w:val="20"/>
          <w:color w:val="auto"/>
        </w:rPr>
      </w:pPr>
    </w:p>
    <w:p>
      <w:pPr>
        <w:jc w:val="both"/>
        <w:ind w:right="20" w:firstLine="568"/>
        <w:spacing w:after="0" w:line="308" w:lineRule="auto"/>
        <w:rPr>
          <w:sz w:val="20"/>
          <w:szCs w:val="20"/>
          <w:color w:val="auto"/>
        </w:rPr>
      </w:pPr>
      <w:r>
        <w:rPr>
          <w:rFonts w:ascii="Arial" w:cs="Arial" w:eastAsia="Arial" w:hAnsi="Arial"/>
          <w:sz w:val="17"/>
          <w:szCs w:val="17"/>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17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Registration Rights</w:t>
      </w:r>
    </w:p>
    <w:p>
      <w:pPr>
        <w:spacing w:after="0" w:line="261" w:lineRule="exact"/>
        <w:rPr>
          <w:sz w:val="20"/>
          <w:szCs w:val="20"/>
          <w:color w:val="auto"/>
        </w:rPr>
      </w:pPr>
    </w:p>
    <w:p>
      <w:pPr>
        <w:jc w:val="both"/>
        <w:ind w:firstLine="568"/>
        <w:spacing w:after="0" w:line="345" w:lineRule="auto"/>
        <w:rPr>
          <w:sz w:val="20"/>
          <w:szCs w:val="20"/>
          <w:color w:val="auto"/>
        </w:rPr>
      </w:pPr>
      <w:r>
        <w:rPr>
          <w:rFonts w:ascii="Arial" w:cs="Arial" w:eastAsia="Arial" w:hAnsi="Arial"/>
          <w:sz w:val="17"/>
          <w:szCs w:val="17"/>
          <w:color w:val="auto"/>
        </w:rPr>
        <w:t>For a discussion of registration rights we granted to our controlling shareholder in connection with the closing of our initial public offering, please see “Item 7. Major Shareholders and Related Party Transactions – Related Party Transactions — Registration Rights Agreement.”</w:t>
      </w:r>
    </w:p>
    <w:p>
      <w:pPr>
        <w:spacing w:after="0" w:line="14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Acquisitions under Israeli Law</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Full Tender Offer</w:t>
      </w:r>
    </w:p>
    <w:p>
      <w:pPr>
        <w:spacing w:after="0" w:line="255"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 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26" w:name="page127"/>
    <w:bookmarkEnd w:id="126"/>
    <w:p>
      <w:pPr>
        <w:jc w:val="both"/>
        <w:ind w:right="20" w:firstLine="568"/>
        <w:spacing w:after="0" w:line="265" w:lineRule="auto"/>
        <w:rPr>
          <w:sz w:val="20"/>
          <w:szCs w:val="20"/>
          <w:color w:val="auto"/>
        </w:rPr>
      </w:pPr>
      <w:r>
        <w:rPr>
          <w:rFonts w:ascii="Arial" w:cs="Arial" w:eastAsia="Arial" w:hAnsi="Arial"/>
          <w:sz w:val="19"/>
          <w:szCs w:val="19"/>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213"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21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Special Tender Offer</w:t>
      </w:r>
    </w:p>
    <w:p>
      <w:pPr>
        <w:spacing w:after="0" w:line="255"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214" w:lineRule="exact"/>
        <w:rPr>
          <w:sz w:val="20"/>
          <w:szCs w:val="20"/>
          <w:color w:val="auto"/>
        </w:rPr>
      </w:pPr>
    </w:p>
    <w:p>
      <w:pPr>
        <w:jc w:val="both"/>
        <w:ind w:firstLine="568"/>
        <w:spacing w:after="0" w:line="278" w:lineRule="auto"/>
        <w:rPr>
          <w:sz w:val="20"/>
          <w:szCs w:val="20"/>
          <w:color w:val="auto"/>
        </w:rPr>
      </w:pPr>
      <w:r>
        <w:rPr>
          <w:rFonts w:ascii="Arial" w:cs="Arial" w:eastAsia="Arial" w:hAnsi="Arial"/>
          <w:sz w:val="18"/>
          <w:szCs w:val="18"/>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color w:val="auto"/>
        </w:rPr>
        <w:t>Under the DGCL there are no provisions relating to mandatory tender offers.</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Merger</w:t>
      </w:r>
    </w:p>
    <w:p>
      <w:pPr>
        <w:spacing w:after="0" w:line="255"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The Companies Law permits merger transactions if approved by each party’s board of directors and, unless certain requirements described under the Companies Law are met, by a majority vote of each party’s shares, and, in the case of the target company, a majority vote of each class of its shares voted on the proposed merger at a shareholders meeting.</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27" w:name="page128"/>
    <w:bookmarkEnd w:id="127"/>
    <w:p>
      <w:pPr>
        <w:jc w:val="both"/>
        <w:ind w:firstLine="568"/>
        <w:spacing w:after="0" w:line="263" w:lineRule="auto"/>
        <w:rPr>
          <w:sz w:val="20"/>
          <w:szCs w:val="20"/>
          <w:color w:val="auto"/>
        </w:rPr>
      </w:pPr>
      <w:r>
        <w:rPr>
          <w:rFonts w:ascii="Arial" w:cs="Arial" w:eastAsia="Arial" w:hAnsi="Arial"/>
          <w:sz w:val="19"/>
          <w:szCs w:val="19"/>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213"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210"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206"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Anti-Takeover Measures under Israeli Law</w:t>
      </w:r>
    </w:p>
    <w:p>
      <w:pPr>
        <w:spacing w:after="0" w:line="255" w:lineRule="exact"/>
        <w:rPr>
          <w:sz w:val="20"/>
          <w:szCs w:val="20"/>
          <w:color w:val="auto"/>
        </w:rPr>
      </w:pPr>
    </w:p>
    <w:p>
      <w:pPr>
        <w:jc w:val="both"/>
        <w:ind w:firstLine="568"/>
        <w:spacing w:after="0" w:line="297" w:lineRule="auto"/>
        <w:rPr>
          <w:sz w:val="20"/>
          <w:szCs w:val="20"/>
          <w:color w:val="auto"/>
        </w:rPr>
      </w:pPr>
      <w:r>
        <w:rPr>
          <w:rFonts w:ascii="Arial" w:cs="Arial" w:eastAsia="Arial" w:hAnsi="Arial"/>
          <w:sz w:val="17"/>
          <w:szCs w:val="17"/>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date of this annual report, no preferred shares are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188"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20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Borrowing Powers</w:t>
      </w:r>
    </w:p>
    <w:p>
      <w:pPr>
        <w:spacing w:after="0" w:line="261"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28" w:name="page129"/>
    <w:bookmarkEnd w:id="128"/>
    <w:p>
      <w:pPr>
        <w:ind w:left="5"/>
        <w:spacing w:after="0"/>
        <w:rPr>
          <w:sz w:val="20"/>
          <w:szCs w:val="20"/>
          <w:color w:val="auto"/>
        </w:rPr>
      </w:pPr>
      <w:r>
        <w:rPr>
          <w:rFonts w:ascii="Arial" w:cs="Arial" w:eastAsia="Arial" w:hAnsi="Arial"/>
          <w:sz w:val="19"/>
          <w:szCs w:val="19"/>
          <w:b w:val="1"/>
          <w:bCs w:val="1"/>
          <w:color w:val="auto"/>
        </w:rPr>
        <w:t>Changes in Capital</w:t>
      </w:r>
    </w:p>
    <w:p>
      <w:pPr>
        <w:spacing w:after="0" w:line="261" w:lineRule="exact"/>
        <w:rPr>
          <w:sz w:val="20"/>
          <w:szCs w:val="20"/>
          <w:color w:val="auto"/>
        </w:rPr>
      </w:pPr>
    </w:p>
    <w:p>
      <w:pPr>
        <w:jc w:val="both"/>
        <w:ind w:left="5" w:firstLine="568"/>
        <w:spacing w:after="0" w:line="267" w:lineRule="auto"/>
        <w:rPr>
          <w:sz w:val="20"/>
          <w:szCs w:val="20"/>
          <w:color w:val="auto"/>
        </w:rPr>
      </w:pPr>
      <w:r>
        <w:rPr>
          <w:rFonts w:ascii="Arial" w:cs="Arial" w:eastAsia="Arial" w:hAnsi="Arial"/>
          <w:sz w:val="19"/>
          <w:szCs w:val="19"/>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204"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Transfer Agent and Registrar</w:t>
      </w:r>
    </w:p>
    <w:p>
      <w:pPr>
        <w:spacing w:after="0" w:line="261" w:lineRule="exact"/>
        <w:rPr>
          <w:sz w:val="20"/>
          <w:szCs w:val="20"/>
          <w:color w:val="auto"/>
        </w:rPr>
      </w:pPr>
    </w:p>
    <w:p>
      <w:pPr>
        <w:ind w:left="565"/>
        <w:spacing w:after="0"/>
        <w:rPr>
          <w:sz w:val="20"/>
          <w:szCs w:val="20"/>
          <w:color w:val="auto"/>
        </w:rPr>
      </w:pPr>
      <w:r>
        <w:rPr>
          <w:rFonts w:ascii="Arial" w:cs="Arial" w:eastAsia="Arial" w:hAnsi="Arial"/>
          <w:sz w:val="19"/>
          <w:szCs w:val="19"/>
          <w:color w:val="auto"/>
        </w:rPr>
        <w:t>The transfer agent and registrar for our ordinary shares is American Stock Transfer &amp; Trust Company, LLC.</w:t>
      </w:r>
    </w:p>
    <w:p>
      <w:pPr>
        <w:spacing w:after="0" w:line="249" w:lineRule="exact"/>
        <w:rPr>
          <w:sz w:val="20"/>
          <w:szCs w:val="20"/>
          <w:color w:val="auto"/>
        </w:rPr>
      </w:pPr>
    </w:p>
    <w:p>
      <w:pPr>
        <w:ind w:left="745" w:hanging="745"/>
        <w:spacing w:after="0"/>
        <w:tabs>
          <w:tab w:leader="none" w:pos="745" w:val="left"/>
        </w:tabs>
        <w:numPr>
          <w:ilvl w:val="0"/>
          <w:numId w:val="119"/>
        </w:numPr>
        <w:rPr>
          <w:rFonts w:ascii="Arial" w:cs="Arial" w:eastAsia="Arial" w:hAnsi="Arial"/>
          <w:sz w:val="19"/>
          <w:szCs w:val="19"/>
          <w:b w:val="1"/>
          <w:bCs w:val="1"/>
          <w:color w:val="auto"/>
        </w:rPr>
      </w:pPr>
      <w:r>
        <w:rPr>
          <w:rFonts w:ascii="Arial" w:cs="Arial" w:eastAsia="Arial" w:hAnsi="Arial"/>
          <w:sz w:val="19"/>
          <w:szCs w:val="19"/>
          <w:b w:val="1"/>
          <w:bCs w:val="1"/>
          <w:color w:val="auto"/>
        </w:rPr>
        <w:t>Material Contracts</w:t>
      </w:r>
    </w:p>
    <w:p>
      <w:pPr>
        <w:spacing w:after="0" w:line="261" w:lineRule="exact"/>
        <w:rPr>
          <w:sz w:val="20"/>
          <w:szCs w:val="20"/>
          <w:color w:val="auto"/>
        </w:rPr>
      </w:pPr>
    </w:p>
    <w:p>
      <w:pPr>
        <w:ind w:left="565"/>
        <w:spacing w:after="0"/>
        <w:rPr>
          <w:sz w:val="20"/>
          <w:szCs w:val="20"/>
          <w:color w:val="auto"/>
        </w:rPr>
      </w:pPr>
      <w:r>
        <w:rPr>
          <w:rFonts w:ascii="Arial" w:cs="Arial" w:eastAsia="Arial" w:hAnsi="Arial"/>
          <w:sz w:val="19"/>
          <w:szCs w:val="19"/>
          <w:color w:val="auto"/>
        </w:rPr>
        <w:t>For a description of other material agreements, please see "Item 4. Information on the Company – B. Business Overview."</w:t>
      </w:r>
    </w:p>
    <w:p>
      <w:pPr>
        <w:spacing w:after="0" w:line="249" w:lineRule="exact"/>
        <w:rPr>
          <w:sz w:val="20"/>
          <w:szCs w:val="20"/>
          <w:color w:val="auto"/>
        </w:rPr>
      </w:pPr>
    </w:p>
    <w:p>
      <w:pPr>
        <w:ind w:left="745" w:hanging="745"/>
        <w:spacing w:after="0"/>
        <w:tabs>
          <w:tab w:leader="none" w:pos="745" w:val="left"/>
        </w:tabs>
        <w:numPr>
          <w:ilvl w:val="0"/>
          <w:numId w:val="120"/>
        </w:numPr>
        <w:rPr>
          <w:rFonts w:ascii="Arial" w:cs="Arial" w:eastAsia="Arial" w:hAnsi="Arial"/>
          <w:sz w:val="19"/>
          <w:szCs w:val="19"/>
          <w:b w:val="1"/>
          <w:bCs w:val="1"/>
          <w:color w:val="auto"/>
        </w:rPr>
      </w:pPr>
      <w:r>
        <w:rPr>
          <w:rFonts w:ascii="Arial" w:cs="Arial" w:eastAsia="Arial" w:hAnsi="Arial"/>
          <w:sz w:val="19"/>
          <w:szCs w:val="19"/>
          <w:b w:val="1"/>
          <w:bCs w:val="1"/>
          <w:color w:val="auto"/>
        </w:rPr>
        <w:t>Exchange Controls</w:t>
      </w:r>
    </w:p>
    <w:p>
      <w:pPr>
        <w:spacing w:after="0" w:line="261" w:lineRule="exact"/>
        <w:rPr>
          <w:sz w:val="20"/>
          <w:szCs w:val="20"/>
          <w:color w:val="auto"/>
        </w:rPr>
      </w:pPr>
    </w:p>
    <w:p>
      <w:pPr>
        <w:jc w:val="both"/>
        <w:ind w:left="5" w:firstLine="568"/>
        <w:spacing w:after="0" w:line="271" w:lineRule="auto"/>
        <w:rPr>
          <w:sz w:val="20"/>
          <w:szCs w:val="20"/>
          <w:color w:val="auto"/>
        </w:rPr>
      </w:pPr>
      <w:r>
        <w:rPr>
          <w:rFonts w:ascii="Arial" w:cs="Arial" w:eastAsia="Arial" w:hAnsi="Arial"/>
          <w:sz w:val="19"/>
          <w:szCs w:val="19"/>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200" w:lineRule="exact"/>
        <w:rPr>
          <w:sz w:val="20"/>
          <w:szCs w:val="20"/>
          <w:color w:val="auto"/>
        </w:rPr>
      </w:pPr>
    </w:p>
    <w:p>
      <w:pPr>
        <w:ind w:left="745" w:hanging="745"/>
        <w:spacing w:after="0"/>
        <w:tabs>
          <w:tab w:leader="none" w:pos="745" w:val="left"/>
        </w:tabs>
        <w:numPr>
          <w:ilvl w:val="0"/>
          <w:numId w:val="121"/>
        </w:numPr>
        <w:rPr>
          <w:rFonts w:ascii="Arial" w:cs="Arial" w:eastAsia="Arial" w:hAnsi="Arial"/>
          <w:sz w:val="19"/>
          <w:szCs w:val="19"/>
          <w:b w:val="1"/>
          <w:bCs w:val="1"/>
          <w:color w:val="auto"/>
        </w:rPr>
      </w:pPr>
      <w:r>
        <w:rPr>
          <w:rFonts w:ascii="Arial" w:cs="Arial" w:eastAsia="Arial" w:hAnsi="Arial"/>
          <w:sz w:val="19"/>
          <w:szCs w:val="19"/>
          <w:b w:val="1"/>
          <w:bCs w:val="1"/>
          <w:color w:val="auto"/>
        </w:rPr>
        <w:t>Taxation</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Israeli Tax Considerations and Government Programs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General</w:t>
      </w:r>
    </w:p>
    <w:p>
      <w:pPr>
        <w:spacing w:after="0" w:line="255" w:lineRule="exact"/>
        <w:rPr>
          <w:sz w:val="20"/>
          <w:szCs w:val="20"/>
          <w:color w:val="auto"/>
        </w:rPr>
      </w:pPr>
    </w:p>
    <w:p>
      <w:pPr>
        <w:jc w:val="both"/>
        <w:ind w:left="5" w:firstLine="568"/>
        <w:spacing w:after="0" w:line="299" w:lineRule="auto"/>
        <w:rPr>
          <w:sz w:val="20"/>
          <w:szCs w:val="20"/>
          <w:color w:val="auto"/>
        </w:rPr>
      </w:pPr>
      <w:r>
        <w:rPr>
          <w:rFonts w:ascii="Arial" w:cs="Arial" w:eastAsia="Arial" w:hAnsi="Arial"/>
          <w:sz w:val="17"/>
          <w:szCs w:val="17"/>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188" w:lineRule="exact"/>
        <w:rPr>
          <w:sz w:val="20"/>
          <w:szCs w:val="20"/>
          <w:color w:val="auto"/>
        </w:rPr>
      </w:pPr>
    </w:p>
    <w:p>
      <w:pPr>
        <w:jc w:val="both"/>
        <w:ind w:left="5" w:firstLine="568"/>
        <w:spacing w:after="0" w:line="271" w:lineRule="auto"/>
        <w:rPr>
          <w:sz w:val="20"/>
          <w:szCs w:val="20"/>
          <w:color w:val="auto"/>
        </w:rPr>
      </w:pPr>
      <w:r>
        <w:rPr>
          <w:rFonts w:ascii="Arial" w:cs="Arial" w:eastAsia="Arial" w:hAnsi="Arial"/>
          <w:sz w:val="19"/>
          <w:szCs w:val="19"/>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206" w:lineRule="exact"/>
        <w:rPr>
          <w:sz w:val="20"/>
          <w:szCs w:val="20"/>
          <w:color w:val="auto"/>
        </w:rPr>
      </w:pPr>
    </w:p>
    <w:p>
      <w:pPr>
        <w:ind w:left="5"/>
        <w:spacing w:after="0"/>
        <w:rPr>
          <w:sz w:val="20"/>
          <w:szCs w:val="20"/>
          <w:color w:val="auto"/>
        </w:rPr>
      </w:pPr>
      <w:r>
        <w:rPr>
          <w:rFonts w:ascii="Arial" w:cs="Arial" w:eastAsia="Arial" w:hAnsi="Arial"/>
          <w:sz w:val="19"/>
          <w:szCs w:val="19"/>
          <w:i w:val="1"/>
          <w:iCs w:val="1"/>
          <w:color w:val="auto"/>
        </w:rPr>
        <w:t>General Corporate Tax Structure in Israel</w:t>
      </w:r>
    </w:p>
    <w:p>
      <w:pPr>
        <w:spacing w:after="0" w:line="255"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Israeli resident companies are generally subject to corporate tax at the rate of 23% in 2020.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34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29" w:name="page130"/>
    <w:bookmarkEnd w:id="129"/>
    <w:p>
      <w:pPr>
        <w:jc w:val="both"/>
        <w:ind w:firstLine="568"/>
        <w:spacing w:after="0" w:line="284" w:lineRule="auto"/>
        <w:rPr>
          <w:sz w:val="20"/>
          <w:szCs w:val="20"/>
          <w:color w:val="auto"/>
        </w:rPr>
      </w:pPr>
      <w:r>
        <w:rPr>
          <w:rFonts w:ascii="Arial" w:cs="Arial" w:eastAsia="Arial" w:hAnsi="Arial"/>
          <w:sz w:val="19"/>
          <w:szCs w:val="19"/>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Law for the Encouragement of Industry (Taxes), 5729-1969</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The Law for the Encouragement of Industry (Taxes), 5729-1969, generally referred to as the Industry Encouragement Law, provides several tax benefits for “Industrial Companies.”</w:t>
      </w:r>
    </w:p>
    <w:p>
      <w:pPr>
        <w:spacing w:after="0" w:line="193"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169"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following corporate tax benefits, among others, are available to Industrial Companies:</w:t>
      </w:r>
    </w:p>
    <w:p>
      <w:pPr>
        <w:spacing w:after="0" w:line="249" w:lineRule="exact"/>
        <w:rPr>
          <w:sz w:val="20"/>
          <w:szCs w:val="20"/>
          <w:color w:val="auto"/>
        </w:rPr>
      </w:pPr>
    </w:p>
    <w:p>
      <w:pPr>
        <w:ind w:left="740" w:right="20" w:hanging="426"/>
        <w:spacing w:after="0" w:line="268" w:lineRule="auto"/>
        <w:tabs>
          <w:tab w:leader="none" w:pos="740" w:val="left"/>
        </w:tabs>
        <w:numPr>
          <w:ilvl w:val="0"/>
          <w:numId w:val="122"/>
        </w:numPr>
        <w:rPr>
          <w:rFonts w:ascii="Arial" w:cs="Arial" w:eastAsia="Arial" w:hAnsi="Arial"/>
          <w:sz w:val="16"/>
          <w:szCs w:val="16"/>
          <w:color w:val="auto"/>
        </w:rPr>
      </w:pPr>
      <w:r>
        <w:rPr>
          <w:rFonts w:ascii="Arial" w:cs="Arial" w:eastAsia="Arial" w:hAnsi="Arial"/>
          <w:sz w:val="16"/>
          <w:szCs w:val="16"/>
          <w:color w:val="auto"/>
        </w:rPr>
        <w:t>amortization over an eight-year period of the cost of purchased know-how and patents and rights to use a patent and know-how which are used for the development or advancement of the Industrial Enterprise;</w:t>
      </w:r>
    </w:p>
    <w:p>
      <w:pPr>
        <w:spacing w:after="0" w:line="204" w:lineRule="exact"/>
        <w:rPr>
          <w:rFonts w:ascii="Arial" w:cs="Arial" w:eastAsia="Arial" w:hAnsi="Arial"/>
          <w:sz w:val="16"/>
          <w:szCs w:val="16"/>
          <w:color w:val="auto"/>
        </w:rPr>
      </w:pPr>
    </w:p>
    <w:p>
      <w:pPr>
        <w:ind w:left="740" w:hanging="426"/>
        <w:spacing w:after="0"/>
        <w:tabs>
          <w:tab w:leader="none" w:pos="740" w:val="left"/>
        </w:tabs>
        <w:numPr>
          <w:ilvl w:val="0"/>
          <w:numId w:val="122"/>
        </w:numPr>
        <w:rPr>
          <w:rFonts w:ascii="Arial" w:cs="Arial" w:eastAsia="Arial" w:hAnsi="Arial"/>
          <w:sz w:val="16"/>
          <w:szCs w:val="16"/>
          <w:color w:val="auto"/>
        </w:rPr>
      </w:pPr>
      <w:r>
        <w:rPr>
          <w:rFonts w:ascii="Arial" w:cs="Arial" w:eastAsia="Arial" w:hAnsi="Arial"/>
          <w:sz w:val="16"/>
          <w:szCs w:val="16"/>
          <w:color w:val="auto"/>
        </w:rPr>
        <w:t>under limited conditions, an election to file consolidated tax returns with related Israeli Industrial Companies;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22"/>
        </w:numPr>
        <w:rPr>
          <w:rFonts w:ascii="Arial" w:cs="Arial" w:eastAsia="Arial" w:hAnsi="Arial"/>
          <w:sz w:val="16"/>
          <w:szCs w:val="16"/>
          <w:color w:val="auto"/>
        </w:rPr>
      </w:pPr>
      <w:r>
        <w:rPr>
          <w:rFonts w:ascii="Arial" w:cs="Arial" w:eastAsia="Arial" w:hAnsi="Arial"/>
          <w:sz w:val="16"/>
          <w:szCs w:val="16"/>
          <w:color w:val="auto"/>
        </w:rPr>
        <w:t>expenses related to a public offering are deductible in equal amounts over three years.</w:t>
      </w:r>
    </w:p>
    <w:p>
      <w:pPr>
        <w:spacing w:after="0" w:line="247" w:lineRule="exact"/>
        <w:rPr>
          <w:sz w:val="20"/>
          <w:szCs w:val="20"/>
          <w:color w:val="auto"/>
        </w:rPr>
      </w:pPr>
    </w:p>
    <w:p>
      <w:pPr>
        <w:ind w:firstLine="568"/>
        <w:spacing w:after="0" w:line="284" w:lineRule="auto"/>
        <w:rPr>
          <w:sz w:val="20"/>
          <w:szCs w:val="20"/>
          <w:color w:val="auto"/>
        </w:rPr>
      </w:pPr>
      <w:r>
        <w:rPr>
          <w:rFonts w:ascii="Arial" w:cs="Arial" w:eastAsia="Arial" w:hAnsi="Arial"/>
          <w:sz w:val="19"/>
          <w:szCs w:val="19"/>
          <w:color w:val="auto"/>
        </w:rPr>
        <w:t>Although as of the date of this annual report, we do not have industrial production activities, we may qualify as an Industrial Company in the future and may be eligible for the benefits described above.</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Tax Benefits and Grants for Research and Development</w:t>
      </w:r>
    </w:p>
    <w:p>
      <w:pPr>
        <w:spacing w:after="0" w:line="255" w:lineRule="exact"/>
        <w:rPr>
          <w:sz w:val="20"/>
          <w:szCs w:val="20"/>
          <w:color w:val="auto"/>
        </w:rPr>
      </w:pPr>
    </w:p>
    <w:p>
      <w:pPr>
        <w:ind w:firstLine="568"/>
        <w:spacing w:after="0" w:line="284" w:lineRule="auto"/>
        <w:rPr>
          <w:sz w:val="20"/>
          <w:szCs w:val="20"/>
          <w:color w:val="auto"/>
        </w:rPr>
      </w:pPr>
      <w:r>
        <w:rPr>
          <w:rFonts w:ascii="Arial" w:cs="Arial" w:eastAsia="Arial" w:hAnsi="Arial"/>
          <w:sz w:val="19"/>
          <w:szCs w:val="19"/>
          <w:color w:val="auto"/>
        </w:rPr>
        <w:t>Israeli tax law allows, under certain conditions, a tax deduction for expenditures, including capital expenditures, for the year in which they are incurred. Expenditures are deemed related to scientific research and development projects, if:</w:t>
      </w:r>
    </w:p>
    <w:p>
      <w:pPr>
        <w:spacing w:after="0" w:line="187" w:lineRule="exact"/>
        <w:rPr>
          <w:sz w:val="20"/>
          <w:szCs w:val="20"/>
          <w:color w:val="auto"/>
        </w:rPr>
      </w:pPr>
    </w:p>
    <w:p>
      <w:pPr>
        <w:ind w:left="740" w:hanging="426"/>
        <w:spacing w:after="0"/>
        <w:tabs>
          <w:tab w:leader="none" w:pos="740" w:val="left"/>
        </w:tabs>
        <w:numPr>
          <w:ilvl w:val="0"/>
          <w:numId w:val="123"/>
        </w:numPr>
        <w:rPr>
          <w:rFonts w:ascii="Arial" w:cs="Arial" w:eastAsia="Arial" w:hAnsi="Arial"/>
          <w:sz w:val="16"/>
          <w:szCs w:val="16"/>
          <w:color w:val="auto"/>
        </w:rPr>
      </w:pPr>
      <w:r>
        <w:rPr>
          <w:rFonts w:ascii="Arial" w:cs="Arial" w:eastAsia="Arial" w:hAnsi="Arial"/>
          <w:sz w:val="16"/>
          <w:szCs w:val="16"/>
          <w:color w:val="auto"/>
        </w:rPr>
        <w:t>The expenditures are approved by the relevant Israeli government ministry, determined by the field of research;</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23"/>
        </w:numPr>
        <w:rPr>
          <w:rFonts w:ascii="Arial" w:cs="Arial" w:eastAsia="Arial" w:hAnsi="Arial"/>
          <w:sz w:val="16"/>
          <w:szCs w:val="16"/>
          <w:color w:val="auto"/>
        </w:rPr>
      </w:pPr>
      <w:r>
        <w:rPr>
          <w:rFonts w:ascii="Arial" w:cs="Arial" w:eastAsia="Arial" w:hAnsi="Arial"/>
          <w:sz w:val="16"/>
          <w:szCs w:val="16"/>
          <w:color w:val="auto"/>
        </w:rPr>
        <w:t>The research and development must be for the promotion of the company; and</w:t>
      </w:r>
    </w:p>
    <w:p>
      <w:pPr>
        <w:spacing w:after="0" w:line="241" w:lineRule="exact"/>
        <w:rPr>
          <w:rFonts w:ascii="Arial" w:cs="Arial" w:eastAsia="Arial" w:hAnsi="Arial"/>
          <w:sz w:val="16"/>
          <w:szCs w:val="16"/>
          <w:color w:val="auto"/>
        </w:rPr>
      </w:pPr>
    </w:p>
    <w:p>
      <w:pPr>
        <w:ind w:left="740" w:hanging="426"/>
        <w:spacing w:after="0"/>
        <w:tabs>
          <w:tab w:leader="none" w:pos="740" w:val="left"/>
        </w:tabs>
        <w:numPr>
          <w:ilvl w:val="0"/>
          <w:numId w:val="123"/>
        </w:numPr>
        <w:rPr>
          <w:rFonts w:ascii="Arial" w:cs="Arial" w:eastAsia="Arial" w:hAnsi="Arial"/>
          <w:sz w:val="16"/>
          <w:szCs w:val="16"/>
          <w:color w:val="auto"/>
        </w:rPr>
      </w:pPr>
      <w:r>
        <w:rPr>
          <w:rFonts w:ascii="Arial" w:cs="Arial" w:eastAsia="Arial" w:hAnsi="Arial"/>
          <w:sz w:val="16"/>
          <w:szCs w:val="16"/>
          <w:color w:val="auto"/>
        </w:rPr>
        <w:t>The research and development are carried out by or on behalf of the company seeking such tax deduction.</w:t>
      </w:r>
    </w:p>
    <w:p>
      <w:pPr>
        <w:spacing w:after="0" w:line="247"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210"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From time to time we may apply to the IIA for approval to allow a tax deduction for all research and development expenses during the year incurred. There can be no assurance that such application will be accepted.</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0" w:name="page131"/>
    <w:bookmarkEnd w:id="130"/>
    <w:p>
      <w:pPr>
        <w:spacing w:after="0"/>
        <w:rPr>
          <w:sz w:val="20"/>
          <w:szCs w:val="20"/>
          <w:color w:val="auto"/>
        </w:rPr>
      </w:pPr>
      <w:r>
        <w:rPr>
          <w:rFonts w:ascii="Arial" w:cs="Arial" w:eastAsia="Arial" w:hAnsi="Arial"/>
          <w:sz w:val="19"/>
          <w:szCs w:val="19"/>
          <w:i w:val="1"/>
          <w:iCs w:val="1"/>
          <w:color w:val="auto"/>
        </w:rPr>
        <w:t>Law for the Encouragement of Capital Investments, 5719-1959</w:t>
      </w:r>
    </w:p>
    <w:p>
      <w:pPr>
        <w:spacing w:after="0" w:line="255" w:lineRule="exact"/>
        <w:rPr>
          <w:sz w:val="20"/>
          <w:szCs w:val="20"/>
          <w:color w:val="auto"/>
        </w:rPr>
      </w:pPr>
    </w:p>
    <w:p>
      <w:pPr>
        <w:jc w:val="both"/>
        <w:ind w:right="20" w:firstLine="568"/>
        <w:spacing w:after="0" w:line="345" w:lineRule="auto"/>
        <w:rPr>
          <w:sz w:val="20"/>
          <w:szCs w:val="20"/>
          <w:color w:val="auto"/>
        </w:rPr>
      </w:pPr>
      <w:r>
        <w:rPr>
          <w:rFonts w:ascii="Arial" w:cs="Arial" w:eastAsia="Arial" w:hAnsi="Arial"/>
          <w:sz w:val="17"/>
          <w:szCs w:val="17"/>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148"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Tax Benefits Prior to the 2005 Amendment</w:t>
      </w:r>
    </w:p>
    <w:p>
      <w:pPr>
        <w:spacing w:after="0" w:line="255"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181" w:lineRule="exact"/>
        <w:rPr>
          <w:sz w:val="20"/>
          <w:szCs w:val="20"/>
          <w:color w:val="auto"/>
        </w:rPr>
      </w:pPr>
    </w:p>
    <w:p>
      <w:pPr>
        <w:jc w:val="both"/>
        <w:ind w:firstLine="568"/>
        <w:spacing w:after="0" w:line="318" w:lineRule="auto"/>
        <w:rPr>
          <w:sz w:val="20"/>
          <w:szCs w:val="20"/>
          <w:color w:val="auto"/>
        </w:rPr>
      </w:pPr>
      <w:r>
        <w:rPr>
          <w:rFonts w:ascii="Arial" w:cs="Arial" w:eastAsia="Arial" w:hAnsi="Arial"/>
          <w:sz w:val="17"/>
          <w:szCs w:val="17"/>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169"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181"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Tax Benefits Subsequent to the 2005 Amendment</w:t>
      </w:r>
    </w:p>
    <w:p>
      <w:pPr>
        <w:spacing w:after="0" w:line="255" w:lineRule="exact"/>
        <w:rPr>
          <w:sz w:val="20"/>
          <w:szCs w:val="20"/>
          <w:color w:val="auto"/>
        </w:rPr>
      </w:pPr>
    </w:p>
    <w:p>
      <w:pPr>
        <w:jc w:val="both"/>
        <w:ind w:firstLine="568"/>
        <w:spacing w:after="0" w:line="263" w:lineRule="auto"/>
        <w:rPr>
          <w:sz w:val="20"/>
          <w:szCs w:val="20"/>
          <w:color w:val="auto"/>
        </w:rPr>
      </w:pPr>
      <w:r>
        <w:rPr>
          <w:rFonts w:ascii="Arial" w:cs="Arial" w:eastAsia="Arial" w:hAnsi="Arial"/>
          <w:sz w:val="19"/>
          <w:szCs w:val="19"/>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216"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213"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1" w:name="page132"/>
    <w:bookmarkEnd w:id="131"/>
    <w:p>
      <w:pPr>
        <w:jc w:val="both"/>
        <w:ind w:firstLine="568"/>
        <w:spacing w:after="0" w:line="297" w:lineRule="auto"/>
        <w:rPr>
          <w:sz w:val="20"/>
          <w:szCs w:val="20"/>
          <w:color w:val="auto"/>
        </w:rPr>
      </w:pPr>
      <w:r>
        <w:rPr>
          <w:rFonts w:ascii="Arial" w:cs="Arial" w:eastAsia="Arial" w:hAnsi="Arial"/>
          <w:sz w:val="17"/>
          <w:szCs w:val="17"/>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20% or such lower rate as may be provided in an applicable tax treaty.</w:t>
      </w:r>
    </w:p>
    <w:p>
      <w:pPr>
        <w:spacing w:after="0" w:line="188" w:lineRule="exact"/>
        <w:rPr>
          <w:sz w:val="20"/>
          <w:szCs w:val="20"/>
          <w:color w:val="auto"/>
        </w:rPr>
      </w:pPr>
    </w:p>
    <w:p>
      <w:pPr>
        <w:jc w:val="both"/>
        <w:ind w:right="760" w:firstLine="568"/>
        <w:spacing w:after="0" w:line="271" w:lineRule="auto"/>
        <w:rPr>
          <w:sz w:val="20"/>
          <w:szCs w:val="20"/>
          <w:color w:val="auto"/>
        </w:rPr>
      </w:pPr>
      <w:r>
        <w:rPr>
          <w:rFonts w:ascii="Arial" w:cs="Arial" w:eastAsia="Arial" w:hAnsi="Arial"/>
          <w:sz w:val="19"/>
          <w:szCs w:val="19"/>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206" w:lineRule="exact"/>
        <w:rPr>
          <w:sz w:val="20"/>
          <w:szCs w:val="20"/>
          <w:color w:val="auto"/>
        </w:rPr>
      </w:pPr>
    </w:p>
    <w:p>
      <w:pPr>
        <w:jc w:val="both"/>
        <w:ind w:firstLine="568"/>
        <w:spacing w:after="0" w:line="265" w:lineRule="auto"/>
        <w:rPr>
          <w:sz w:val="20"/>
          <w:szCs w:val="20"/>
          <w:color w:val="auto"/>
        </w:rPr>
      </w:pPr>
      <w:r>
        <w:rPr>
          <w:rFonts w:ascii="Arial" w:cs="Arial" w:eastAsia="Arial" w:hAnsi="Arial"/>
          <w:sz w:val="19"/>
          <w:szCs w:val="19"/>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Tax Benefits Under the 2011 Amendment</w:t>
      </w:r>
    </w:p>
    <w:p>
      <w:pPr>
        <w:spacing w:after="0" w:line="255" w:lineRule="exact"/>
        <w:rPr>
          <w:sz w:val="20"/>
          <w:szCs w:val="20"/>
          <w:color w:val="auto"/>
        </w:rPr>
      </w:pPr>
    </w:p>
    <w:p>
      <w:pPr>
        <w:jc w:val="both"/>
        <w:ind w:right="20" w:firstLine="568"/>
        <w:spacing w:after="0" w:line="313" w:lineRule="auto"/>
        <w:rPr>
          <w:sz w:val="20"/>
          <w:szCs w:val="20"/>
          <w:color w:val="auto"/>
        </w:rPr>
      </w:pPr>
      <w:r>
        <w:rPr>
          <w:rFonts w:ascii="Arial" w:cs="Arial" w:eastAsia="Arial" w:hAnsi="Arial"/>
          <w:sz w:val="18"/>
          <w:szCs w:val="18"/>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170" w:lineRule="exact"/>
        <w:rPr>
          <w:sz w:val="20"/>
          <w:szCs w:val="20"/>
          <w:color w:val="auto"/>
        </w:rPr>
      </w:pPr>
    </w:p>
    <w:p>
      <w:pPr>
        <w:jc w:val="both"/>
        <w:ind w:firstLine="568"/>
        <w:spacing w:after="0" w:line="271" w:lineRule="auto"/>
        <w:rPr>
          <w:sz w:val="20"/>
          <w:szCs w:val="20"/>
          <w:color w:val="auto"/>
        </w:rPr>
      </w:pPr>
      <w:r>
        <w:rPr>
          <w:rFonts w:ascii="Arial" w:cs="Arial" w:eastAsia="Arial" w:hAnsi="Arial"/>
          <w:sz w:val="19"/>
          <w:szCs w:val="19"/>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206" w:lineRule="exact"/>
        <w:rPr>
          <w:sz w:val="20"/>
          <w:szCs w:val="20"/>
          <w:color w:val="auto"/>
        </w:rPr>
      </w:pPr>
    </w:p>
    <w:p>
      <w:pPr>
        <w:ind w:left="560"/>
        <w:spacing w:after="0"/>
        <w:rPr>
          <w:sz w:val="20"/>
          <w:szCs w:val="20"/>
          <w:color w:val="auto"/>
        </w:rPr>
      </w:pPr>
      <w:r>
        <w:rPr>
          <w:rFonts w:ascii="Arial" w:cs="Arial" w:eastAsia="Arial" w:hAnsi="Arial"/>
          <w:sz w:val="17"/>
          <w:szCs w:val="17"/>
          <w:color w:val="auto"/>
        </w:rPr>
        <w:t>A Preferred Company is entitled to a reduced flat tax rate with respect to the income attributed to the Preferred Enterprise, at the following</w:t>
      </w:r>
    </w:p>
    <w:p>
      <w:pPr>
        <w:spacing w:after="0" w:line="45" w:lineRule="exact"/>
        <w:rPr>
          <w:sz w:val="20"/>
          <w:szCs w:val="20"/>
          <w:color w:val="auto"/>
        </w:rPr>
      </w:pPr>
    </w:p>
    <w:p>
      <w:pPr>
        <w:spacing w:after="0"/>
        <w:rPr>
          <w:sz w:val="20"/>
          <w:szCs w:val="20"/>
          <w:color w:val="auto"/>
        </w:rPr>
      </w:pPr>
      <w:r>
        <w:rPr>
          <w:rFonts w:ascii="Arial" w:cs="Arial" w:eastAsia="Arial" w:hAnsi="Arial"/>
          <w:sz w:val="19"/>
          <w:szCs w:val="19"/>
          <w:color w:val="auto"/>
        </w:rPr>
        <w:t>rates: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8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7"/>
              </w:rPr>
              <w:t>Development</w:t>
            </w:r>
          </w:p>
        </w:tc>
        <w:tc>
          <w:tcPr>
            <w:tcW w:w="1260" w:type="dxa"/>
            <w:vAlign w:val="bottom"/>
            <w:gridSpan w:val="2"/>
          </w:tcPr>
          <w:p>
            <w:pPr>
              <w:ind w:left="140"/>
              <w:spacing w:after="0"/>
              <w:rPr>
                <w:sz w:val="20"/>
                <w:szCs w:val="20"/>
                <w:color w:val="auto"/>
              </w:rPr>
            </w:pPr>
            <w:r>
              <w:rPr>
                <w:rFonts w:ascii="Arial" w:cs="Arial" w:eastAsia="Arial" w:hAnsi="Arial"/>
                <w:sz w:val="16"/>
                <w:szCs w:val="16"/>
                <w:b w:val="1"/>
                <w:bCs w:val="1"/>
                <w:color w:val="auto"/>
              </w:rPr>
              <w:t>Other Areas</w:t>
            </w:r>
          </w:p>
        </w:tc>
      </w:tr>
      <w:tr>
        <w:trPr>
          <w:trHeight w:val="209"/>
        </w:trPr>
        <w:tc>
          <w:tcPr>
            <w:tcW w:w="854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Tax Year</w:t>
            </w:r>
          </w:p>
        </w:tc>
        <w:tc>
          <w:tcPr>
            <w:tcW w:w="100" w:type="dxa"/>
            <w:vAlign w:val="bottom"/>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0"/>
              </w:rPr>
              <w:t>Region “A”</w:t>
            </w:r>
          </w:p>
        </w:tc>
        <w:tc>
          <w:tcPr>
            <w:tcW w:w="240" w:type="dxa"/>
            <w:vAlign w:val="bottom"/>
          </w:tcPr>
          <w:p>
            <w:pPr>
              <w:spacing w:after="0"/>
              <w:rPr>
                <w:sz w:val="18"/>
                <w:szCs w:val="18"/>
                <w:color w:val="auto"/>
              </w:rPr>
            </w:pPr>
          </w:p>
        </w:tc>
        <w:tc>
          <w:tcPr>
            <w:tcW w:w="1120" w:type="dxa"/>
            <w:vAlign w:val="bottom"/>
            <w:tcBorders>
              <w:bottom w:val="single" w:sz="8" w:color="auto"/>
            </w:tcBorders>
          </w:tcPr>
          <w:p>
            <w:pPr>
              <w:ind w:left="120"/>
              <w:spacing w:after="0"/>
              <w:rPr>
                <w:sz w:val="20"/>
                <w:szCs w:val="20"/>
                <w:color w:val="auto"/>
              </w:rPr>
            </w:pPr>
            <w:r>
              <w:rPr>
                <w:rFonts w:ascii="Arial" w:cs="Arial" w:eastAsia="Arial" w:hAnsi="Arial"/>
                <w:sz w:val="16"/>
                <w:szCs w:val="16"/>
                <w:b w:val="1"/>
                <w:bCs w:val="1"/>
                <w:color w:val="auto"/>
              </w:rPr>
              <w:t>within Israel</w:t>
            </w:r>
          </w:p>
        </w:tc>
        <w:tc>
          <w:tcPr>
            <w:tcW w:w="140" w:type="dxa"/>
            <w:vAlign w:val="bottom"/>
          </w:tcPr>
          <w:p>
            <w:pPr>
              <w:spacing w:after="0"/>
              <w:rPr>
                <w:sz w:val="18"/>
                <w:szCs w:val="18"/>
                <w:color w:val="auto"/>
              </w:rPr>
            </w:pPr>
          </w:p>
        </w:tc>
      </w:tr>
      <w:tr>
        <w:trPr>
          <w:trHeight w:val="189"/>
        </w:trPr>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2011 – 2012</w:t>
            </w:r>
          </w:p>
        </w:tc>
        <w:tc>
          <w:tcPr>
            <w:tcW w:w="100" w:type="dxa"/>
            <w:vAlign w:val="bottom"/>
            <w:shd w:val="clear" w:color="auto" w:fill="CCEEFF"/>
          </w:tcPr>
          <w:p>
            <w:pPr>
              <w:spacing w:after="0"/>
              <w:rPr>
                <w:sz w:val="16"/>
                <w:szCs w:val="16"/>
                <w:color w:val="auto"/>
              </w:rPr>
            </w:pP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w:t>
            </w: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15%</w:t>
            </w:r>
          </w:p>
        </w:tc>
      </w:tr>
      <w:tr>
        <w:trPr>
          <w:trHeight w:val="189"/>
        </w:trPr>
        <w:tc>
          <w:tcPr>
            <w:tcW w:w="8540" w:type="dxa"/>
            <w:vAlign w:val="bottom"/>
          </w:tcPr>
          <w:p>
            <w:pPr>
              <w:spacing w:after="0"/>
              <w:rPr>
                <w:sz w:val="20"/>
                <w:szCs w:val="20"/>
                <w:color w:val="auto"/>
              </w:rPr>
            </w:pPr>
            <w:r>
              <w:rPr>
                <w:rFonts w:ascii="Arial" w:cs="Arial" w:eastAsia="Arial" w:hAnsi="Arial"/>
                <w:sz w:val="16"/>
                <w:szCs w:val="16"/>
                <w:color w:val="auto"/>
              </w:rPr>
              <w:t>2013</w:t>
            </w:r>
          </w:p>
        </w:tc>
        <w:tc>
          <w:tcPr>
            <w:tcW w:w="1460" w:type="dxa"/>
            <w:vAlign w:val="bottom"/>
            <w:gridSpan w:val="3"/>
          </w:tcPr>
          <w:p>
            <w:pPr>
              <w:jc w:val="right"/>
              <w:ind w:right="120"/>
              <w:spacing w:after="0"/>
              <w:rPr>
                <w:sz w:val="20"/>
                <w:szCs w:val="20"/>
                <w:color w:val="auto"/>
              </w:rPr>
            </w:pPr>
            <w:r>
              <w:rPr>
                <w:rFonts w:ascii="Arial" w:cs="Arial" w:eastAsia="Arial" w:hAnsi="Arial"/>
                <w:sz w:val="16"/>
                <w:szCs w:val="16"/>
                <w:color w:val="auto"/>
              </w:rPr>
              <w:t>7%</w:t>
            </w: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12.5%</w:t>
            </w:r>
          </w:p>
        </w:tc>
      </w:tr>
      <w:tr>
        <w:trPr>
          <w:trHeight w:val="189"/>
        </w:trPr>
        <w:tc>
          <w:tcPr>
            <w:tcW w:w="8540" w:type="dxa"/>
            <w:vAlign w:val="bottom"/>
            <w:shd w:val="clear" w:color="auto" w:fill="CCEEFF"/>
          </w:tcPr>
          <w:p>
            <w:pPr>
              <w:spacing w:after="0"/>
              <w:rPr>
                <w:sz w:val="20"/>
                <w:szCs w:val="20"/>
                <w:color w:val="auto"/>
              </w:rPr>
            </w:pPr>
            <w:r>
              <w:rPr>
                <w:rFonts w:ascii="Arial" w:cs="Arial" w:eastAsia="Arial" w:hAnsi="Arial"/>
                <w:sz w:val="16"/>
                <w:szCs w:val="16"/>
                <w:color w:val="auto"/>
              </w:rPr>
              <w:t>2014 – 2016</w:t>
            </w:r>
          </w:p>
        </w:tc>
        <w:tc>
          <w:tcPr>
            <w:tcW w:w="14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9%</w:t>
            </w: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16%</w:t>
            </w:r>
          </w:p>
        </w:tc>
      </w:tr>
      <w:tr>
        <w:trPr>
          <w:trHeight w:val="200"/>
        </w:trPr>
        <w:tc>
          <w:tcPr>
            <w:tcW w:w="8540" w:type="dxa"/>
            <w:vAlign w:val="bottom"/>
          </w:tcPr>
          <w:p>
            <w:pPr>
              <w:spacing w:after="0"/>
              <w:rPr>
                <w:sz w:val="20"/>
                <w:szCs w:val="20"/>
                <w:color w:val="auto"/>
              </w:rPr>
            </w:pPr>
            <w:r>
              <w:rPr>
                <w:rFonts w:ascii="Arial" w:cs="Arial" w:eastAsia="Arial" w:hAnsi="Arial"/>
                <w:sz w:val="16"/>
                <w:szCs w:val="16"/>
                <w:color w:val="auto"/>
              </w:rPr>
              <w:t>2017 and thereafter</w:t>
            </w:r>
          </w:p>
        </w:tc>
        <w:tc>
          <w:tcPr>
            <w:tcW w:w="1460" w:type="dxa"/>
            <w:vAlign w:val="bottom"/>
            <w:gridSpan w:val="3"/>
          </w:tcPr>
          <w:p>
            <w:pPr>
              <w:jc w:val="right"/>
              <w:ind w:right="120"/>
              <w:spacing w:after="0"/>
              <w:rPr>
                <w:sz w:val="20"/>
                <w:szCs w:val="20"/>
                <w:color w:val="auto"/>
              </w:rPr>
            </w:pPr>
            <w:r>
              <w:rPr>
                <w:rFonts w:ascii="Arial" w:cs="Arial" w:eastAsia="Arial" w:hAnsi="Arial"/>
                <w:sz w:val="16"/>
                <w:szCs w:val="16"/>
                <w:color w:val="auto"/>
              </w:rPr>
              <w:t>7.5%</w:t>
            </w:r>
          </w:p>
        </w:tc>
        <w:tc>
          <w:tcPr>
            <w:tcW w:w="1260" w:type="dxa"/>
            <w:vAlign w:val="bottom"/>
            <w:gridSpan w:val="2"/>
          </w:tcPr>
          <w:p>
            <w:pPr>
              <w:jc w:val="right"/>
              <w:ind w:right="20"/>
              <w:spacing w:after="0"/>
              <w:rPr>
                <w:sz w:val="20"/>
                <w:szCs w:val="20"/>
                <w:color w:val="auto"/>
              </w:rPr>
            </w:pPr>
            <w:r>
              <w:rPr>
                <w:rFonts w:ascii="Arial" w:cs="Arial" w:eastAsia="Arial" w:hAnsi="Arial"/>
                <w:sz w:val="16"/>
                <w:szCs w:val="16"/>
                <w:color w:val="auto"/>
              </w:rPr>
              <w:t>16%</w:t>
            </w:r>
          </w:p>
        </w:tc>
      </w:tr>
    </w:tbl>
    <w:p>
      <w:pPr>
        <w:spacing w:after="0" w:line="218" w:lineRule="exact"/>
        <w:rPr>
          <w:sz w:val="20"/>
          <w:szCs w:val="20"/>
          <w:color w:val="auto"/>
        </w:rPr>
      </w:pPr>
    </w:p>
    <w:p>
      <w:pPr>
        <w:jc w:val="both"/>
        <w:ind w:right="20" w:firstLine="568"/>
        <w:spacing w:after="0" w:line="267" w:lineRule="auto"/>
        <w:rPr>
          <w:sz w:val="20"/>
          <w:szCs w:val="20"/>
          <w:color w:val="auto"/>
        </w:rPr>
      </w:pPr>
      <w:r>
        <w:rPr>
          <w:rFonts w:ascii="Arial" w:cs="Arial" w:eastAsia="Arial" w:hAnsi="Arial"/>
          <w:sz w:val="19"/>
          <w:szCs w:val="19"/>
          <w:color w:val="auto"/>
        </w:rPr>
        <w:t>Dividends distributed from income which is attributed to a “Preferred Enterprise” will be subject to withholding tax at source at the following rates: (i) Israeli resident corporations — 0%, (ii) Israeli resident individuals — 20% in 2020 (iii) non-Israeli residents — may be reduced down to 4% in 2020, subject to certain conditions under the Investment Law and to a reduced tax rate under the provisions of an applicable double tax treaty.</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2" w:name="page133"/>
    <w:bookmarkEnd w:id="132"/>
    <w:p>
      <w:pPr>
        <w:jc w:val="both"/>
        <w:ind w:firstLine="568"/>
        <w:spacing w:after="0" w:line="267" w:lineRule="auto"/>
        <w:rPr>
          <w:sz w:val="20"/>
          <w:szCs w:val="20"/>
          <w:color w:val="auto"/>
        </w:rPr>
      </w:pPr>
      <w:r>
        <w:rPr>
          <w:rFonts w:ascii="Arial" w:cs="Arial" w:eastAsia="Arial" w:hAnsi="Arial"/>
          <w:sz w:val="19"/>
          <w:szCs w:val="19"/>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by an additional 4%). In addition, a company owning a Preferred Enterprise under the Grant Track may be entitled also to the tax benefits which are prescribed for a Preferred Company.</w:t>
      </w:r>
    </w:p>
    <w:p>
      <w:pPr>
        <w:spacing w:after="0" w:line="210"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9"/>
          <w:szCs w:val="19"/>
          <w:color w:val="auto"/>
        </w:rPr>
        <w:t>The termination or substantial reduction of any of the benefits available under the Investment Law could materially increase our tax liabilities.</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color w:val="auto"/>
        </w:rPr>
        <w:t>We are currently not entitled to tax benefits for a Preferred Enterprise.</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Taxation of Our Shareholders</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color w:val="auto"/>
        </w:rPr>
        <w:t>Capital Gains</w:t>
      </w:r>
    </w:p>
    <w:p>
      <w:pPr>
        <w:spacing w:after="0" w:line="255" w:lineRule="exact"/>
        <w:rPr>
          <w:sz w:val="20"/>
          <w:szCs w:val="20"/>
          <w:color w:val="auto"/>
        </w:rPr>
      </w:pPr>
    </w:p>
    <w:p>
      <w:pPr>
        <w:jc w:val="both"/>
        <w:ind w:firstLine="568"/>
        <w:spacing w:after="0" w:line="304" w:lineRule="auto"/>
        <w:rPr>
          <w:sz w:val="20"/>
          <w:szCs w:val="20"/>
          <w:color w:val="auto"/>
        </w:rPr>
      </w:pPr>
      <w:r>
        <w:rPr>
          <w:rFonts w:ascii="Arial" w:cs="Arial" w:eastAsia="Arial" w:hAnsi="Arial"/>
          <w:sz w:val="17"/>
          <w:szCs w:val="17"/>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181" w:lineRule="exact"/>
        <w:rPr>
          <w:sz w:val="20"/>
          <w:szCs w:val="20"/>
          <w:color w:val="auto"/>
        </w:rPr>
      </w:pPr>
    </w:p>
    <w:p>
      <w:pPr>
        <w:jc w:val="both"/>
        <w:ind w:firstLine="568"/>
        <w:spacing w:after="0" w:line="267" w:lineRule="auto"/>
        <w:rPr>
          <w:sz w:val="20"/>
          <w:szCs w:val="20"/>
          <w:color w:val="auto"/>
        </w:rPr>
      </w:pPr>
      <w:r>
        <w:rPr>
          <w:rFonts w:ascii="Arial" w:cs="Arial" w:eastAsia="Arial" w:hAnsi="Arial"/>
          <w:sz w:val="19"/>
          <w:szCs w:val="19"/>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1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Real Gain derived by corporations will be generally subject to the corporate tax rate of 23% in 2020.</w:t>
      </w:r>
    </w:p>
    <w:p>
      <w:pPr>
        <w:spacing w:after="0" w:line="255" w:lineRule="exact"/>
        <w:rPr>
          <w:sz w:val="20"/>
          <w:szCs w:val="20"/>
          <w:color w:val="auto"/>
        </w:rPr>
      </w:pPr>
    </w:p>
    <w:p>
      <w:pPr>
        <w:jc w:val="both"/>
        <w:ind w:right="20" w:firstLine="568"/>
        <w:spacing w:after="0" w:line="284" w:lineRule="auto"/>
        <w:rPr>
          <w:sz w:val="20"/>
          <w:szCs w:val="20"/>
          <w:color w:val="auto"/>
        </w:rPr>
      </w:pPr>
      <w:r>
        <w:rPr>
          <w:rFonts w:ascii="Arial" w:cs="Arial" w:eastAsia="Arial" w:hAnsi="Arial"/>
          <w:sz w:val="19"/>
          <w:szCs w:val="19"/>
          <w:color w:val="auto"/>
        </w:rPr>
        <w:t>Individual and corporate shareholder dealing in securities in Israel are taxed at the tax rates applicable to business income —23% for corporations in 2020, and a marginal tax rate of up to 50% for individuals, including an excess tax.</w:t>
      </w:r>
    </w:p>
    <w:p>
      <w:pPr>
        <w:spacing w:after="0" w:line="193" w:lineRule="exact"/>
        <w:rPr>
          <w:sz w:val="20"/>
          <w:szCs w:val="20"/>
          <w:color w:val="auto"/>
        </w:rPr>
      </w:pPr>
    </w:p>
    <w:p>
      <w:pPr>
        <w:jc w:val="both"/>
        <w:ind w:firstLine="568"/>
        <w:spacing w:after="0" w:line="264" w:lineRule="auto"/>
        <w:rPr>
          <w:sz w:val="20"/>
          <w:szCs w:val="20"/>
          <w:color w:val="auto"/>
        </w:rPr>
      </w:pPr>
      <w:r>
        <w:rPr>
          <w:rFonts w:ascii="Arial" w:cs="Arial" w:eastAsia="Arial" w:hAnsi="Arial"/>
          <w:sz w:val="19"/>
          <w:szCs w:val="19"/>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214" w:lineRule="exact"/>
        <w:rPr>
          <w:sz w:val="20"/>
          <w:szCs w:val="20"/>
          <w:color w:val="auto"/>
        </w:rPr>
      </w:pPr>
    </w:p>
    <w:p>
      <w:pPr>
        <w:jc w:val="both"/>
        <w:ind w:firstLine="568"/>
        <w:spacing w:after="0" w:line="284" w:lineRule="auto"/>
        <w:rPr>
          <w:sz w:val="20"/>
          <w:szCs w:val="20"/>
          <w:color w:val="auto"/>
        </w:rPr>
      </w:pPr>
      <w:r>
        <w:rPr>
          <w:rFonts w:ascii="Arial" w:cs="Arial" w:eastAsia="Arial" w:hAnsi="Arial"/>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195" w:lineRule="exact"/>
        <w:rPr>
          <w:sz w:val="20"/>
          <w:szCs w:val="20"/>
          <w:color w:val="auto"/>
        </w:rPr>
      </w:pPr>
    </w:p>
    <w:p>
      <w:pPr>
        <w:jc w:val="both"/>
        <w:ind w:right="20" w:firstLine="568"/>
        <w:spacing w:after="0" w:line="267" w:lineRule="auto"/>
        <w:rPr>
          <w:sz w:val="20"/>
          <w:szCs w:val="20"/>
          <w:color w:val="auto"/>
        </w:rPr>
      </w:pPr>
      <w:r>
        <w:rPr>
          <w:rFonts w:ascii="Arial" w:cs="Arial" w:eastAsia="Arial" w:hAnsi="Arial"/>
          <w:sz w:val="19"/>
          <w:szCs w:val="19"/>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(23% in 2020) if the seller is a corporation. Shareholders may be required to demonstrate that they are exempt from tax on their capital gains in order to avoid withholding at source at the time of sale.</w:t>
      </w: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3" w:name="page134"/>
    <w:bookmarkEnd w:id="133"/>
    <w:p>
      <w:pPr>
        <w:jc w:val="both"/>
        <w:ind w:firstLine="568"/>
        <w:spacing w:after="0" w:line="308" w:lineRule="auto"/>
        <w:rPr>
          <w:sz w:val="20"/>
          <w:szCs w:val="20"/>
          <w:color w:val="auto"/>
        </w:rPr>
      </w:pPr>
      <w:r>
        <w:rPr>
          <w:rFonts w:ascii="Arial" w:cs="Arial" w:eastAsia="Arial" w:hAnsi="Arial"/>
          <w:sz w:val="17"/>
          <w:szCs w:val="17"/>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179" w:lineRule="exact"/>
        <w:rPr>
          <w:sz w:val="20"/>
          <w:szCs w:val="20"/>
          <w:color w:val="auto"/>
        </w:rPr>
      </w:pPr>
    </w:p>
    <w:p>
      <w:pPr>
        <w:spacing w:after="0"/>
        <w:rPr>
          <w:sz w:val="20"/>
          <w:szCs w:val="20"/>
          <w:color w:val="auto"/>
        </w:rPr>
      </w:pPr>
      <w:r>
        <w:rPr>
          <w:rFonts w:ascii="Arial" w:cs="Arial" w:eastAsia="Arial" w:hAnsi="Arial"/>
          <w:sz w:val="19"/>
          <w:szCs w:val="19"/>
          <w:color w:val="auto"/>
        </w:rPr>
        <w:t>Dividends</w:t>
      </w:r>
    </w:p>
    <w:p>
      <w:pPr>
        <w:spacing w:after="0" w:line="255" w:lineRule="exact"/>
        <w:rPr>
          <w:sz w:val="20"/>
          <w:szCs w:val="20"/>
          <w:color w:val="auto"/>
        </w:rPr>
      </w:pPr>
    </w:p>
    <w:p>
      <w:pPr>
        <w:jc w:val="both"/>
        <w:ind w:firstLine="568"/>
        <w:spacing w:after="0" w:line="279" w:lineRule="auto"/>
        <w:rPr>
          <w:sz w:val="20"/>
          <w:szCs w:val="20"/>
          <w:color w:val="auto"/>
        </w:rPr>
      </w:pPr>
      <w:r>
        <w:rPr>
          <w:rFonts w:ascii="Arial" w:cs="Arial" w:eastAsia="Arial" w:hAnsi="Arial"/>
          <w:sz w:val="18"/>
          <w:szCs w:val="18"/>
          <w:color w:val="auto"/>
        </w:rPr>
        <w:t>We have never paid cash dividends. A distribution of a dividend by our company from income attributed to a Benefited Enterprise will generally be subject to withholding tax in Israel at a rate of 20% unless a reduced tax rate is provided under an applicable tax treaty. A distribution of a dividend by our company from income attributed to a Preferred Enterprise will generally be subject to withholding tax in Israel at the following tax rates: Israeli resident individuals — 20%; Israeli resident companies — 0% for a Preferred Enterprise; Non-Israeli residents — 20%,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00" w:lineRule="exact"/>
        <w:rPr>
          <w:sz w:val="20"/>
          <w:szCs w:val="20"/>
          <w:color w:val="auto"/>
        </w:rPr>
      </w:pPr>
    </w:p>
    <w:p>
      <w:pPr>
        <w:jc w:val="both"/>
        <w:ind w:firstLine="568"/>
        <w:spacing w:after="0" w:line="295" w:lineRule="auto"/>
        <w:rPr>
          <w:sz w:val="20"/>
          <w:szCs w:val="20"/>
          <w:color w:val="auto"/>
        </w:rPr>
      </w:pPr>
      <w:r>
        <w:rPr>
          <w:rFonts w:ascii="Arial" w:cs="Arial" w:eastAsia="Arial" w:hAnsi="Arial"/>
          <w:sz w:val="17"/>
          <w:szCs w:val="17"/>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 (i) 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195" w:lineRule="exact"/>
        <w:rPr>
          <w:sz w:val="20"/>
          <w:szCs w:val="20"/>
          <w:color w:val="auto"/>
        </w:rPr>
      </w:pPr>
    </w:p>
    <w:p>
      <w:pPr>
        <w:jc w:val="both"/>
        <w:ind w:right="20" w:firstLine="568"/>
        <w:spacing w:after="0" w:line="293" w:lineRule="auto"/>
        <w:rPr>
          <w:sz w:val="20"/>
          <w:szCs w:val="20"/>
          <w:color w:val="auto"/>
        </w:rPr>
      </w:pPr>
      <w:r>
        <w:rPr>
          <w:rFonts w:ascii="Arial" w:cs="Arial" w:eastAsia="Arial" w:hAnsi="Arial"/>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188" w:lineRule="exact"/>
        <w:rPr>
          <w:sz w:val="20"/>
          <w:szCs w:val="20"/>
          <w:color w:val="auto"/>
        </w:rPr>
      </w:pPr>
    </w:p>
    <w:p>
      <w:pPr>
        <w:jc w:val="both"/>
        <w:ind w:right="20" w:firstLine="568"/>
        <w:spacing w:after="0" w:line="267" w:lineRule="auto"/>
        <w:rPr>
          <w:sz w:val="20"/>
          <w:szCs w:val="20"/>
          <w:color w:val="auto"/>
        </w:rPr>
      </w:pPr>
      <w:r>
        <w:rPr>
          <w:rFonts w:ascii="Arial" w:cs="Arial" w:eastAsia="Arial" w:hAnsi="Arial"/>
          <w:sz w:val="19"/>
          <w:szCs w:val="19"/>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210" w:lineRule="exact"/>
        <w:rPr>
          <w:sz w:val="20"/>
          <w:szCs w:val="20"/>
          <w:color w:val="auto"/>
        </w:rPr>
      </w:pPr>
    </w:p>
    <w:p>
      <w:pPr>
        <w:spacing w:after="0"/>
        <w:rPr>
          <w:sz w:val="20"/>
          <w:szCs w:val="20"/>
          <w:color w:val="auto"/>
        </w:rPr>
      </w:pPr>
      <w:r>
        <w:rPr>
          <w:rFonts w:ascii="Arial" w:cs="Arial" w:eastAsia="Arial" w:hAnsi="Arial"/>
          <w:sz w:val="19"/>
          <w:szCs w:val="19"/>
          <w:color w:val="auto"/>
        </w:rPr>
        <w:t>Excess Tax</w:t>
      </w:r>
    </w:p>
    <w:p>
      <w:pPr>
        <w:spacing w:after="0" w:line="255" w:lineRule="exact"/>
        <w:rPr>
          <w:sz w:val="20"/>
          <w:szCs w:val="20"/>
          <w:color w:val="auto"/>
        </w:rPr>
      </w:pPr>
    </w:p>
    <w:p>
      <w:pPr>
        <w:jc w:val="both"/>
        <w:ind w:right="20" w:firstLine="568"/>
        <w:spacing w:after="0" w:line="271" w:lineRule="auto"/>
        <w:rPr>
          <w:sz w:val="20"/>
          <w:szCs w:val="20"/>
          <w:color w:val="auto"/>
        </w:rPr>
      </w:pPr>
      <w:r>
        <w:rPr>
          <w:rFonts w:ascii="Arial" w:cs="Arial" w:eastAsia="Arial" w:hAnsi="Arial"/>
          <w:sz w:val="19"/>
          <w:szCs w:val="19"/>
          <w:color w:val="auto"/>
        </w:rPr>
        <w:t>Individuals who are subject to tax in Israel are also subject to an additional tax at a rate of 3% on annual income exceeding NIS 651,600 for 2020, linked to the annual change in the Israeli consumer price index, including, but not limited to income derived from, dividends, interest and capital gains.</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4" w:name="page135"/>
    <w:bookmarkEnd w:id="134"/>
    <w:p>
      <w:pPr>
        <w:spacing w:after="0"/>
        <w:rPr>
          <w:sz w:val="20"/>
          <w:szCs w:val="20"/>
          <w:color w:val="auto"/>
        </w:rPr>
      </w:pPr>
      <w:r>
        <w:rPr>
          <w:rFonts w:ascii="Arial" w:cs="Arial" w:eastAsia="Arial" w:hAnsi="Arial"/>
          <w:sz w:val="19"/>
          <w:szCs w:val="19"/>
          <w:color w:val="auto"/>
        </w:rPr>
        <w:t>Foreign Exchange Regulations</w:t>
      </w:r>
    </w:p>
    <w:p>
      <w:pPr>
        <w:spacing w:after="0" w:line="255" w:lineRule="exact"/>
        <w:rPr>
          <w:sz w:val="20"/>
          <w:szCs w:val="20"/>
          <w:color w:val="auto"/>
        </w:rPr>
      </w:pPr>
    </w:p>
    <w:p>
      <w:pPr>
        <w:jc w:val="both"/>
        <w:ind w:firstLine="568"/>
        <w:spacing w:after="0" w:line="308" w:lineRule="auto"/>
        <w:rPr>
          <w:sz w:val="20"/>
          <w:szCs w:val="20"/>
          <w:color w:val="auto"/>
        </w:rPr>
      </w:pPr>
      <w:r>
        <w:rPr>
          <w:rFonts w:ascii="Arial" w:cs="Arial" w:eastAsia="Arial" w:hAnsi="Arial"/>
          <w:sz w:val="17"/>
          <w:szCs w:val="17"/>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179" w:lineRule="exact"/>
        <w:rPr>
          <w:sz w:val="20"/>
          <w:szCs w:val="20"/>
          <w:color w:val="auto"/>
        </w:rPr>
      </w:pPr>
    </w:p>
    <w:p>
      <w:pPr>
        <w:spacing w:after="0"/>
        <w:rPr>
          <w:sz w:val="20"/>
          <w:szCs w:val="20"/>
          <w:color w:val="auto"/>
        </w:rPr>
      </w:pPr>
      <w:r>
        <w:rPr>
          <w:rFonts w:ascii="Arial" w:cs="Arial" w:eastAsia="Arial" w:hAnsi="Arial"/>
          <w:sz w:val="19"/>
          <w:szCs w:val="19"/>
          <w:color w:val="auto"/>
        </w:rPr>
        <w:t>Estate and Gift Tax</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color w:val="auto"/>
        </w:rPr>
        <w:t>Israeli law presently does not impose estate or gift taxes.</w:t>
      </w: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U.S. Federal Income Tax Considerations with respect to the Company</w:t>
      </w:r>
    </w:p>
    <w:p>
      <w:pPr>
        <w:spacing w:after="0" w:line="261" w:lineRule="exact"/>
        <w:rPr>
          <w:sz w:val="20"/>
          <w:szCs w:val="20"/>
          <w:color w:val="auto"/>
        </w:rPr>
      </w:pPr>
    </w:p>
    <w:p>
      <w:pPr>
        <w:jc w:val="both"/>
        <w:ind w:left="80" w:right="160" w:firstLine="473"/>
        <w:spacing w:after="0" w:line="267" w:lineRule="auto"/>
        <w:rPr>
          <w:sz w:val="20"/>
          <w:szCs w:val="20"/>
          <w:color w:val="auto"/>
        </w:rPr>
      </w:pPr>
      <w:r>
        <w:rPr>
          <w:rFonts w:ascii="Arial" w:cs="Arial" w:eastAsia="Arial" w:hAnsi="Arial"/>
          <w:sz w:val="19"/>
          <w:szCs w:val="19"/>
          <w:color w:val="auto"/>
        </w:rPr>
        <w:t>The following discussion describes certain material U.S. federal income tax consequences to U.S. Holders (as defined below) under present law of an investment in our ordinary shares or warrants. This discussion applies only to U.S. Holders that hold our ordinary shares or warrants as capital assets within the meaning of Section 1221 of the Internal Revenue Code of 1986, as amended, or (the Code, and that have the U.S. dollar as their functional currency.</w:t>
      </w:r>
    </w:p>
    <w:p>
      <w:pPr>
        <w:spacing w:after="0" w:line="210" w:lineRule="exact"/>
        <w:rPr>
          <w:sz w:val="20"/>
          <w:szCs w:val="20"/>
          <w:color w:val="auto"/>
        </w:rPr>
      </w:pPr>
    </w:p>
    <w:p>
      <w:pPr>
        <w:jc w:val="both"/>
        <w:ind w:left="80" w:right="80" w:firstLine="473"/>
        <w:spacing w:after="0" w:line="301" w:lineRule="auto"/>
        <w:rPr>
          <w:sz w:val="20"/>
          <w:szCs w:val="20"/>
          <w:color w:val="auto"/>
        </w:rPr>
      </w:pPr>
      <w:r>
        <w:rPr>
          <w:rFonts w:ascii="Arial" w:cs="Arial" w:eastAsia="Arial" w:hAnsi="Arial"/>
          <w:sz w:val="17"/>
          <w:szCs w:val="17"/>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 The following discussion neither deals with the tax consequences to any particular investor nor describes all of the tax consequences applicable to persons in special tax situations such as:</w:t>
      </w:r>
    </w:p>
    <w:p>
      <w:pPr>
        <w:spacing w:after="0" w:line="179" w:lineRule="exact"/>
        <w:rPr>
          <w:sz w:val="20"/>
          <w:szCs w:val="20"/>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banks;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certain financial institutions;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insurance companies;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regulated investment companies;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real estate investment trusts;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broker-dealers;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traders that elect to mark to market;</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U.S. expatriates;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tax-exempt entities;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persons holding our ordinary shares or warrants as part of a straddle, hedging, constructive sale, conversion or integrated transaction;</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persons that actually or constructively (including through the ownership of our warrants) own 10% or more of our share capital (by vote or value);</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persons that are resident or ordinarily resident in or have a permanent establishment in a jurisdiction outside the United States;</w:t>
      </w:r>
    </w:p>
    <w:p>
      <w:pPr>
        <w:spacing w:after="0" w:line="241" w:lineRule="exact"/>
        <w:rPr>
          <w:rFonts w:ascii="Arial" w:cs="Arial" w:eastAsia="Arial" w:hAnsi="Arial"/>
          <w:sz w:val="16"/>
          <w:szCs w:val="16"/>
          <w:color w:val="auto"/>
        </w:rPr>
      </w:pPr>
    </w:p>
    <w:p>
      <w:pPr>
        <w:ind w:left="640" w:hanging="279"/>
        <w:spacing w:after="0"/>
        <w:tabs>
          <w:tab w:leader="none" w:pos="640" w:val="left"/>
        </w:tabs>
        <w:numPr>
          <w:ilvl w:val="0"/>
          <w:numId w:val="124"/>
        </w:numPr>
        <w:rPr>
          <w:rFonts w:ascii="Arial" w:cs="Arial" w:eastAsia="Arial" w:hAnsi="Arial"/>
          <w:sz w:val="16"/>
          <w:szCs w:val="16"/>
          <w:color w:val="auto"/>
        </w:rPr>
      </w:pPr>
      <w:r>
        <w:rPr>
          <w:rFonts w:ascii="Arial" w:cs="Arial" w:eastAsia="Arial" w:hAnsi="Arial"/>
          <w:sz w:val="16"/>
          <w:szCs w:val="16"/>
          <w:color w:val="auto"/>
        </w:rPr>
        <w:t>persons who acquired our ordinary shares or warrants pursuant to the exercise of any employee share option or otherwise as compensation;</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35" w:name="page136"/>
    <w:bookmarkEnd w:id="135"/>
    <w:p>
      <w:pPr>
        <w:ind w:left="640" w:right="320" w:hanging="279"/>
        <w:spacing w:after="0" w:line="268" w:lineRule="auto"/>
        <w:tabs>
          <w:tab w:leader="none" w:pos="640" w:val="left"/>
        </w:tabs>
        <w:numPr>
          <w:ilvl w:val="0"/>
          <w:numId w:val="125"/>
        </w:numPr>
        <w:rPr>
          <w:rFonts w:ascii="Arial" w:cs="Arial" w:eastAsia="Arial" w:hAnsi="Arial"/>
          <w:sz w:val="16"/>
          <w:szCs w:val="16"/>
          <w:color w:val="auto"/>
        </w:rPr>
      </w:pPr>
      <w:r>
        <w:rPr>
          <w:rFonts w:ascii="Arial" w:cs="Arial" w:eastAsia="Arial" w:hAnsi="Arial"/>
          <w:sz w:val="16"/>
          <w:szCs w:val="16"/>
          <w:color w:val="auto"/>
        </w:rPr>
        <w:t>persons subject to special tax accounting rules as a result of any item of gross income with respect to our ordinary shares or warrants being taken into account in an applicable financial statement; or</w:t>
      </w:r>
    </w:p>
    <w:p>
      <w:pPr>
        <w:spacing w:after="0" w:line="180" w:lineRule="exact"/>
        <w:rPr>
          <w:rFonts w:ascii="Arial" w:cs="Arial" w:eastAsia="Arial" w:hAnsi="Arial"/>
          <w:sz w:val="16"/>
          <w:szCs w:val="16"/>
          <w:color w:val="auto"/>
        </w:rPr>
      </w:pPr>
    </w:p>
    <w:p>
      <w:pPr>
        <w:ind w:left="640" w:hanging="279"/>
        <w:spacing w:after="0"/>
        <w:tabs>
          <w:tab w:leader="none" w:pos="640" w:val="left"/>
        </w:tabs>
        <w:numPr>
          <w:ilvl w:val="0"/>
          <w:numId w:val="125"/>
        </w:numPr>
        <w:rPr>
          <w:rFonts w:ascii="Arial" w:cs="Arial" w:eastAsia="Arial" w:hAnsi="Arial"/>
          <w:sz w:val="16"/>
          <w:szCs w:val="16"/>
          <w:color w:val="auto"/>
        </w:rPr>
      </w:pPr>
      <w:r>
        <w:rPr>
          <w:rFonts w:ascii="Arial" w:cs="Arial" w:eastAsia="Arial" w:hAnsi="Arial"/>
          <w:sz w:val="16"/>
          <w:szCs w:val="16"/>
          <w:color w:val="auto"/>
        </w:rPr>
        <w:t>pass-through entities, or persons holding our ordinary shares or warrants through pass-through entities.</w:t>
      </w:r>
    </w:p>
    <w:p>
      <w:pPr>
        <w:spacing w:after="0" w:line="247" w:lineRule="exact"/>
        <w:rPr>
          <w:sz w:val="20"/>
          <w:szCs w:val="20"/>
          <w:color w:val="auto"/>
        </w:rPr>
      </w:pPr>
    </w:p>
    <w:p>
      <w:pPr>
        <w:jc w:val="both"/>
        <w:ind w:right="120" w:firstLine="561"/>
        <w:spacing w:after="0" w:line="271" w:lineRule="auto"/>
        <w:rPr>
          <w:sz w:val="20"/>
          <w:szCs w:val="20"/>
          <w:color w:val="auto"/>
        </w:rPr>
      </w:pPr>
      <w:r>
        <w:rPr>
          <w:rFonts w:ascii="Arial" w:cs="Arial" w:eastAsia="Arial" w:hAnsi="Arial"/>
          <w:sz w:val="19"/>
          <w:szCs w:val="19"/>
          <w:color w:val="auto"/>
        </w:rPr>
        <w:t>INVESTORS ARE URGED TO CONSULT THEIR TAX ADVISORS ABOUT THE APPLICATION OF THE U.S. FEDERAL TAX RULES TO THEIR PARTICULAR CIRCUMSTANCES AS WELL AS THE STATE, LOCAL, NON-U.S. AND OTHER TAX CONSEQUENCES TO THEM OF AN INVESTMENT IN OUR ORDINARY SHARES OR WARRANTS.</w:t>
      </w:r>
    </w:p>
    <w:p>
      <w:pPr>
        <w:spacing w:after="0" w:line="206" w:lineRule="exact"/>
        <w:rPr>
          <w:sz w:val="20"/>
          <w:szCs w:val="20"/>
          <w:color w:val="auto"/>
        </w:rPr>
      </w:pPr>
    </w:p>
    <w:p>
      <w:pPr>
        <w:ind w:left="80" w:right="200" w:firstLine="568"/>
        <w:spacing w:after="0" w:line="284" w:lineRule="auto"/>
        <w:rPr>
          <w:sz w:val="20"/>
          <w:szCs w:val="20"/>
          <w:color w:val="auto"/>
        </w:rPr>
      </w:pPr>
      <w:r>
        <w:rPr>
          <w:rFonts w:ascii="Arial" w:cs="Arial" w:eastAsia="Arial" w:hAnsi="Arial"/>
          <w:sz w:val="19"/>
          <w:szCs w:val="19"/>
          <w:color w:val="auto"/>
        </w:rPr>
        <w:t>The discussion below of the U.S. federal income tax consequences to “U.S. Holders” will apply to you if you are the beneficial owner of our ordinary shares or warrants and you are, for U.S. federal income tax purposes,</w:t>
      </w:r>
    </w:p>
    <w:p>
      <w:pPr>
        <w:spacing w:after="0" w:line="187" w:lineRule="exact"/>
        <w:rPr>
          <w:sz w:val="20"/>
          <w:szCs w:val="20"/>
          <w:color w:val="auto"/>
        </w:rPr>
      </w:pPr>
    </w:p>
    <w:p>
      <w:pPr>
        <w:ind w:left="640" w:hanging="279"/>
        <w:spacing w:after="0"/>
        <w:tabs>
          <w:tab w:leader="none" w:pos="640" w:val="left"/>
        </w:tabs>
        <w:numPr>
          <w:ilvl w:val="0"/>
          <w:numId w:val="126"/>
        </w:numPr>
        <w:rPr>
          <w:rFonts w:ascii="Arial" w:cs="Arial" w:eastAsia="Arial" w:hAnsi="Arial"/>
          <w:sz w:val="16"/>
          <w:szCs w:val="16"/>
          <w:color w:val="auto"/>
        </w:rPr>
      </w:pPr>
      <w:r>
        <w:rPr>
          <w:rFonts w:ascii="Arial" w:cs="Arial" w:eastAsia="Arial" w:hAnsi="Arial"/>
          <w:sz w:val="16"/>
          <w:szCs w:val="16"/>
          <w:color w:val="auto"/>
        </w:rPr>
        <w:t>an individual who is a citizen or resident of the United States;</w:t>
      </w:r>
    </w:p>
    <w:p>
      <w:pPr>
        <w:spacing w:after="0" w:line="241" w:lineRule="exact"/>
        <w:rPr>
          <w:rFonts w:ascii="Arial" w:cs="Arial" w:eastAsia="Arial" w:hAnsi="Arial"/>
          <w:sz w:val="16"/>
          <w:szCs w:val="16"/>
          <w:color w:val="auto"/>
        </w:rPr>
      </w:pPr>
    </w:p>
    <w:p>
      <w:pPr>
        <w:ind w:left="640" w:hanging="279"/>
        <w:spacing w:after="0" w:line="268" w:lineRule="auto"/>
        <w:tabs>
          <w:tab w:leader="none" w:pos="640" w:val="left"/>
        </w:tabs>
        <w:numPr>
          <w:ilvl w:val="0"/>
          <w:numId w:val="126"/>
        </w:numPr>
        <w:rPr>
          <w:rFonts w:ascii="Arial" w:cs="Arial" w:eastAsia="Arial" w:hAnsi="Arial"/>
          <w:sz w:val="16"/>
          <w:szCs w:val="16"/>
          <w:color w:val="auto"/>
        </w:rPr>
      </w:pPr>
      <w:r>
        <w:rPr>
          <w:rFonts w:ascii="Arial" w:cs="Arial" w:eastAsia="Arial" w:hAnsi="Arial"/>
          <w:sz w:val="16"/>
          <w:szCs w:val="16"/>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04" w:lineRule="exact"/>
        <w:rPr>
          <w:rFonts w:ascii="Arial" w:cs="Arial" w:eastAsia="Arial" w:hAnsi="Arial"/>
          <w:sz w:val="16"/>
          <w:szCs w:val="16"/>
          <w:color w:val="auto"/>
        </w:rPr>
      </w:pPr>
    </w:p>
    <w:p>
      <w:pPr>
        <w:ind w:left="640" w:hanging="279"/>
        <w:spacing w:after="0"/>
        <w:tabs>
          <w:tab w:leader="none" w:pos="640" w:val="left"/>
        </w:tabs>
        <w:numPr>
          <w:ilvl w:val="0"/>
          <w:numId w:val="126"/>
        </w:numPr>
        <w:rPr>
          <w:rFonts w:ascii="Arial" w:cs="Arial" w:eastAsia="Arial" w:hAnsi="Arial"/>
          <w:sz w:val="16"/>
          <w:szCs w:val="16"/>
          <w:color w:val="auto"/>
        </w:rPr>
      </w:pPr>
      <w:r>
        <w:rPr>
          <w:rFonts w:ascii="Arial" w:cs="Arial" w:eastAsia="Arial" w:hAnsi="Arial"/>
          <w:sz w:val="16"/>
          <w:szCs w:val="16"/>
          <w:color w:val="auto"/>
        </w:rPr>
        <w:t>an estate, the income of which is subject to U.S. federal income taxation regardless of its source; or</w:t>
      </w:r>
    </w:p>
    <w:p>
      <w:pPr>
        <w:spacing w:after="0" w:line="241" w:lineRule="exact"/>
        <w:rPr>
          <w:rFonts w:ascii="Arial" w:cs="Arial" w:eastAsia="Arial" w:hAnsi="Arial"/>
          <w:sz w:val="16"/>
          <w:szCs w:val="16"/>
          <w:color w:val="auto"/>
        </w:rPr>
      </w:pPr>
    </w:p>
    <w:p>
      <w:pPr>
        <w:ind w:left="640" w:hanging="279"/>
        <w:spacing w:after="0" w:line="268" w:lineRule="auto"/>
        <w:tabs>
          <w:tab w:leader="none" w:pos="640" w:val="left"/>
        </w:tabs>
        <w:numPr>
          <w:ilvl w:val="0"/>
          <w:numId w:val="126"/>
        </w:numPr>
        <w:rPr>
          <w:rFonts w:ascii="Arial" w:cs="Arial" w:eastAsia="Arial" w:hAnsi="Arial"/>
          <w:sz w:val="16"/>
          <w:szCs w:val="16"/>
          <w:color w:val="auto"/>
        </w:rPr>
      </w:pPr>
      <w:r>
        <w:rPr>
          <w:rFonts w:ascii="Arial" w:cs="Arial" w:eastAsia="Arial" w:hAnsi="Arial"/>
          <w:sz w:val="16"/>
          <w:szCs w:val="16"/>
          <w:color w:val="auto"/>
        </w:rPr>
        <w:t>a trust that (i) is subject to the primary supervision of a court within the United States and the control of one or more U.S. persons for all substantial decisions or (ii) has a valid election in effect under applicable U.S. Treasury regulations to be treated as a U.S. person.</w:t>
      </w:r>
    </w:p>
    <w:p>
      <w:pPr>
        <w:spacing w:after="0" w:line="209" w:lineRule="exact"/>
        <w:rPr>
          <w:sz w:val="20"/>
          <w:szCs w:val="20"/>
          <w:color w:val="auto"/>
        </w:rPr>
      </w:pPr>
    </w:p>
    <w:p>
      <w:pPr>
        <w:jc w:val="both"/>
        <w:ind w:left="80" w:right="180" w:firstLine="473"/>
        <w:spacing w:after="0" w:line="267" w:lineRule="auto"/>
        <w:rPr>
          <w:sz w:val="20"/>
          <w:szCs w:val="20"/>
          <w:color w:val="auto"/>
        </w:rPr>
      </w:pPr>
      <w:r>
        <w:rPr>
          <w:rFonts w:ascii="Arial" w:cs="Arial" w:eastAsia="Arial" w:hAnsi="Arial"/>
          <w:sz w:val="19"/>
          <w:szCs w:val="19"/>
          <w:color w:val="auto"/>
        </w:rPr>
        <w:t>If an entity or other arrangement treated as a partnership for U.S. federal income tax purposes holds our ordinary shares or warrants, the tax treatment of a partner will generally depend upon the status of the partner and the activities of the partnership. A person that would be a U.S. Holder if it held our ordinary shares or warrants directly and that is a partner of a partnership holding our ordinary shares or warrants is urged to consult its own tax advisor.</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9"/>
          <w:szCs w:val="19"/>
          <w:b w:val="1"/>
          <w:bCs w:val="1"/>
          <w:i w:val="1"/>
          <w:iCs w:val="1"/>
          <w:color w:val="auto"/>
        </w:rPr>
        <w:t>Passive Foreign Investment Company</w:t>
      </w:r>
    </w:p>
    <w:p>
      <w:pPr>
        <w:spacing w:after="0" w:line="255" w:lineRule="exact"/>
        <w:rPr>
          <w:sz w:val="20"/>
          <w:szCs w:val="20"/>
          <w:color w:val="auto"/>
        </w:rPr>
      </w:pPr>
    </w:p>
    <w:p>
      <w:pPr>
        <w:ind w:left="80" w:right="400" w:firstLine="473"/>
        <w:spacing w:after="0" w:line="284" w:lineRule="auto"/>
        <w:rPr>
          <w:sz w:val="20"/>
          <w:szCs w:val="20"/>
          <w:color w:val="auto"/>
        </w:rPr>
      </w:pPr>
      <w:r>
        <w:rPr>
          <w:rFonts w:ascii="Arial" w:cs="Arial" w:eastAsia="Arial" w:hAnsi="Arial"/>
          <w:sz w:val="19"/>
          <w:szCs w:val="19"/>
          <w:color w:val="auto"/>
        </w:rPr>
        <w:t>A non-U.S. entity treated as a corporation for U.S. federal income tax purposes will generally be a passive foreign investment company (“PFIC”) for U.S. federal income tax purposes for any taxable year if either:</w:t>
      </w:r>
    </w:p>
    <w:p>
      <w:pPr>
        <w:spacing w:after="0" w:line="187" w:lineRule="exact"/>
        <w:rPr>
          <w:sz w:val="20"/>
          <w:szCs w:val="20"/>
          <w:color w:val="auto"/>
        </w:rPr>
      </w:pPr>
    </w:p>
    <w:p>
      <w:pPr>
        <w:ind w:left="640" w:hanging="279"/>
        <w:spacing w:after="0"/>
        <w:tabs>
          <w:tab w:leader="none" w:pos="64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at least 75% of its gross income for such year is passive income (such as interest income); or</w:t>
      </w:r>
    </w:p>
    <w:p>
      <w:pPr>
        <w:spacing w:after="0" w:line="241" w:lineRule="exact"/>
        <w:rPr>
          <w:rFonts w:ascii="Arial" w:cs="Arial" w:eastAsia="Arial" w:hAnsi="Arial"/>
          <w:sz w:val="16"/>
          <w:szCs w:val="16"/>
          <w:color w:val="auto"/>
        </w:rPr>
      </w:pPr>
    </w:p>
    <w:p>
      <w:pPr>
        <w:ind w:left="640" w:right="20" w:hanging="279"/>
        <w:spacing w:after="0" w:line="268" w:lineRule="auto"/>
        <w:tabs>
          <w:tab w:leader="none" w:pos="640" w:val="left"/>
        </w:tabs>
        <w:numPr>
          <w:ilvl w:val="0"/>
          <w:numId w:val="127"/>
        </w:numPr>
        <w:rPr>
          <w:rFonts w:ascii="Arial" w:cs="Arial" w:eastAsia="Arial" w:hAnsi="Arial"/>
          <w:sz w:val="16"/>
          <w:szCs w:val="16"/>
          <w:color w:val="auto"/>
        </w:rPr>
      </w:pPr>
      <w:r>
        <w:rPr>
          <w:rFonts w:ascii="Arial" w:cs="Arial" w:eastAsia="Arial" w:hAnsi="Arial"/>
          <w:sz w:val="16"/>
          <w:szCs w:val="16"/>
          <w:color w:val="auto"/>
        </w:rPr>
        <w:t>at least 50% of the value of its assets (based on an average of the quarterly values of the assets) during such year is attributable to assets that produce passive income or are held for the production of passive income.</w:t>
      </w:r>
    </w:p>
    <w:p>
      <w:pPr>
        <w:spacing w:after="0" w:line="209" w:lineRule="exact"/>
        <w:rPr>
          <w:sz w:val="20"/>
          <w:szCs w:val="20"/>
          <w:color w:val="auto"/>
        </w:rPr>
      </w:pPr>
    </w:p>
    <w:p>
      <w:pPr>
        <w:jc w:val="both"/>
        <w:ind w:left="80" w:right="320" w:firstLine="473"/>
        <w:spacing w:after="0" w:line="271" w:lineRule="auto"/>
        <w:rPr>
          <w:sz w:val="20"/>
          <w:szCs w:val="20"/>
          <w:color w:val="auto"/>
        </w:rPr>
      </w:pPr>
      <w:r>
        <w:rPr>
          <w:rFonts w:ascii="Arial" w:cs="Arial" w:eastAsia="Arial" w:hAnsi="Arial"/>
          <w:sz w:val="19"/>
          <w:szCs w:val="19"/>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206" w:lineRule="exact"/>
        <w:rPr>
          <w:sz w:val="20"/>
          <w:szCs w:val="20"/>
          <w:color w:val="auto"/>
        </w:rPr>
      </w:pPr>
    </w:p>
    <w:p>
      <w:pPr>
        <w:jc w:val="both"/>
        <w:ind w:left="80" w:right="100" w:firstLine="473"/>
        <w:spacing w:after="0" w:line="297" w:lineRule="auto"/>
        <w:rPr>
          <w:sz w:val="20"/>
          <w:szCs w:val="20"/>
          <w:color w:val="auto"/>
        </w:rPr>
      </w:pPr>
      <w:r>
        <w:rPr>
          <w:rFonts w:ascii="Arial" w:cs="Arial" w:eastAsia="Arial" w:hAnsi="Arial"/>
          <w:sz w:val="17"/>
          <w:szCs w:val="17"/>
          <w:color w:val="auto"/>
        </w:rPr>
        <w:t>Starting in the first quarter of 2019, we began generating revenue under a collaboration agreement with Perrigo for the development of the generic version of Zovirax® (acyclovir) cream, 5%. We generated $8.7 in revenue under such agreement for our 2020 taxable year, but expect to generate substantially less in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330"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36" w:name="page137"/>
    <w:bookmarkEnd w:id="136"/>
    <w:p>
      <w:pPr>
        <w:jc w:val="both"/>
        <w:ind w:right="160" w:firstLine="473"/>
        <w:spacing w:after="0" w:line="280" w:lineRule="auto"/>
        <w:rPr>
          <w:sz w:val="20"/>
          <w:szCs w:val="20"/>
          <w:color w:val="auto"/>
        </w:rPr>
      </w:pPr>
      <w:r>
        <w:rPr>
          <w:rFonts w:ascii="Arial" w:cs="Arial" w:eastAsia="Arial" w:hAnsi="Arial"/>
          <w:sz w:val="18"/>
          <w:szCs w:val="18"/>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other ambiguities in applying the PFIC test to us. No rulings from the U.S. Internal Revenue Service, or the IRS, however, have been or will be sought with respect to our status as a PFIC. If the IRS were to assert that, contrary to our expectation, we are a PFIC in the current taxable year or a future year, there would be adverse tax consequences to investors, including those described below. Potential investors are strongly advised to consult their own advisors regarding the consequences to them if we were to be considered a PFIC.</w:t>
      </w:r>
    </w:p>
    <w:p>
      <w:pPr>
        <w:spacing w:after="0" w:line="202" w:lineRule="exact"/>
        <w:rPr>
          <w:sz w:val="20"/>
          <w:szCs w:val="20"/>
          <w:color w:val="auto"/>
        </w:rPr>
      </w:pPr>
    </w:p>
    <w:p>
      <w:pPr>
        <w:jc w:val="both"/>
        <w:ind w:right="300" w:firstLine="473"/>
        <w:spacing w:after="0" w:line="308" w:lineRule="auto"/>
        <w:rPr>
          <w:sz w:val="20"/>
          <w:szCs w:val="20"/>
          <w:color w:val="auto"/>
        </w:rPr>
      </w:pPr>
      <w:r>
        <w:rPr>
          <w:rFonts w:ascii="Arial" w:cs="Arial" w:eastAsia="Arial" w:hAnsi="Arial"/>
          <w:sz w:val="17"/>
          <w:szCs w:val="17"/>
          <w:color w:val="auto"/>
        </w:rPr>
        <w:t>If we are a PFIC for any taxable year during your holding period for our ordinary shares (or under proposed Regulations, our warrants), we generally will continue to be treated as a PFIC with respect to your investment in our ordinary shares or warrants for all succeeding years during which you hold our ordinary shares or warrants, and, although subject to uncertainty, potentially our ordinary shares received upon exercise of such warrants. Certain elections (such as a deemed sale election) may be available under certain circumstances.</w:t>
      </w:r>
    </w:p>
    <w:p>
      <w:pPr>
        <w:spacing w:after="0" w:line="179" w:lineRule="exact"/>
        <w:rPr>
          <w:sz w:val="20"/>
          <w:szCs w:val="20"/>
          <w:color w:val="auto"/>
        </w:rPr>
      </w:pPr>
    </w:p>
    <w:p>
      <w:pPr>
        <w:jc w:val="both"/>
        <w:ind w:right="180" w:firstLine="473"/>
        <w:spacing w:after="0" w:line="304" w:lineRule="auto"/>
        <w:rPr>
          <w:sz w:val="20"/>
          <w:szCs w:val="20"/>
          <w:color w:val="auto"/>
        </w:rPr>
      </w:pPr>
      <w:r>
        <w:rPr>
          <w:rFonts w:ascii="Arial" w:cs="Arial" w:eastAsia="Arial" w:hAnsi="Arial"/>
          <w:sz w:val="17"/>
          <w:szCs w:val="17"/>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or warrants, unless you make a valid “mark-to-market” election as discussed below, which may not be available for the warrants. Distributions you receive in a taxable year that are greater than 125% of the average annual distributions you received during the shorter of the three preceding taxable years or your holding period will be treated as an excess distribution. Under these special tax rules:</w:t>
      </w:r>
    </w:p>
    <w:p>
      <w:pPr>
        <w:spacing w:after="0" w:line="176" w:lineRule="exact"/>
        <w:rPr>
          <w:sz w:val="20"/>
          <w:szCs w:val="20"/>
          <w:color w:val="auto"/>
        </w:rPr>
      </w:pPr>
    </w:p>
    <w:p>
      <w:pPr>
        <w:ind w:left="560" w:hanging="279"/>
        <w:spacing w:after="0"/>
        <w:tabs>
          <w:tab w:leader="none" w:pos="5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excess distribution or gain will be allocated ratably over your holding period;</w:t>
      </w:r>
    </w:p>
    <w:p>
      <w:pPr>
        <w:spacing w:after="0" w:line="241" w:lineRule="exact"/>
        <w:rPr>
          <w:rFonts w:ascii="Arial" w:cs="Arial" w:eastAsia="Arial" w:hAnsi="Arial"/>
          <w:sz w:val="16"/>
          <w:szCs w:val="16"/>
          <w:color w:val="auto"/>
        </w:rPr>
      </w:pPr>
    </w:p>
    <w:p>
      <w:pPr>
        <w:ind w:left="560" w:hanging="279"/>
        <w:spacing w:after="0" w:line="268" w:lineRule="auto"/>
        <w:tabs>
          <w:tab w:leader="none" w:pos="5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amount allocated to the current taxable year, and any taxable years in your holding period prior to the first taxable year in which we were a PFIC, will be treated as ordinary income; and</w:t>
      </w:r>
    </w:p>
    <w:p>
      <w:pPr>
        <w:spacing w:after="0" w:line="204" w:lineRule="exact"/>
        <w:rPr>
          <w:rFonts w:ascii="Arial" w:cs="Arial" w:eastAsia="Arial" w:hAnsi="Arial"/>
          <w:sz w:val="16"/>
          <w:szCs w:val="16"/>
          <w:color w:val="auto"/>
        </w:rPr>
      </w:pPr>
    </w:p>
    <w:p>
      <w:pPr>
        <w:ind w:left="560" w:right="20" w:hanging="279"/>
        <w:spacing w:after="0" w:line="268" w:lineRule="auto"/>
        <w:tabs>
          <w:tab w:leader="none" w:pos="560"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209" w:lineRule="exact"/>
        <w:rPr>
          <w:sz w:val="20"/>
          <w:szCs w:val="20"/>
          <w:color w:val="auto"/>
        </w:rPr>
      </w:pPr>
    </w:p>
    <w:p>
      <w:pPr>
        <w:jc w:val="both"/>
        <w:ind w:right="160" w:firstLine="472"/>
        <w:spacing w:after="0" w:line="271" w:lineRule="auto"/>
        <w:rPr>
          <w:sz w:val="20"/>
          <w:szCs w:val="20"/>
          <w:color w:val="auto"/>
        </w:rPr>
      </w:pPr>
      <w:r>
        <w:rPr>
          <w:rFonts w:ascii="Arial" w:cs="Arial" w:eastAsia="Arial" w:hAnsi="Arial"/>
          <w:sz w:val="19"/>
          <w:szCs w:val="19"/>
          <w:color w:val="auto"/>
        </w:rPr>
        <w:t>The tax liability for amounts allocated to taxable years prior to the year of disposition or excess distribution cannot be offset by any net operating losses, and gains (but not losses) realized on the sale of our ordinary shares or warrants cannot be treated as capital gains, even if you hold our ordinary shares or warrants as capital assets.</w:t>
      </w:r>
    </w:p>
    <w:p>
      <w:pPr>
        <w:spacing w:after="0" w:line="206" w:lineRule="exact"/>
        <w:rPr>
          <w:sz w:val="20"/>
          <w:szCs w:val="20"/>
          <w:color w:val="auto"/>
        </w:rPr>
      </w:pPr>
    </w:p>
    <w:p>
      <w:pPr>
        <w:jc w:val="both"/>
        <w:ind w:right="120" w:firstLine="472"/>
        <w:spacing w:after="0" w:line="264" w:lineRule="auto"/>
        <w:rPr>
          <w:sz w:val="20"/>
          <w:szCs w:val="20"/>
          <w:color w:val="auto"/>
        </w:rPr>
      </w:pPr>
      <w:r>
        <w:rPr>
          <w:rFonts w:ascii="Arial" w:cs="Arial" w:eastAsia="Arial" w:hAnsi="Arial"/>
          <w:sz w:val="19"/>
          <w:szCs w:val="19"/>
          <w:color w:val="auto"/>
        </w:rPr>
        <w:t>If we are treated as a PFIC with respect to you for any taxable year, to the extent any of our subsidiaries are also PFICs, you may be deemed to own a proportionate interest in such lower-tier PFICs that are directly or indirectly owned by us,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214" w:lineRule="exact"/>
        <w:rPr>
          <w:sz w:val="20"/>
          <w:szCs w:val="20"/>
          <w:color w:val="auto"/>
        </w:rPr>
      </w:pPr>
    </w:p>
    <w:p>
      <w:pPr>
        <w:jc w:val="both"/>
        <w:ind w:right="120" w:firstLine="472"/>
        <w:spacing w:after="0" w:line="277" w:lineRule="auto"/>
        <w:rPr>
          <w:sz w:val="20"/>
          <w:szCs w:val="20"/>
          <w:color w:val="auto"/>
        </w:rPr>
      </w:pPr>
      <w:r>
        <w:rPr>
          <w:rFonts w:ascii="Arial" w:cs="Arial" w:eastAsia="Arial" w:hAnsi="Arial"/>
          <w:sz w:val="18"/>
          <w:szCs w:val="18"/>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348" w:lineRule="exact"/>
        <w:rPr>
          <w:sz w:val="20"/>
          <w:szCs w:val="20"/>
          <w:color w:val="auto"/>
        </w:rPr>
      </w:pPr>
    </w:p>
    <w:p>
      <w:pPr>
        <w:jc w:val="center"/>
        <w:ind w:right="100"/>
        <w:spacing w:after="0"/>
        <w:rPr>
          <w:sz w:val="20"/>
          <w:szCs w:val="20"/>
          <w:color w:val="auto"/>
        </w:rPr>
      </w:pPr>
      <w:r>
        <w:rPr>
          <w:rFonts w:ascii="Arial" w:cs="Arial" w:eastAsia="Arial" w:hAnsi="Arial"/>
          <w:sz w:val="19"/>
          <w:szCs w:val="19"/>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38735</wp:posOffset>
            </wp:positionV>
            <wp:extent cx="7149465" cy="1524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180"/>
          </w:cols>
          <w:pgMar w:left="400" w:top="132" w:right="319" w:bottom="1440" w:gutter="0" w:footer="0" w:header="0"/>
        </w:sectPr>
      </w:pPr>
    </w:p>
    <w:bookmarkStart w:id="137" w:name="page138"/>
    <w:bookmarkEnd w:id="137"/>
    <w:p>
      <w:pPr>
        <w:jc w:val="both"/>
        <w:ind w:firstLine="472"/>
        <w:spacing w:after="0" w:line="299" w:lineRule="auto"/>
        <w:rPr>
          <w:sz w:val="20"/>
          <w:szCs w:val="20"/>
          <w:color w:val="auto"/>
        </w:rPr>
      </w:pPr>
      <w:r>
        <w:rPr>
          <w:rFonts w:ascii="Arial" w:cs="Arial" w:eastAsia="Arial" w:hAnsi="Arial"/>
          <w:sz w:val="17"/>
          <w:szCs w:val="17"/>
          <w:color w:val="auto"/>
        </w:rPr>
        <w:t>The mark-to-market election is available only for “marketable stock,” which is stock that is regularly traded on a qualified exchange or other market, as defined in applicable U.S. Treasury regulations, and may not include our warrants. Our ordinary shares are listed on the Nasdaq Global Market.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The Nasdaq Global Market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188" w:lineRule="exact"/>
        <w:rPr>
          <w:sz w:val="20"/>
          <w:szCs w:val="20"/>
          <w:color w:val="auto"/>
        </w:rPr>
      </w:pPr>
    </w:p>
    <w:p>
      <w:pPr>
        <w:jc w:val="both"/>
        <w:ind w:right="40" w:firstLine="472"/>
        <w:spacing w:after="0" w:line="284" w:lineRule="auto"/>
        <w:rPr>
          <w:sz w:val="20"/>
          <w:szCs w:val="20"/>
          <w:color w:val="auto"/>
        </w:rPr>
      </w:pPr>
      <w:r>
        <w:rPr>
          <w:rFonts w:ascii="Arial" w:cs="Arial" w:eastAsia="Arial" w:hAnsi="Arial"/>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 A qualified electing fund election may not be available for our warrants regardless of whether we provide such information.</w:t>
      </w:r>
    </w:p>
    <w:p>
      <w:pPr>
        <w:spacing w:after="0" w:line="195" w:lineRule="exact"/>
        <w:rPr>
          <w:sz w:val="20"/>
          <w:szCs w:val="20"/>
          <w:color w:val="auto"/>
        </w:rPr>
      </w:pPr>
    </w:p>
    <w:p>
      <w:pPr>
        <w:jc w:val="both"/>
        <w:ind w:right="60" w:firstLine="472"/>
        <w:spacing w:after="0" w:line="271" w:lineRule="auto"/>
        <w:rPr>
          <w:sz w:val="20"/>
          <w:szCs w:val="20"/>
          <w:color w:val="auto"/>
        </w:rPr>
      </w:pPr>
      <w:r>
        <w:rPr>
          <w:rFonts w:ascii="Arial" w:cs="Arial" w:eastAsia="Arial" w:hAnsi="Arial"/>
          <w:sz w:val="19"/>
          <w:szCs w:val="19"/>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an investment in ordinary shares or warrants.</w:t>
      </w:r>
    </w:p>
    <w:p>
      <w:pPr>
        <w:spacing w:after="0" w:line="206" w:lineRule="exact"/>
        <w:rPr>
          <w:sz w:val="20"/>
          <w:szCs w:val="20"/>
          <w:color w:val="auto"/>
        </w:rPr>
      </w:pPr>
    </w:p>
    <w:p>
      <w:pPr>
        <w:jc w:val="both"/>
        <w:ind w:right="20" w:firstLine="472"/>
        <w:spacing w:after="0" w:line="271" w:lineRule="auto"/>
        <w:rPr>
          <w:sz w:val="20"/>
          <w:szCs w:val="20"/>
          <w:color w:val="auto"/>
        </w:rPr>
      </w:pPr>
      <w:r>
        <w:rPr>
          <w:rFonts w:ascii="Arial" w:cs="Arial" w:eastAsia="Arial" w:hAnsi="Arial"/>
          <w:sz w:val="19"/>
          <w:szCs w:val="19"/>
          <w:color w:val="auto"/>
        </w:rPr>
        <w:t>YOU ARE STRONGLY URGED TO CONSULT YOUR TAX ADVISOR REGARDING THE IMPACT ON YOUR INVESTMENT IN OUR ORDINARY SHARES OR WARRANTS IF WE WERE TO BE CONSIDERED A PFIC AS WELL AS THE APPLICATION OF THE PFIC RULES AND THE POSSIBILITY OF MAKING A MARK-TO-MARKET ELECTION.</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Taxation of Dividends and Other Distributions on our Ordinary Shares</w:t>
      </w:r>
    </w:p>
    <w:p>
      <w:pPr>
        <w:spacing w:after="0" w:line="255" w:lineRule="exact"/>
        <w:rPr>
          <w:sz w:val="20"/>
          <w:szCs w:val="20"/>
          <w:color w:val="auto"/>
        </w:rPr>
      </w:pPr>
    </w:p>
    <w:p>
      <w:pPr>
        <w:jc w:val="both"/>
        <w:ind w:right="40" w:firstLine="473"/>
        <w:spacing w:after="0" w:line="278" w:lineRule="auto"/>
        <w:rPr>
          <w:sz w:val="20"/>
          <w:szCs w:val="20"/>
          <w:color w:val="auto"/>
        </w:rPr>
      </w:pPr>
      <w:r>
        <w:rPr>
          <w:rFonts w:ascii="Arial" w:cs="Arial" w:eastAsia="Arial" w:hAnsi="Arial"/>
          <w:sz w:val="18"/>
          <w:szCs w:val="18"/>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204" w:lineRule="exact"/>
        <w:rPr>
          <w:sz w:val="20"/>
          <w:szCs w:val="20"/>
          <w:color w:val="auto"/>
        </w:rPr>
      </w:pPr>
    </w:p>
    <w:p>
      <w:pPr>
        <w:jc w:val="both"/>
        <w:ind w:right="40" w:firstLine="473"/>
        <w:spacing w:after="0" w:line="304" w:lineRule="auto"/>
        <w:rPr>
          <w:sz w:val="20"/>
          <w:szCs w:val="20"/>
          <w:color w:val="auto"/>
        </w:rPr>
      </w:pPr>
      <w:r>
        <w:rPr>
          <w:rFonts w:ascii="Arial" w:cs="Arial" w:eastAsia="Arial" w:hAnsi="Arial"/>
          <w:sz w:val="17"/>
          <w:szCs w:val="17"/>
          <w:color w:val="auto"/>
        </w:rPr>
        <w:t>With respect to certain non-corporate U.S. Holders, including individual U.S. Holders, dividends may be taxed at the lower capital gain rates applicable to “qualified dividend income,” provided (i) our ordinary shares are readily tradable on an established securities market in the United States (such as the Nasdaq Global Market), (ii) we are neither a PFIC nor treated as such with respect to you (as discussed above) for either the taxable year in which the dividend was paid or the preceding taxable year, (iii) certain holding period requirements are met and (iv) you are not under an obligation to make related payments with respect to positions in substantially similar or related property.</w:t>
      </w:r>
    </w:p>
    <w:p>
      <w:pPr>
        <w:spacing w:after="0" w:line="323"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38735</wp:posOffset>
            </wp:positionV>
            <wp:extent cx="7149465" cy="1524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100"/>
          </w:cols>
          <w:pgMar w:left="400" w:top="132" w:right="399" w:bottom="1440" w:gutter="0" w:footer="0" w:header="0"/>
        </w:sectPr>
      </w:pPr>
    </w:p>
    <w:bookmarkStart w:id="138" w:name="page139"/>
    <w:bookmarkEnd w:id="138"/>
    <w:p>
      <w:pPr>
        <w:jc w:val="both"/>
        <w:ind w:left="80" w:right="60" w:firstLine="473"/>
        <w:spacing w:after="0" w:line="293" w:lineRule="auto"/>
        <w:rPr>
          <w:sz w:val="20"/>
          <w:szCs w:val="20"/>
          <w:color w:val="auto"/>
        </w:rPr>
      </w:pPr>
      <w:r>
        <w:rPr>
          <w:rFonts w:ascii="Arial" w:cs="Arial" w:eastAsia="Arial" w:hAnsi="Arial"/>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188" w:lineRule="exact"/>
        <w:rPr>
          <w:sz w:val="20"/>
          <w:szCs w:val="20"/>
          <w:color w:val="auto"/>
        </w:rPr>
      </w:pPr>
    </w:p>
    <w:p>
      <w:pPr>
        <w:jc w:val="both"/>
        <w:ind w:left="80" w:firstLine="473"/>
        <w:spacing w:after="0" w:line="264" w:lineRule="auto"/>
        <w:rPr>
          <w:sz w:val="20"/>
          <w:szCs w:val="20"/>
          <w:color w:val="auto"/>
        </w:rPr>
      </w:pPr>
      <w:r>
        <w:rPr>
          <w:rFonts w:ascii="Arial" w:cs="Arial" w:eastAsia="Arial" w:hAnsi="Arial"/>
          <w:sz w:val="19"/>
          <w:szCs w:val="19"/>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14" w:lineRule="exact"/>
        <w:rPr>
          <w:sz w:val="20"/>
          <w:szCs w:val="20"/>
          <w:color w:val="auto"/>
        </w:rPr>
      </w:pPr>
    </w:p>
    <w:p>
      <w:pPr>
        <w:jc w:val="both"/>
        <w:ind w:left="80" w:right="20" w:firstLine="473"/>
        <w:spacing w:after="0" w:line="280" w:lineRule="auto"/>
        <w:rPr>
          <w:sz w:val="20"/>
          <w:szCs w:val="20"/>
          <w:color w:val="auto"/>
        </w:rPr>
      </w:pPr>
      <w:r>
        <w:rPr>
          <w:rFonts w:ascii="Arial" w:cs="Arial" w:eastAsia="Arial" w:hAnsi="Arial"/>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or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202"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Constructive Dividends on our Ordinary Shares or Warrants</w:t>
      </w:r>
    </w:p>
    <w:p>
      <w:pPr>
        <w:spacing w:after="0" w:line="255" w:lineRule="exact"/>
        <w:rPr>
          <w:sz w:val="20"/>
          <w:szCs w:val="20"/>
          <w:color w:val="auto"/>
        </w:rPr>
      </w:pPr>
    </w:p>
    <w:p>
      <w:pPr>
        <w:jc w:val="both"/>
        <w:ind w:left="80" w:right="40" w:firstLine="473"/>
        <w:spacing w:after="0" w:line="279" w:lineRule="auto"/>
        <w:rPr>
          <w:sz w:val="20"/>
          <w:szCs w:val="20"/>
          <w:color w:val="auto"/>
        </w:rPr>
      </w:pPr>
      <w:r>
        <w:rPr>
          <w:rFonts w:ascii="Arial" w:cs="Arial" w:eastAsia="Arial" w:hAnsi="Arial"/>
          <w:sz w:val="18"/>
          <w:szCs w:val="18"/>
          <w:color w:val="auto"/>
        </w:rPr>
        <w:t>If the exercise price of our warrants is adjusted in certain circumstances (or in certain circumstances, there is a failure to make adjustments or a failure to make adequate adjustments), that adjustment (or failure to adjust) may result in the deemed payment of a taxable dividend to a U.S. Holder of the warrants or our ordinary shares. Any such constructive dividend will be taxable generally as described above under “Taxation of Dividends and Other Distributions on our Ordinary Shares.” Generally, a U.S. Holder’s tax basis in our ordinary shares or the warrants will be increased to the extent of any such constructive dividend. It is not entirely clear whether a constructive dividend deemed paid to a non-corporate U.S. Holder could be “qualified dividend income” as discussed above under “Taxation of Dividends and Other Distributions on our Ordinary Shares.” U.S. Holders should consult their tax advisers regarding the proper U.S. federal income tax treatment of any adjustments to (or failure to adjust or adjust adequately) the exercise price of the warrants.</w:t>
      </w:r>
    </w:p>
    <w:p>
      <w:pPr>
        <w:spacing w:after="0" w:line="204" w:lineRule="exact"/>
        <w:rPr>
          <w:sz w:val="20"/>
          <w:szCs w:val="20"/>
          <w:color w:val="auto"/>
        </w:rPr>
      </w:pPr>
    </w:p>
    <w:p>
      <w:pPr>
        <w:jc w:val="both"/>
        <w:ind w:left="80" w:firstLine="473"/>
        <w:spacing w:after="0" w:line="278" w:lineRule="auto"/>
        <w:rPr>
          <w:sz w:val="20"/>
          <w:szCs w:val="20"/>
          <w:color w:val="auto"/>
        </w:rPr>
      </w:pPr>
      <w:r>
        <w:rPr>
          <w:rFonts w:ascii="Arial" w:cs="Arial" w:eastAsia="Arial" w:hAnsi="Arial"/>
          <w:sz w:val="18"/>
          <w:szCs w:val="18"/>
          <w:color w:val="auto"/>
        </w:rPr>
        <w:t>We are currently required to report the amount of any constructive dividends on our website or to the IRS and to holders not exempt from reporting. The IRS has proposed regulations addressing the amount and timing of constructive dividends, as well as, obligations of withholding agents and filing and notice obligations of issuers in respect of such constructive dividends. If adopted as proposed, the regulations would generally provide that (i) the amount of a constructive dividend is the excess of the fair market value of the right to acquire stock immediately after the exercise price adjustment over the fair market value of the right to acquire stock (after the exercise price adjustment) without the adjustment, (ii) the constructive dividend occurs at the earlier of the date the adjustment occurs under the terms of the instrument and the date of the actual distribution of cash or property that results in the constructive dividend and (iii) we are required to report the amount of any constructive dividends on our website or to the IRS and to all holders (including holders that would otherwise be exempt from reporting). The final regulations will be effective for constructive dividends occurring on or after the date of adoption, but holders and withholding agents may rely on them prior to that date under certain circumstances.</w:t>
      </w:r>
    </w:p>
    <w:p>
      <w:pPr>
        <w:spacing w:after="0" w:line="346" w:lineRule="exact"/>
        <w:rPr>
          <w:sz w:val="20"/>
          <w:szCs w:val="20"/>
          <w:color w:val="auto"/>
        </w:rPr>
      </w:pPr>
    </w:p>
    <w:p>
      <w:pPr>
        <w:jc w:val="center"/>
        <w:ind w:right="-59"/>
        <w:spacing w:after="0"/>
        <w:rPr>
          <w:sz w:val="20"/>
          <w:szCs w:val="20"/>
          <w:color w:val="auto"/>
        </w:rPr>
      </w:pPr>
      <w:r>
        <w:rPr>
          <w:rFonts w:ascii="Arial" w:cs="Arial" w:eastAsia="Arial" w:hAnsi="Arial"/>
          <w:sz w:val="19"/>
          <w:szCs w:val="19"/>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180"/>
          </w:cols>
          <w:pgMar w:left="320" w:top="132" w:right="399" w:bottom="1440" w:gutter="0" w:footer="0" w:header="0"/>
        </w:sectPr>
      </w:pPr>
    </w:p>
    <w:bookmarkStart w:id="139" w:name="page140"/>
    <w:bookmarkEnd w:id="139"/>
    <w:p>
      <w:pPr>
        <w:spacing w:after="0"/>
        <w:rPr>
          <w:sz w:val="20"/>
          <w:szCs w:val="20"/>
          <w:color w:val="auto"/>
        </w:rPr>
      </w:pPr>
      <w:r>
        <w:rPr>
          <w:rFonts w:ascii="Arial" w:cs="Arial" w:eastAsia="Arial" w:hAnsi="Arial"/>
          <w:sz w:val="19"/>
          <w:szCs w:val="19"/>
          <w:b w:val="1"/>
          <w:bCs w:val="1"/>
          <w:i w:val="1"/>
          <w:iCs w:val="1"/>
          <w:color w:val="auto"/>
        </w:rPr>
        <w:t>Taxation of Disposition of our Ordinary Shares or Warrants</w:t>
      </w:r>
    </w:p>
    <w:p>
      <w:pPr>
        <w:spacing w:after="0" w:line="255" w:lineRule="exact"/>
        <w:rPr>
          <w:sz w:val="20"/>
          <w:szCs w:val="20"/>
          <w:color w:val="auto"/>
        </w:rPr>
      </w:pPr>
    </w:p>
    <w:p>
      <w:pPr>
        <w:jc w:val="both"/>
        <w:ind w:right="80" w:firstLine="473"/>
        <w:spacing w:after="0" w:line="295" w:lineRule="auto"/>
        <w:rPr>
          <w:sz w:val="20"/>
          <w:szCs w:val="20"/>
          <w:color w:val="auto"/>
        </w:rPr>
      </w:pPr>
      <w:r>
        <w:rPr>
          <w:rFonts w:ascii="Arial" w:cs="Arial" w:eastAsia="Arial" w:hAnsi="Arial"/>
          <w:sz w:val="17"/>
          <w:szCs w:val="17"/>
          <w:color w:val="auto"/>
        </w:rPr>
        <w:t>Subject to the PFIC rules discussed above, upon a sale or other disposition of our ordinary shares or warrants, you will generally recognize capital gain or loss for U.S. federal income tax purposes in an amount equal to the difference between the amount realized (including the amount of any tax withheld) and your tax basis in such ordinary shares or warrants. If the consideration you receive for our ordinary shares or warrants is not paid in U.S. dollars, the amount realized will be the U.S. dollar value of the payment received determined by reference to the spot rate of exchange on the date of the sale or other disposition. However, if our ordinary shares or warrants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195" w:lineRule="exact"/>
        <w:rPr>
          <w:sz w:val="20"/>
          <w:szCs w:val="20"/>
          <w:color w:val="auto"/>
        </w:rPr>
      </w:pPr>
    </w:p>
    <w:p>
      <w:pPr>
        <w:jc w:val="both"/>
        <w:ind w:right="80" w:firstLine="473"/>
        <w:spacing w:after="0" w:line="264" w:lineRule="auto"/>
        <w:rPr>
          <w:sz w:val="20"/>
          <w:szCs w:val="20"/>
          <w:color w:val="auto"/>
        </w:rPr>
      </w:pPr>
      <w:r>
        <w:rPr>
          <w:rFonts w:ascii="Arial" w:cs="Arial" w:eastAsia="Arial" w:hAnsi="Arial"/>
          <w:sz w:val="19"/>
          <w:szCs w:val="19"/>
          <w:color w:val="auto"/>
        </w:rPr>
        <w:t>Any gain or loss on the sale or other disposition of our ordinary shares or warrants will generally be treated as U.S. source income or loss and treated as long-term capital gain or loss if your holding period in our ordinary shares or warrants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21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Taxation of Exercise or Expiration of our Warrants</w:t>
      </w:r>
    </w:p>
    <w:p>
      <w:pPr>
        <w:spacing w:after="0" w:line="255" w:lineRule="exact"/>
        <w:rPr>
          <w:sz w:val="20"/>
          <w:szCs w:val="20"/>
          <w:color w:val="auto"/>
        </w:rPr>
      </w:pPr>
    </w:p>
    <w:p>
      <w:pPr>
        <w:jc w:val="both"/>
        <w:ind w:right="80" w:firstLine="472"/>
        <w:spacing w:after="0" w:line="267" w:lineRule="auto"/>
        <w:rPr>
          <w:sz w:val="20"/>
          <w:szCs w:val="20"/>
          <w:color w:val="auto"/>
        </w:rPr>
      </w:pPr>
      <w:r>
        <w:rPr>
          <w:rFonts w:ascii="Arial" w:cs="Arial" w:eastAsia="Arial" w:hAnsi="Arial"/>
          <w:sz w:val="19"/>
          <w:szCs w:val="19"/>
          <w:color w:val="auto"/>
        </w:rPr>
        <w:t>In general, you will not be required to recognize income, gain or loss upon exercise of our warrants by payment of the exercise price. Your tax basis in our ordinary shares received upon exercise of our warrants will be equal to the sum of (1) your tax basis in the warrants exchanged therefor and (2) the exercise price of the warrants. Your holding period in our ordinary shares received upon exercise will commence on the day after you exercise the warrants.</w:t>
      </w:r>
    </w:p>
    <w:p>
      <w:pPr>
        <w:spacing w:after="0" w:line="210" w:lineRule="exact"/>
        <w:rPr>
          <w:sz w:val="20"/>
          <w:szCs w:val="20"/>
          <w:color w:val="auto"/>
        </w:rPr>
      </w:pPr>
    </w:p>
    <w:p>
      <w:pPr>
        <w:jc w:val="both"/>
        <w:ind w:right="140" w:firstLine="472"/>
        <w:spacing w:after="0" w:line="271" w:lineRule="auto"/>
        <w:rPr>
          <w:sz w:val="20"/>
          <w:szCs w:val="20"/>
          <w:color w:val="auto"/>
        </w:rPr>
      </w:pPr>
      <w:r>
        <w:rPr>
          <w:rFonts w:ascii="Arial" w:cs="Arial" w:eastAsia="Arial" w:hAnsi="Arial"/>
          <w:sz w:val="19"/>
          <w:szCs w:val="19"/>
          <w:color w:val="auto"/>
        </w:rPr>
        <w:t>If the warrants expire without being exercised, you will recognize a capital loss in an amount equal to your tax basis in the warrants. Such loss will be long-term capital loss if, at the time of the expiration, your holding period in the warrants is more than one year. The deductibility of capital losses is subject to limitations.</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Information Reporting and Backup Withholding</w:t>
      </w:r>
    </w:p>
    <w:p>
      <w:pPr>
        <w:spacing w:after="0" w:line="255" w:lineRule="exact"/>
        <w:rPr>
          <w:sz w:val="20"/>
          <w:szCs w:val="20"/>
          <w:color w:val="auto"/>
        </w:rPr>
      </w:pPr>
    </w:p>
    <w:p>
      <w:pPr>
        <w:jc w:val="both"/>
        <w:ind w:right="80" w:firstLine="472"/>
        <w:spacing w:after="0" w:line="264" w:lineRule="auto"/>
        <w:rPr>
          <w:sz w:val="20"/>
          <w:szCs w:val="20"/>
          <w:color w:val="auto"/>
        </w:rPr>
      </w:pPr>
      <w:r>
        <w:rPr>
          <w:rFonts w:ascii="Arial" w:cs="Arial" w:eastAsia="Arial" w:hAnsi="Arial"/>
          <w:sz w:val="19"/>
          <w:szCs w:val="19"/>
          <w:color w:val="auto"/>
        </w:rPr>
        <w:t>Dividend payments (including constructive dividends) with respect to our ordinary shares or warrants and proceeds from the sale, exchange or redemption of our ordinary shares or warrants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14" w:lineRule="exact"/>
        <w:rPr>
          <w:sz w:val="20"/>
          <w:szCs w:val="20"/>
          <w:color w:val="auto"/>
        </w:rPr>
      </w:pPr>
    </w:p>
    <w:p>
      <w:pPr>
        <w:jc w:val="both"/>
        <w:ind w:right="80" w:firstLine="472"/>
        <w:spacing w:after="0" w:line="271" w:lineRule="auto"/>
        <w:rPr>
          <w:sz w:val="20"/>
          <w:szCs w:val="20"/>
          <w:color w:val="auto"/>
        </w:rPr>
      </w:pPr>
      <w:r>
        <w:rPr>
          <w:rFonts w:ascii="Arial" w:cs="Arial" w:eastAsia="Arial" w:hAnsi="Arial"/>
          <w:sz w:val="19"/>
          <w:szCs w:val="19"/>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Information with respect to Foreign Financial Assets</w:t>
      </w:r>
    </w:p>
    <w:p>
      <w:pPr>
        <w:spacing w:after="0" w:line="255" w:lineRule="exact"/>
        <w:rPr>
          <w:sz w:val="20"/>
          <w:szCs w:val="20"/>
          <w:color w:val="auto"/>
        </w:rPr>
      </w:pPr>
    </w:p>
    <w:p>
      <w:pPr>
        <w:jc w:val="both"/>
        <w:ind w:firstLine="472"/>
        <w:spacing w:after="0" w:line="267" w:lineRule="auto"/>
        <w:rPr>
          <w:sz w:val="20"/>
          <w:szCs w:val="20"/>
          <w:color w:val="auto"/>
        </w:rPr>
      </w:pPr>
      <w:r>
        <w:rPr>
          <w:rFonts w:ascii="Arial" w:cs="Arial" w:eastAsia="Arial" w:hAnsi="Arial"/>
          <w:sz w:val="19"/>
          <w:szCs w:val="19"/>
          <w:color w:val="auto"/>
        </w:rPr>
        <w:t>Certain U.S. Holders may be required to report information relating to an interest in our ordinary shares or warrants,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210" w:lineRule="exact"/>
        <w:rPr>
          <w:sz w:val="20"/>
          <w:szCs w:val="20"/>
          <w:color w:val="auto"/>
        </w:rPr>
      </w:pPr>
    </w:p>
    <w:p>
      <w:pPr>
        <w:jc w:val="both"/>
        <w:ind w:right="280" w:firstLine="472"/>
        <w:spacing w:after="0" w:line="287" w:lineRule="auto"/>
        <w:rPr>
          <w:sz w:val="20"/>
          <w:szCs w:val="20"/>
          <w:color w:val="auto"/>
        </w:rPr>
      </w:pPr>
      <w:r>
        <w:rPr>
          <w:rFonts w:ascii="Arial" w:cs="Arial" w:eastAsia="Arial" w:hAnsi="Arial"/>
          <w:sz w:val="18"/>
          <w:szCs w:val="18"/>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AN INVESTMENT IN OUR ORDINARY SHARES OR WARRANTS.</w:t>
      </w:r>
    </w:p>
    <w:p>
      <w:pPr>
        <w:sectPr>
          <w:pgSz w:w="11900" w:h="16838" w:orient="portrait"/>
          <w:cols w:equalWidth="0" w:num="1">
            <w:col w:w="11160"/>
          </w:cols>
          <w:pgMar w:left="400" w:top="132" w:right="339" w:bottom="1440" w:gutter="0" w:footer="0" w:header="0"/>
        </w:sectPr>
      </w:pPr>
    </w:p>
    <w:p>
      <w:pPr>
        <w:spacing w:after="0" w:line="334" w:lineRule="exact"/>
        <w:rPr>
          <w:sz w:val="20"/>
          <w:szCs w:val="20"/>
          <w:color w:val="auto"/>
        </w:rPr>
      </w:pPr>
    </w:p>
    <w:p>
      <w:pPr>
        <w:jc w:val="center"/>
        <w:ind w:right="80"/>
        <w:spacing w:after="0"/>
        <w:rPr>
          <w:sz w:val="20"/>
          <w:szCs w:val="20"/>
          <w:color w:val="auto"/>
        </w:rPr>
      </w:pPr>
      <w:r>
        <w:rPr>
          <w:rFonts w:ascii="Arial" w:cs="Arial" w:eastAsia="Arial" w:hAnsi="Arial"/>
          <w:sz w:val="16"/>
          <w:szCs w:val="16"/>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60325</wp:posOffset>
            </wp:positionV>
            <wp:extent cx="7149465" cy="1524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160"/>
          </w:cols>
          <w:pgMar w:left="400" w:top="132" w:right="339" w:bottom="1440" w:gutter="0" w:footer="0" w:header="0"/>
          <w:type w:val="continuous"/>
        </w:sectPr>
      </w:pPr>
    </w:p>
    <w:bookmarkStart w:id="140" w:name="page141"/>
    <w:bookmarkEnd w:id="140"/>
    <w:p>
      <w:pPr>
        <w:ind w:left="705" w:hanging="705"/>
        <w:spacing w:after="0"/>
        <w:tabs>
          <w:tab w:leader="none" w:pos="705" w:val="left"/>
        </w:tabs>
        <w:numPr>
          <w:ilvl w:val="0"/>
          <w:numId w:val="129"/>
        </w:numPr>
        <w:rPr>
          <w:rFonts w:ascii="Arial" w:cs="Arial" w:eastAsia="Arial" w:hAnsi="Arial"/>
          <w:sz w:val="19"/>
          <w:szCs w:val="19"/>
          <w:b w:val="1"/>
          <w:bCs w:val="1"/>
          <w:color w:val="auto"/>
        </w:rPr>
      </w:pPr>
      <w:r>
        <w:rPr>
          <w:rFonts w:ascii="Arial" w:cs="Arial" w:eastAsia="Arial" w:hAnsi="Arial"/>
          <w:sz w:val="19"/>
          <w:szCs w:val="19"/>
          <w:b w:val="1"/>
          <w:bCs w:val="1"/>
          <w:color w:val="auto"/>
        </w:rPr>
        <w:t>Dividends and Paying Agents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65" w:hanging="765"/>
        <w:spacing w:after="0"/>
        <w:tabs>
          <w:tab w:leader="none" w:pos="765" w:val="left"/>
        </w:tabs>
        <w:numPr>
          <w:ilvl w:val="0"/>
          <w:numId w:val="130"/>
        </w:numPr>
        <w:rPr>
          <w:rFonts w:ascii="Arial" w:cs="Arial" w:eastAsia="Arial" w:hAnsi="Arial"/>
          <w:sz w:val="19"/>
          <w:szCs w:val="19"/>
          <w:b w:val="1"/>
          <w:bCs w:val="1"/>
          <w:color w:val="auto"/>
        </w:rPr>
      </w:pPr>
      <w:r>
        <w:rPr>
          <w:rFonts w:ascii="Arial" w:cs="Arial" w:eastAsia="Arial" w:hAnsi="Arial"/>
          <w:sz w:val="19"/>
          <w:szCs w:val="19"/>
          <w:b w:val="1"/>
          <w:bCs w:val="1"/>
          <w:color w:val="auto"/>
        </w:rPr>
        <w:t>Statement by Experts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65" w:hanging="765"/>
        <w:spacing w:after="0"/>
        <w:tabs>
          <w:tab w:leader="none" w:pos="765" w:val="left"/>
        </w:tabs>
        <w:numPr>
          <w:ilvl w:val="0"/>
          <w:numId w:val="131"/>
        </w:numPr>
        <w:rPr>
          <w:rFonts w:ascii="Arial" w:cs="Arial" w:eastAsia="Arial" w:hAnsi="Arial"/>
          <w:sz w:val="19"/>
          <w:szCs w:val="19"/>
          <w:b w:val="1"/>
          <w:bCs w:val="1"/>
          <w:color w:val="auto"/>
        </w:rPr>
      </w:pPr>
      <w:r>
        <w:rPr>
          <w:rFonts w:ascii="Arial" w:cs="Arial" w:eastAsia="Arial" w:hAnsi="Arial"/>
          <w:sz w:val="19"/>
          <w:szCs w:val="19"/>
          <w:b w:val="1"/>
          <w:bCs w:val="1"/>
          <w:color w:val="auto"/>
        </w:rPr>
        <w:t>Documents on Display</w:t>
      </w:r>
    </w:p>
    <w:p>
      <w:pPr>
        <w:spacing w:after="0" w:line="261" w:lineRule="exact"/>
        <w:rPr>
          <w:sz w:val="20"/>
          <w:szCs w:val="20"/>
          <w:color w:val="auto"/>
        </w:rPr>
      </w:pPr>
    </w:p>
    <w:p>
      <w:pPr>
        <w:jc w:val="both"/>
        <w:ind w:left="5" w:right="20" w:firstLine="568"/>
        <w:spacing w:after="0" w:line="345" w:lineRule="auto"/>
        <w:rPr>
          <w:sz w:val="20"/>
          <w:szCs w:val="20"/>
          <w:color w:val="auto"/>
        </w:rPr>
      </w:pPr>
      <w:r>
        <w:rPr>
          <w:rFonts w:ascii="Arial" w:cs="Arial" w:eastAsia="Arial" w:hAnsi="Arial"/>
          <w:sz w:val="17"/>
          <w:szCs w:val="17"/>
          <w:color w:val="auto"/>
        </w:rPr>
        <w:t xml:space="preserve">We are subject to the information reporting requirements of the Exchange Act, applicable to foreign private issuers, and under those requirements, we file reports with the SEC. Our filings with the SEC are available to the public through the SEC’s website at </w:t>
      </w:r>
      <w:r>
        <w:rPr>
          <w:rFonts w:ascii="Arial" w:cs="Arial" w:eastAsia="Arial" w:hAnsi="Arial"/>
          <w:sz w:val="17"/>
          <w:szCs w:val="17"/>
          <w:i w:val="1"/>
          <w:iCs w:val="1"/>
          <w:u w:val="single" w:color="auto"/>
          <w:color w:val="auto"/>
        </w:rPr>
        <w:t>http://www.sec.gov</w:t>
      </w:r>
      <w:r>
        <w:rPr>
          <w:rFonts w:ascii="Arial" w:cs="Arial" w:eastAsia="Arial" w:hAnsi="Arial"/>
          <w:sz w:val="17"/>
          <w:szCs w:val="17"/>
          <w:color w:val="auto"/>
        </w:rPr>
        <w:t>.</w:t>
      </w:r>
    </w:p>
    <w:p>
      <w:pPr>
        <w:spacing w:after="0" w:line="148" w:lineRule="exact"/>
        <w:rPr>
          <w:sz w:val="20"/>
          <w:szCs w:val="20"/>
          <w:color w:val="auto"/>
        </w:rPr>
      </w:pPr>
    </w:p>
    <w:p>
      <w:pPr>
        <w:jc w:val="both"/>
        <w:ind w:left="5" w:firstLine="568"/>
        <w:spacing w:after="0" w:line="264" w:lineRule="auto"/>
        <w:rPr>
          <w:sz w:val="20"/>
          <w:szCs w:val="20"/>
          <w:color w:val="auto"/>
        </w:rPr>
      </w:pPr>
      <w:r>
        <w:rPr>
          <w:rFonts w:ascii="Arial" w:cs="Arial" w:eastAsia="Arial" w:hAnsi="Arial"/>
          <w:sz w:val="19"/>
          <w:szCs w:val="19"/>
          <w:color w:val="auto"/>
        </w:rPr>
        <w:t>As a foreign private issuer, we are exempt from the rules under the Exchange Act, related to the furnishing and content of proxy statements, and our officers, directors and principal shareholders are exempt from the reporting and short-swing profit recovery provisions contained in Section 16 of the Exchange Act. In addition, we are not required under the Exchange Act, to file annual, quarterly and current reports and financial statements with the SEC as frequently or as promptly as U.S. companies whose securities are registered under the Exchange Act. However, we are required to comply with the informational requirements of the Exchange Act, and, accordingly, file current reports on Form 6-K, annual reports on Form 20-F and other information with the SEC.</w:t>
      </w:r>
    </w:p>
    <w:p>
      <w:pPr>
        <w:spacing w:after="0" w:line="208" w:lineRule="exact"/>
        <w:rPr>
          <w:sz w:val="20"/>
          <w:szCs w:val="20"/>
          <w:color w:val="auto"/>
        </w:rPr>
      </w:pPr>
    </w:p>
    <w:p>
      <w:pPr>
        <w:ind w:left="685" w:hanging="685"/>
        <w:spacing w:after="0"/>
        <w:tabs>
          <w:tab w:leader="none" w:pos="685" w:val="left"/>
        </w:tabs>
        <w:numPr>
          <w:ilvl w:val="0"/>
          <w:numId w:val="132"/>
        </w:numPr>
        <w:rPr>
          <w:rFonts w:ascii="Arial" w:cs="Arial" w:eastAsia="Arial" w:hAnsi="Arial"/>
          <w:sz w:val="19"/>
          <w:szCs w:val="19"/>
          <w:b w:val="1"/>
          <w:bCs w:val="1"/>
          <w:color w:val="auto"/>
        </w:rPr>
      </w:pPr>
      <w:r>
        <w:rPr>
          <w:rFonts w:ascii="Arial" w:cs="Arial" w:eastAsia="Arial" w:hAnsi="Arial"/>
          <w:sz w:val="19"/>
          <w:szCs w:val="19"/>
          <w:b w:val="1"/>
          <w:bCs w:val="1"/>
          <w:color w:val="auto"/>
        </w:rPr>
        <w:t>Subsidiary Information</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25" w:val="left"/>
        </w:tabs>
        <w:rPr>
          <w:sz w:val="20"/>
          <w:szCs w:val="20"/>
          <w:color w:val="auto"/>
        </w:rPr>
      </w:pPr>
      <w:r>
        <w:rPr>
          <w:rFonts w:ascii="Arial" w:cs="Arial" w:eastAsia="Arial" w:hAnsi="Arial"/>
          <w:sz w:val="19"/>
          <w:szCs w:val="19"/>
          <w:b w:val="1"/>
          <w:bCs w:val="1"/>
          <w:color w:val="auto"/>
        </w:rPr>
        <w:t>ITEM 11.</w:t>
      </w:r>
      <w:r>
        <w:rPr>
          <w:sz w:val="20"/>
          <w:szCs w:val="20"/>
          <w:color w:val="auto"/>
        </w:rPr>
        <w:tab/>
      </w:r>
      <w:r>
        <w:rPr>
          <w:rFonts w:ascii="Arial" w:cs="Arial" w:eastAsia="Arial" w:hAnsi="Arial"/>
          <w:sz w:val="19"/>
          <w:szCs w:val="19"/>
          <w:b w:val="1"/>
          <w:bCs w:val="1"/>
          <w:color w:val="auto"/>
        </w:rPr>
        <w:t>QUANTITATIVE AND QUALITATIVE DISCLOSURES ABOUT MARKET RISK</w:t>
      </w:r>
    </w:p>
    <w:p>
      <w:pPr>
        <w:spacing w:after="0" w:line="261"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pacing w:after="0" w:line="206"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Interest Rate Risk</w:t>
      </w:r>
    </w:p>
    <w:p>
      <w:pPr>
        <w:spacing w:after="0" w:line="255" w:lineRule="exact"/>
        <w:rPr>
          <w:sz w:val="20"/>
          <w:szCs w:val="20"/>
          <w:color w:val="auto"/>
        </w:rPr>
      </w:pPr>
    </w:p>
    <w:p>
      <w:pPr>
        <w:ind w:left="565"/>
        <w:spacing w:after="0"/>
        <w:rPr>
          <w:sz w:val="20"/>
          <w:szCs w:val="20"/>
          <w:color w:val="auto"/>
        </w:rPr>
      </w:pPr>
      <w:r>
        <w:rPr>
          <w:rFonts w:ascii="Arial" w:cs="Arial" w:eastAsia="Arial" w:hAnsi="Arial"/>
          <w:sz w:val="19"/>
          <w:szCs w:val="19"/>
          <w:color w:val="auto"/>
        </w:rPr>
        <w:t>We do not anticipate undertaking any significant long-term borrowings.</w:t>
      </w:r>
    </w:p>
    <w:p>
      <w:pPr>
        <w:spacing w:after="0" w:line="255" w:lineRule="exact"/>
        <w:rPr>
          <w:sz w:val="20"/>
          <w:szCs w:val="20"/>
          <w:color w:val="auto"/>
        </w:rPr>
      </w:pPr>
    </w:p>
    <w:p>
      <w:pPr>
        <w:jc w:val="both"/>
        <w:ind w:left="5" w:right="20" w:firstLine="568"/>
        <w:spacing w:after="0" w:line="265" w:lineRule="auto"/>
        <w:rPr>
          <w:sz w:val="20"/>
          <w:szCs w:val="20"/>
          <w:color w:val="auto"/>
        </w:rPr>
      </w:pPr>
      <w:r>
        <w:rPr>
          <w:rFonts w:ascii="Arial" w:cs="Arial" w:eastAsia="Arial" w:hAnsi="Arial"/>
          <w:sz w:val="19"/>
          <w:szCs w:val="19"/>
          <w:color w:val="auto"/>
        </w:rPr>
        <w:t>At present, our investments consist primarily of marketable securities and bank deposits. We may be exposed to market price risk because of investments in tradable securities, mainly corporate bonds, held by us and classified in our financial statements as financial assets at fair value through profit or loss. To manage the price risk arising from investments in tradable securities, we invest in marketable securities with high ratings and diversify our investment portfolio. Our investments may also be exposed to market risk due to fluctuation in interest rates, which may affect our interest income and the fair market value of our investments, if any.</w:t>
      </w:r>
    </w:p>
    <w:p>
      <w:pPr>
        <w:spacing w:after="0" w:line="355"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41" w:name="page142"/>
    <w:bookmarkEnd w:id="141"/>
    <w:p>
      <w:pPr>
        <w:ind w:left="5"/>
        <w:spacing w:after="0"/>
        <w:rPr>
          <w:sz w:val="20"/>
          <w:szCs w:val="20"/>
          <w:color w:val="auto"/>
        </w:rPr>
      </w:pPr>
      <w:r>
        <w:rPr>
          <w:rFonts w:ascii="Arial" w:cs="Arial" w:eastAsia="Arial" w:hAnsi="Arial"/>
          <w:sz w:val="19"/>
          <w:szCs w:val="19"/>
          <w:b w:val="1"/>
          <w:bCs w:val="1"/>
          <w:i w:val="1"/>
          <w:iCs w:val="1"/>
          <w:color w:val="auto"/>
        </w:rPr>
        <w:t>Foreign Currency Exchange Risk</w:t>
      </w:r>
    </w:p>
    <w:p>
      <w:pPr>
        <w:spacing w:after="0" w:line="255" w:lineRule="exact"/>
        <w:rPr>
          <w:sz w:val="20"/>
          <w:szCs w:val="20"/>
          <w:color w:val="auto"/>
        </w:rPr>
      </w:pPr>
    </w:p>
    <w:p>
      <w:pPr>
        <w:jc w:val="both"/>
        <w:ind w:left="5" w:firstLine="568"/>
        <w:spacing w:after="0" w:line="299" w:lineRule="auto"/>
        <w:rPr>
          <w:sz w:val="20"/>
          <w:szCs w:val="20"/>
          <w:color w:val="auto"/>
        </w:rPr>
      </w:pPr>
      <w:r>
        <w:rPr>
          <w:rFonts w:ascii="Arial" w:cs="Arial" w:eastAsia="Arial" w:hAnsi="Arial"/>
          <w:sz w:val="17"/>
          <w:szCs w:val="17"/>
          <w:color w:val="auto"/>
        </w:rPr>
        <w:t>The U.S. dollar is our functional and reporting currency. Although a substantial portion of our expenses (mainly salaries and related costs) are denominated in NIS, accounting for almost half of our expenses in the year ended December 31, 2020, all of our financing has been in U.S. dollars 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2% during the fiscal year ended on December 31, 2020. We also have expenses, although to a much lesser extent, in other non-U.S. dollar currencies, in particular the Euro.</w:t>
      </w:r>
    </w:p>
    <w:p>
      <w:pPr>
        <w:spacing w:after="0" w:line="188" w:lineRule="exact"/>
        <w:rPr>
          <w:sz w:val="20"/>
          <w:szCs w:val="20"/>
          <w:color w:val="auto"/>
        </w:rPr>
      </w:pPr>
    </w:p>
    <w:p>
      <w:pPr>
        <w:jc w:val="both"/>
        <w:ind w:left="5" w:firstLine="568"/>
        <w:spacing w:after="0" w:line="301" w:lineRule="auto"/>
        <w:rPr>
          <w:sz w:val="20"/>
          <w:szCs w:val="20"/>
          <w:color w:val="auto"/>
        </w:rPr>
      </w:pPr>
      <w:r>
        <w:rPr>
          <w:rFonts w:ascii="Arial" w:cs="Arial" w:eastAsia="Arial" w:hAnsi="Arial"/>
          <w:sz w:val="17"/>
          <w:szCs w:val="17"/>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“Item 3 – D. Risk Factors — Exchange rate fluctuations between the U.S. dollar, the New Israeli Shekel and other foreign currencies, may negatively affect our future revenues.” If the NIS fluctuates significantly against the U.S. dollar it may have a negative impact on our results of operations. As of the date of this annual report and for the periods under review, fluctuations in the currencies exchange rates have not materially affected our results of operations or financial condition.</w:t>
      </w:r>
    </w:p>
    <w:p>
      <w:pPr>
        <w:spacing w:after="0" w:line="185"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and therefore the changes in the fair value are included in financial expense (income), net.</w:t>
      </w:r>
    </w:p>
    <w:p>
      <w:pPr>
        <w:spacing w:after="0" w:line="206"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Inflation-related risks</w:t>
      </w:r>
    </w:p>
    <w:p>
      <w:pPr>
        <w:spacing w:after="0" w:line="255" w:lineRule="exact"/>
        <w:rPr>
          <w:sz w:val="20"/>
          <w:szCs w:val="20"/>
          <w:color w:val="auto"/>
        </w:rPr>
      </w:pPr>
    </w:p>
    <w:p>
      <w:pPr>
        <w:jc w:val="both"/>
        <w:ind w:left="5" w:right="20" w:firstLine="568"/>
        <w:spacing w:after="0" w:line="271" w:lineRule="auto"/>
        <w:rPr>
          <w:sz w:val="20"/>
          <w:szCs w:val="20"/>
          <w:color w:val="auto"/>
        </w:rPr>
      </w:pPr>
      <w:r>
        <w:rPr>
          <w:rFonts w:ascii="Arial" w:cs="Arial" w:eastAsia="Arial" w:hAnsi="Arial"/>
          <w:sz w:val="19"/>
          <w:szCs w:val="19"/>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200"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 12.</w:t>
      </w:r>
      <w:r>
        <w:rPr>
          <w:sz w:val="20"/>
          <w:szCs w:val="20"/>
          <w:color w:val="auto"/>
        </w:rPr>
        <w:tab/>
      </w:r>
      <w:r>
        <w:rPr>
          <w:rFonts w:ascii="Arial" w:cs="Arial" w:eastAsia="Arial" w:hAnsi="Arial"/>
          <w:sz w:val="19"/>
          <w:szCs w:val="19"/>
          <w:b w:val="1"/>
          <w:bCs w:val="1"/>
          <w:color w:val="auto"/>
        </w:rPr>
        <w:t>DESCRIPTION OF SECURITIES OTHER THAN EQUITY SECURITIES</w:t>
      </w:r>
    </w:p>
    <w:p>
      <w:pPr>
        <w:spacing w:after="0" w:line="255" w:lineRule="exact"/>
        <w:rPr>
          <w:sz w:val="20"/>
          <w:szCs w:val="20"/>
          <w:color w:val="auto"/>
        </w:rPr>
      </w:pPr>
    </w:p>
    <w:p>
      <w:pPr>
        <w:ind w:left="705" w:hanging="705"/>
        <w:spacing w:after="0"/>
        <w:tabs>
          <w:tab w:leader="none" w:pos="705" w:val="left"/>
        </w:tabs>
        <w:numPr>
          <w:ilvl w:val="0"/>
          <w:numId w:val="133"/>
        </w:numPr>
        <w:rPr>
          <w:rFonts w:ascii="Arial" w:cs="Arial" w:eastAsia="Arial" w:hAnsi="Arial"/>
          <w:sz w:val="19"/>
          <w:szCs w:val="19"/>
          <w:b w:val="1"/>
          <w:bCs w:val="1"/>
          <w:color w:val="auto"/>
        </w:rPr>
      </w:pPr>
      <w:r>
        <w:rPr>
          <w:rFonts w:ascii="Arial" w:cs="Arial" w:eastAsia="Arial" w:hAnsi="Arial"/>
          <w:sz w:val="19"/>
          <w:szCs w:val="19"/>
          <w:b w:val="1"/>
          <w:bCs w:val="1"/>
          <w:color w:val="auto"/>
        </w:rPr>
        <w:t>Debt Securities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45" w:hanging="745"/>
        <w:spacing w:after="0"/>
        <w:tabs>
          <w:tab w:leader="none" w:pos="745" w:val="left"/>
        </w:tabs>
        <w:numPr>
          <w:ilvl w:val="0"/>
          <w:numId w:val="134"/>
        </w:numPr>
        <w:rPr>
          <w:rFonts w:ascii="Arial" w:cs="Arial" w:eastAsia="Arial" w:hAnsi="Arial"/>
          <w:sz w:val="19"/>
          <w:szCs w:val="19"/>
          <w:b w:val="1"/>
          <w:bCs w:val="1"/>
          <w:color w:val="auto"/>
        </w:rPr>
      </w:pPr>
      <w:r>
        <w:rPr>
          <w:rFonts w:ascii="Arial" w:cs="Arial" w:eastAsia="Arial" w:hAnsi="Arial"/>
          <w:sz w:val="19"/>
          <w:szCs w:val="19"/>
          <w:b w:val="1"/>
          <w:bCs w:val="1"/>
          <w:color w:val="auto"/>
        </w:rPr>
        <w:t>Warrants and Rights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45" w:hanging="745"/>
        <w:spacing w:after="0"/>
        <w:tabs>
          <w:tab w:leader="none" w:pos="745" w:val="left"/>
        </w:tabs>
        <w:numPr>
          <w:ilvl w:val="0"/>
          <w:numId w:val="135"/>
        </w:numPr>
        <w:rPr>
          <w:rFonts w:ascii="Arial" w:cs="Arial" w:eastAsia="Arial" w:hAnsi="Arial"/>
          <w:sz w:val="19"/>
          <w:szCs w:val="19"/>
          <w:b w:val="1"/>
          <w:bCs w:val="1"/>
          <w:color w:val="auto"/>
        </w:rPr>
      </w:pPr>
      <w:r>
        <w:rPr>
          <w:rFonts w:ascii="Arial" w:cs="Arial" w:eastAsia="Arial" w:hAnsi="Arial"/>
          <w:sz w:val="19"/>
          <w:szCs w:val="19"/>
          <w:b w:val="1"/>
          <w:bCs w:val="1"/>
          <w:color w:val="auto"/>
        </w:rPr>
        <w:t>Other Securities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745" w:hanging="745"/>
        <w:spacing w:after="0"/>
        <w:tabs>
          <w:tab w:leader="none" w:pos="745" w:val="left"/>
        </w:tabs>
        <w:numPr>
          <w:ilvl w:val="0"/>
          <w:numId w:val="136"/>
        </w:numPr>
        <w:rPr>
          <w:rFonts w:ascii="Arial" w:cs="Arial" w:eastAsia="Arial" w:hAnsi="Arial"/>
          <w:sz w:val="19"/>
          <w:szCs w:val="19"/>
          <w:b w:val="1"/>
          <w:bCs w:val="1"/>
          <w:color w:val="auto"/>
        </w:rPr>
      </w:pPr>
      <w:r>
        <w:rPr>
          <w:rFonts w:ascii="Arial" w:cs="Arial" w:eastAsia="Arial" w:hAnsi="Arial"/>
          <w:sz w:val="19"/>
          <w:szCs w:val="19"/>
          <w:b w:val="1"/>
          <w:bCs w:val="1"/>
          <w:color w:val="auto"/>
        </w:rPr>
        <w:t>American Depositary Shares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45" w:val="left"/>
        </w:tabs>
        <w:rPr>
          <w:sz w:val="20"/>
          <w:szCs w:val="20"/>
          <w:color w:val="auto"/>
        </w:rPr>
      </w:pPr>
      <w:r>
        <w:rPr>
          <w:rFonts w:ascii="Arial" w:cs="Arial" w:eastAsia="Arial" w:hAnsi="Arial"/>
          <w:sz w:val="19"/>
          <w:szCs w:val="19"/>
          <w:b w:val="1"/>
          <w:bCs w:val="1"/>
          <w:color w:val="auto"/>
        </w:rPr>
        <w:t>ITEM 13.</w:t>
      </w:r>
      <w:r>
        <w:rPr>
          <w:sz w:val="20"/>
          <w:szCs w:val="20"/>
          <w:color w:val="auto"/>
        </w:rPr>
        <w:tab/>
      </w:r>
      <w:r>
        <w:rPr>
          <w:rFonts w:ascii="Arial" w:cs="Arial" w:eastAsia="Arial" w:hAnsi="Arial"/>
          <w:sz w:val="18"/>
          <w:szCs w:val="18"/>
          <w:b w:val="1"/>
          <w:bCs w:val="1"/>
          <w:color w:val="auto"/>
        </w:rPr>
        <w:t>DEFAULTS, DIVIDEND ARREARAGES AND DELINQUENCIES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45" w:val="left"/>
        </w:tabs>
        <w:rPr>
          <w:sz w:val="20"/>
          <w:szCs w:val="20"/>
          <w:color w:val="auto"/>
        </w:rPr>
      </w:pPr>
      <w:r>
        <w:rPr>
          <w:rFonts w:ascii="Arial" w:cs="Arial" w:eastAsia="Arial" w:hAnsi="Arial"/>
          <w:sz w:val="19"/>
          <w:szCs w:val="19"/>
          <w:b w:val="1"/>
          <w:bCs w:val="1"/>
          <w:color w:val="auto"/>
        </w:rPr>
        <w:t>ITEM 14.</w:t>
      </w:r>
      <w:r>
        <w:rPr>
          <w:sz w:val="20"/>
          <w:szCs w:val="20"/>
          <w:color w:val="auto"/>
        </w:rPr>
        <w:tab/>
      </w:r>
      <w:r>
        <w:rPr>
          <w:rFonts w:ascii="Arial" w:cs="Arial" w:eastAsia="Arial" w:hAnsi="Arial"/>
          <w:sz w:val="19"/>
          <w:szCs w:val="19"/>
          <w:b w:val="1"/>
          <w:bCs w:val="1"/>
          <w:color w:val="auto"/>
        </w:rPr>
        <w:t>MATERIAL MODIFICATIONS TO THE RIGHTS OF SECURITY HOLDERS AND USE OF PROCEEDS</w:t>
      </w:r>
    </w:p>
    <w:p>
      <w:pPr>
        <w:spacing w:after="0" w:line="261" w:lineRule="exact"/>
        <w:rPr>
          <w:sz w:val="20"/>
          <w:szCs w:val="20"/>
          <w:color w:val="auto"/>
        </w:rPr>
      </w:pPr>
    </w:p>
    <w:p>
      <w:pPr>
        <w:ind w:left="565"/>
        <w:spacing w:after="0"/>
        <w:rPr>
          <w:sz w:val="20"/>
          <w:szCs w:val="20"/>
          <w:color w:val="auto"/>
        </w:rPr>
      </w:pPr>
      <w:r>
        <w:rPr>
          <w:rFonts w:ascii="Arial" w:cs="Arial" w:eastAsia="Arial" w:hAnsi="Arial"/>
          <w:sz w:val="19"/>
          <w:szCs w:val="19"/>
          <w:color w:val="auto"/>
        </w:rPr>
        <w:t>All proceeds have been applied from our initial public offering on Nasdaq on February 5, 2018.</w:t>
      </w:r>
    </w:p>
    <w:p>
      <w:pPr>
        <w:spacing w:after="0" w:line="39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32" w:right="319" w:bottom="1440" w:gutter="0" w:footer="0" w:header="0"/>
        </w:sectPr>
      </w:pPr>
    </w:p>
    <w:bookmarkStart w:id="142" w:name="page143"/>
    <w:bookmarkEnd w:id="142"/>
    <w:p>
      <w:pPr>
        <w:ind w:left="5"/>
        <w:spacing w:after="0"/>
        <w:tabs>
          <w:tab w:leader="none" w:pos="1245" w:val="left"/>
        </w:tabs>
        <w:rPr>
          <w:sz w:val="20"/>
          <w:szCs w:val="20"/>
          <w:color w:val="auto"/>
        </w:rPr>
      </w:pPr>
      <w:r>
        <w:rPr>
          <w:rFonts w:ascii="Arial" w:cs="Arial" w:eastAsia="Arial" w:hAnsi="Arial"/>
          <w:sz w:val="19"/>
          <w:szCs w:val="19"/>
          <w:b w:val="1"/>
          <w:bCs w:val="1"/>
          <w:color w:val="auto"/>
        </w:rPr>
        <w:t>ITEM 15.</w:t>
      </w:r>
      <w:r>
        <w:rPr>
          <w:sz w:val="20"/>
          <w:szCs w:val="20"/>
          <w:color w:val="auto"/>
        </w:rPr>
        <w:tab/>
      </w:r>
      <w:r>
        <w:rPr>
          <w:rFonts w:ascii="Arial" w:cs="Arial" w:eastAsia="Arial" w:hAnsi="Arial"/>
          <w:sz w:val="18"/>
          <w:szCs w:val="18"/>
          <w:b w:val="1"/>
          <w:bCs w:val="1"/>
          <w:color w:val="auto"/>
        </w:rPr>
        <w:t>CONTROLS AND PROCEDURES</w:t>
      </w:r>
    </w:p>
    <w:p>
      <w:pPr>
        <w:spacing w:after="0" w:line="255" w:lineRule="exact"/>
        <w:rPr>
          <w:sz w:val="20"/>
          <w:szCs w:val="20"/>
          <w:color w:val="auto"/>
        </w:rPr>
      </w:pPr>
    </w:p>
    <w:p>
      <w:pPr>
        <w:ind w:left="785" w:hanging="785"/>
        <w:spacing w:after="0"/>
        <w:tabs>
          <w:tab w:leader="none" w:pos="785" w:val="left"/>
        </w:tabs>
        <w:numPr>
          <w:ilvl w:val="0"/>
          <w:numId w:val="137"/>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Disclosure Controls and Procedures</w:t>
      </w:r>
    </w:p>
    <w:p>
      <w:pPr>
        <w:spacing w:after="0" w:line="261" w:lineRule="exact"/>
        <w:rPr>
          <w:sz w:val="20"/>
          <w:szCs w:val="20"/>
          <w:color w:val="auto"/>
        </w:rPr>
      </w:pPr>
    </w:p>
    <w:p>
      <w:pPr>
        <w:jc w:val="both"/>
        <w:ind w:left="5" w:firstLine="568"/>
        <w:spacing w:after="0" w:line="296" w:lineRule="auto"/>
        <w:rPr>
          <w:sz w:val="20"/>
          <w:szCs w:val="20"/>
          <w:color w:val="auto"/>
        </w:rPr>
      </w:pPr>
      <w:r>
        <w:rPr>
          <w:rFonts w:ascii="Arial" w:cs="Arial" w:eastAsia="Arial" w:hAnsi="Arial"/>
          <w:sz w:val="17"/>
          <w:szCs w:val="17"/>
          <w:color w:val="auto"/>
        </w:rPr>
        <w:t>We performed an evaluation of the effectiveness of our disclosure controls and procedures that are designed to ensure that information required to be disclosed and filed with the SEC is recorded, processed, summarized and reported timely within the time period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our management, including our principal executive and principal financial officers, or persons performing similar functions, as appropriate to allow timely decisions regarding required disclosure. There can be no assurance that our disclosure controls and procedures will detect or uncover all failures of persons within the company to disclose information otherwise required to be set forth in our reports. Nevertheless, our disclosure controls and procedures are designed to provide reasonable assurance of achieving the desired control objectives. Based on our evaluation, our management, including our Chief Executive Officer and Chief Financial Officer, have concluded that our disclosure controls and procedures (as defined in Rules 13a-15(e) and 15d-15(e) of the Exchange Act) as of the end of the period covered by this report are effective at such reasonable assurance level.</w:t>
      </w:r>
    </w:p>
    <w:p>
      <w:pPr>
        <w:spacing w:after="0" w:line="185" w:lineRule="exact"/>
        <w:rPr>
          <w:sz w:val="20"/>
          <w:szCs w:val="20"/>
          <w:color w:val="auto"/>
        </w:rPr>
      </w:pPr>
    </w:p>
    <w:p>
      <w:pPr>
        <w:ind w:left="805" w:hanging="805"/>
        <w:spacing w:after="0"/>
        <w:tabs>
          <w:tab w:leader="none" w:pos="805" w:val="left"/>
        </w:tabs>
        <w:numPr>
          <w:ilvl w:val="0"/>
          <w:numId w:val="138"/>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Management’s Annual Report on Internal Control over Financial Reporting</w:t>
      </w:r>
    </w:p>
    <w:p>
      <w:pPr>
        <w:spacing w:after="0" w:line="261"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8"/>
          <w:szCs w:val="18"/>
          <w:color w:val="auto"/>
        </w:rPr>
        <w:t>Our management, under the supervision of our Chief Executive Officer and Chief Financial Officer, is responsible for establishing and maintaining adequate internal control over our financial reporting, as defined in Rules 13a-15(f) and 15d-15(f) of the Exchange Act of 1934, as amended. The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Internal control over financial reporting includes policies and procedures that:</w:t>
      </w:r>
    </w:p>
    <w:p>
      <w:pPr>
        <w:spacing w:after="0" w:line="189" w:lineRule="exact"/>
        <w:rPr>
          <w:sz w:val="20"/>
          <w:szCs w:val="20"/>
          <w:color w:val="auto"/>
        </w:rPr>
      </w:pPr>
    </w:p>
    <w:p>
      <w:pPr>
        <w:ind w:left="845" w:hanging="431"/>
        <w:spacing w:after="0"/>
        <w:tabs>
          <w:tab w:leader="none" w:pos="845" w:val="left"/>
        </w:tabs>
        <w:numPr>
          <w:ilvl w:val="0"/>
          <w:numId w:val="139"/>
        </w:numPr>
        <w:rPr>
          <w:rFonts w:ascii="Arial" w:cs="Arial" w:eastAsia="Arial" w:hAnsi="Arial"/>
          <w:sz w:val="16"/>
          <w:szCs w:val="16"/>
          <w:color w:val="auto"/>
        </w:rPr>
      </w:pPr>
      <w:r>
        <w:rPr>
          <w:rFonts w:ascii="Arial" w:cs="Arial" w:eastAsia="Arial" w:hAnsi="Arial"/>
          <w:sz w:val="16"/>
          <w:szCs w:val="16"/>
          <w:color w:val="auto"/>
        </w:rPr>
        <w:t>pertain to the maintenance of records that in reasonable detail accurately and fairly reflect our transactions and asset dispositions;</w:t>
      </w:r>
    </w:p>
    <w:p>
      <w:pPr>
        <w:spacing w:after="0" w:line="16" w:lineRule="exact"/>
        <w:rPr>
          <w:rFonts w:ascii="Arial" w:cs="Arial" w:eastAsia="Arial" w:hAnsi="Arial"/>
          <w:sz w:val="16"/>
          <w:szCs w:val="16"/>
          <w:color w:val="auto"/>
        </w:rPr>
      </w:pPr>
    </w:p>
    <w:p>
      <w:pPr>
        <w:ind w:left="845" w:hanging="431"/>
        <w:spacing w:after="0" w:line="246" w:lineRule="auto"/>
        <w:tabs>
          <w:tab w:leader="none" w:pos="845" w:val="left"/>
        </w:tabs>
        <w:numPr>
          <w:ilvl w:val="0"/>
          <w:numId w:val="139"/>
        </w:numPr>
        <w:rPr>
          <w:rFonts w:ascii="Arial" w:cs="Arial" w:eastAsia="Arial" w:hAnsi="Arial"/>
          <w:sz w:val="16"/>
          <w:szCs w:val="16"/>
          <w:color w:val="auto"/>
        </w:rPr>
      </w:pPr>
      <w:r>
        <w:rPr>
          <w:rFonts w:ascii="Arial" w:cs="Arial" w:eastAsia="Arial" w:hAnsi="Arial"/>
          <w:sz w:val="16"/>
          <w:szCs w:val="16"/>
          <w:color w:val="auto"/>
        </w:rPr>
        <w:t>provide reasonable assurance that transactions are recorded as necessary to permit the preparation of our financial statements in accordance with generally accepted accounting principles;</w:t>
      </w:r>
    </w:p>
    <w:p>
      <w:pPr>
        <w:spacing w:after="0" w:line="1" w:lineRule="exact"/>
        <w:rPr>
          <w:rFonts w:ascii="Arial" w:cs="Arial" w:eastAsia="Arial" w:hAnsi="Arial"/>
          <w:sz w:val="16"/>
          <w:szCs w:val="16"/>
          <w:color w:val="auto"/>
        </w:rPr>
      </w:pPr>
    </w:p>
    <w:p>
      <w:pPr>
        <w:ind w:left="845" w:right="20" w:hanging="431"/>
        <w:spacing w:after="0" w:line="246" w:lineRule="auto"/>
        <w:tabs>
          <w:tab w:leader="none" w:pos="845" w:val="left"/>
        </w:tabs>
        <w:numPr>
          <w:ilvl w:val="0"/>
          <w:numId w:val="139"/>
        </w:numPr>
        <w:rPr>
          <w:rFonts w:ascii="Arial" w:cs="Arial" w:eastAsia="Arial" w:hAnsi="Arial"/>
          <w:sz w:val="16"/>
          <w:szCs w:val="16"/>
          <w:color w:val="auto"/>
        </w:rPr>
      </w:pPr>
      <w:r>
        <w:rPr>
          <w:rFonts w:ascii="Arial" w:cs="Arial" w:eastAsia="Arial" w:hAnsi="Arial"/>
          <w:sz w:val="16"/>
          <w:szCs w:val="16"/>
          <w:color w:val="auto"/>
        </w:rPr>
        <w:t>provide reasonable assurance that receipts and expenditures are made only in accordance with authorizations of our management and board of directors (as appropriate); and</w:t>
      </w:r>
    </w:p>
    <w:p>
      <w:pPr>
        <w:spacing w:after="0" w:line="1" w:lineRule="exact"/>
        <w:rPr>
          <w:rFonts w:ascii="Arial" w:cs="Arial" w:eastAsia="Arial" w:hAnsi="Arial"/>
          <w:sz w:val="16"/>
          <w:szCs w:val="16"/>
          <w:color w:val="auto"/>
        </w:rPr>
      </w:pPr>
    </w:p>
    <w:p>
      <w:pPr>
        <w:ind w:left="845" w:right="20" w:hanging="431"/>
        <w:spacing w:after="0" w:line="253" w:lineRule="auto"/>
        <w:tabs>
          <w:tab w:leader="none" w:pos="845" w:val="left"/>
        </w:tabs>
        <w:numPr>
          <w:ilvl w:val="0"/>
          <w:numId w:val="139"/>
        </w:numPr>
        <w:rPr>
          <w:rFonts w:ascii="Arial" w:cs="Arial" w:eastAsia="Arial" w:hAnsi="Arial"/>
          <w:sz w:val="16"/>
          <w:szCs w:val="16"/>
          <w:color w:val="auto"/>
        </w:rPr>
      </w:pPr>
      <w:r>
        <w:rPr>
          <w:rFonts w:ascii="Arial" w:cs="Arial" w:eastAsia="Arial" w:hAnsi="Arial"/>
          <w:sz w:val="16"/>
          <w:szCs w:val="16"/>
          <w:color w:val="auto"/>
        </w:rPr>
        <w:t>provide reasonable assurance regarding the prevention or timely detection of unauthorized acquisition, use or disposition of assets that could have a material effect on our financial statements.</w:t>
      </w:r>
    </w:p>
    <w:p>
      <w:pPr>
        <w:spacing w:after="0" w:line="221" w:lineRule="exact"/>
        <w:rPr>
          <w:sz w:val="20"/>
          <w:szCs w:val="20"/>
          <w:color w:val="auto"/>
        </w:rPr>
      </w:pPr>
    </w:p>
    <w:p>
      <w:pPr>
        <w:jc w:val="both"/>
        <w:ind w:left="5" w:firstLine="568"/>
        <w:spacing w:after="0" w:line="271" w:lineRule="auto"/>
        <w:rPr>
          <w:sz w:val="20"/>
          <w:szCs w:val="20"/>
          <w:color w:val="auto"/>
        </w:rPr>
      </w:pPr>
      <w:r>
        <w:rPr>
          <w:rFonts w:ascii="Arial" w:cs="Arial" w:eastAsia="Arial" w:hAnsi="Arial"/>
          <w:sz w:val="19"/>
          <w:szCs w:val="19"/>
          <w:color w:val="auto"/>
        </w:rPr>
        <w:t>Due to its inherent limitations, internal control over financial reporting may not prevent or detect misstatements. In addition,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6" w:lineRule="exact"/>
        <w:rPr>
          <w:sz w:val="20"/>
          <w:szCs w:val="20"/>
          <w:color w:val="auto"/>
        </w:rPr>
      </w:pPr>
    </w:p>
    <w:p>
      <w:pPr>
        <w:jc w:val="both"/>
        <w:ind w:left="5" w:firstLine="568"/>
        <w:spacing w:after="0" w:line="293" w:lineRule="auto"/>
        <w:rPr>
          <w:sz w:val="20"/>
          <w:szCs w:val="20"/>
          <w:color w:val="auto"/>
        </w:rPr>
      </w:pPr>
      <w:r>
        <w:rPr>
          <w:rFonts w:ascii="Arial" w:cs="Arial" w:eastAsia="Arial" w:hAnsi="Arial"/>
          <w:sz w:val="18"/>
          <w:szCs w:val="18"/>
          <w:color w:val="auto"/>
        </w:rPr>
        <w:t>Under the supervision and with the participation of our management, including our Chief Executive Officer and Chief Financial Officer, we assessed the effectiveness of our internal control over financial reporting as of December 31, 2020 based on the framework for Internal Control-Integrated Framework set forth by The Committee of Sponsoring Organizations of the Treadway Commission (COSO) (2013).</w:t>
      </w:r>
    </w:p>
    <w:p>
      <w:pPr>
        <w:spacing w:after="0" w:line="188"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Based on our assessment and this framework, our management concluded that the Company’s internal control over financial reporting was effective as of December 31, 2020.</w:t>
      </w:r>
    </w:p>
    <w:p>
      <w:pPr>
        <w:spacing w:after="0" w:line="187" w:lineRule="exact"/>
        <w:rPr>
          <w:sz w:val="20"/>
          <w:szCs w:val="20"/>
          <w:color w:val="auto"/>
        </w:rPr>
      </w:pPr>
    </w:p>
    <w:p>
      <w:pPr>
        <w:ind w:left="725" w:hanging="725"/>
        <w:spacing w:after="0"/>
        <w:tabs>
          <w:tab w:leader="none" w:pos="725" w:val="left"/>
        </w:tabs>
        <w:numPr>
          <w:ilvl w:val="0"/>
          <w:numId w:val="140"/>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Attestation Report of Registered Public Accounting Firm</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39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43" w:name="page144"/>
    <w:bookmarkEnd w:id="143"/>
    <w:p>
      <w:pPr>
        <w:ind w:left="745" w:hanging="745"/>
        <w:spacing w:after="0"/>
        <w:tabs>
          <w:tab w:leader="none" w:pos="745" w:val="left"/>
        </w:tabs>
        <w:numPr>
          <w:ilvl w:val="0"/>
          <w:numId w:val="141"/>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Changes in Internal Controls Over Financial Reporting</w:t>
      </w:r>
    </w:p>
    <w:p>
      <w:pPr>
        <w:spacing w:after="0" w:line="261" w:lineRule="exact"/>
        <w:rPr>
          <w:sz w:val="20"/>
          <w:szCs w:val="20"/>
          <w:color w:val="auto"/>
        </w:rPr>
      </w:pPr>
    </w:p>
    <w:p>
      <w:pPr>
        <w:jc w:val="both"/>
        <w:ind w:left="5" w:firstLine="568"/>
        <w:spacing w:after="0" w:line="284" w:lineRule="auto"/>
        <w:rPr>
          <w:sz w:val="20"/>
          <w:szCs w:val="20"/>
          <w:color w:val="auto"/>
        </w:rPr>
      </w:pPr>
      <w:r>
        <w:rPr>
          <w:rFonts w:ascii="Arial" w:cs="Arial" w:eastAsia="Arial" w:hAnsi="Arial"/>
          <w:sz w:val="19"/>
          <w:szCs w:val="19"/>
          <w:color w:val="auto"/>
        </w:rPr>
        <w:t>There were no changes in our internal control over financial reporting that occurred during the year ended December 31, 2020 that have materially affected or are reasonably likely to materially affect our internal control over financial reporting.</w:t>
      </w:r>
    </w:p>
    <w:p>
      <w:pPr>
        <w:spacing w:after="0" w:line="187"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ITEM16.</w:t>
      </w:r>
      <w:r>
        <w:rPr>
          <w:sz w:val="20"/>
          <w:szCs w:val="20"/>
          <w:color w:val="auto"/>
        </w:rPr>
        <w:tab/>
      </w:r>
      <w:r>
        <w:rPr>
          <w:rFonts w:ascii="Arial" w:cs="Arial" w:eastAsia="Arial" w:hAnsi="Arial"/>
          <w:sz w:val="19"/>
          <w:szCs w:val="19"/>
          <w:b w:val="1"/>
          <w:bCs w:val="1"/>
          <w:color w:val="auto"/>
        </w:rPr>
        <w:t>[RESERVED]</w:t>
      </w:r>
    </w:p>
    <w:p>
      <w:pPr>
        <w:spacing w:after="0" w:line="255"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 16A.</w:t>
        <w:tab/>
        <w:t>AUDIT COMMITTEE FINANCIAL EXPERT</w:t>
      </w:r>
    </w:p>
    <w:p>
      <w:pPr>
        <w:spacing w:after="0" w:line="261" w:lineRule="exact"/>
        <w:rPr>
          <w:sz w:val="20"/>
          <w:szCs w:val="20"/>
          <w:color w:val="auto"/>
        </w:rPr>
      </w:pPr>
    </w:p>
    <w:p>
      <w:pPr>
        <w:jc w:val="both"/>
        <w:ind w:left="5" w:right="20" w:firstLine="568"/>
        <w:spacing w:after="0" w:line="284" w:lineRule="auto"/>
        <w:rPr>
          <w:sz w:val="20"/>
          <w:szCs w:val="20"/>
          <w:color w:val="auto"/>
        </w:rPr>
      </w:pPr>
      <w:r>
        <w:rPr>
          <w:rFonts w:ascii="Arial" w:cs="Arial" w:eastAsia="Arial" w:hAnsi="Arial"/>
          <w:sz w:val="19"/>
          <w:szCs w:val="19"/>
          <w:color w:val="auto"/>
        </w:rPr>
        <w:t>Our board of directors has determined that Mr. Jerrold S. Gattegno is an audit committee financial expert. Mr. Gattegno is an independent director for the purposes of the Nasdaq Listing Rules.</w:t>
      </w:r>
    </w:p>
    <w:p>
      <w:pPr>
        <w:spacing w:after="0" w:line="187" w:lineRule="exact"/>
        <w:rPr>
          <w:sz w:val="20"/>
          <w:szCs w:val="20"/>
          <w:color w:val="auto"/>
        </w:rPr>
      </w:pPr>
    </w:p>
    <w:p>
      <w:pPr>
        <w:ind w:left="5"/>
        <w:spacing w:after="0"/>
        <w:tabs>
          <w:tab w:leader="none" w:pos="1185" w:val="left"/>
        </w:tabs>
        <w:rPr>
          <w:sz w:val="20"/>
          <w:szCs w:val="20"/>
          <w:color w:val="auto"/>
        </w:rPr>
      </w:pPr>
      <w:r>
        <w:rPr>
          <w:rFonts w:ascii="Arial" w:cs="Arial" w:eastAsia="Arial" w:hAnsi="Arial"/>
          <w:sz w:val="19"/>
          <w:szCs w:val="19"/>
          <w:b w:val="1"/>
          <w:bCs w:val="1"/>
          <w:color w:val="auto"/>
        </w:rPr>
        <w:t>ITEM 16B.</w:t>
        <w:tab/>
        <w:t>CODE OF ETHICS</w:t>
      </w:r>
    </w:p>
    <w:p>
      <w:pPr>
        <w:spacing w:after="0" w:line="261" w:lineRule="exact"/>
        <w:rPr>
          <w:sz w:val="20"/>
          <w:szCs w:val="20"/>
          <w:color w:val="auto"/>
        </w:rPr>
      </w:pPr>
    </w:p>
    <w:p>
      <w:pPr>
        <w:jc w:val="both"/>
        <w:ind w:left="5" w:firstLine="568"/>
        <w:spacing w:after="0" w:line="271" w:lineRule="auto"/>
        <w:rPr>
          <w:sz w:val="20"/>
          <w:szCs w:val="20"/>
          <w:color w:val="auto"/>
        </w:rPr>
      </w:pPr>
      <w:r>
        <w:rPr>
          <w:rFonts w:ascii="Arial" w:cs="Arial" w:eastAsia="Arial" w:hAnsi="Arial"/>
          <w:sz w:val="19"/>
          <w:szCs w:val="19"/>
          <w:color w:val="auto"/>
        </w:rPr>
        <w:t>We have adopted a code of ethics that applies to our principal executive officer, principal financial officer, principal accounting officer or controller, or persons performing similar functions. This code of ethics is posted on our website, http://ir.sol-gel.com/corporate-governance/governance-overview.</w:t>
      </w:r>
    </w:p>
    <w:p>
      <w:pPr>
        <w:spacing w:after="0" w:line="34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44" w:name="page145"/>
    <w:bookmarkEnd w:id="144"/>
    <w:p>
      <w:pPr>
        <w:ind w:left="5"/>
        <w:spacing w:after="0"/>
        <w:tabs>
          <w:tab w:leader="none" w:pos="1185" w:val="left"/>
        </w:tabs>
        <w:rPr>
          <w:sz w:val="20"/>
          <w:szCs w:val="20"/>
          <w:color w:val="auto"/>
        </w:rPr>
      </w:pPr>
      <w:r>
        <w:rPr>
          <w:rFonts w:ascii="Arial" w:cs="Arial" w:eastAsia="Arial" w:hAnsi="Arial"/>
          <w:sz w:val="19"/>
          <w:szCs w:val="19"/>
          <w:b w:val="1"/>
          <w:bCs w:val="1"/>
          <w:color w:val="auto"/>
        </w:rPr>
        <w:t>ITEM 16C.</w:t>
      </w:r>
      <w:r>
        <w:rPr>
          <w:sz w:val="20"/>
          <w:szCs w:val="20"/>
          <w:color w:val="auto"/>
        </w:rPr>
        <w:tab/>
      </w:r>
      <w:r>
        <w:rPr>
          <w:rFonts w:ascii="Arial" w:cs="Arial" w:eastAsia="Arial" w:hAnsi="Arial"/>
          <w:sz w:val="18"/>
          <w:szCs w:val="18"/>
          <w:b w:val="1"/>
          <w:bCs w:val="1"/>
          <w:color w:val="auto"/>
        </w:rPr>
        <w:t>PRINCIPAL ACCOUNTANT FEES AND SERVICES</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Fees Paid to Independent Registered Public Accounting Firm</w:t>
      </w:r>
    </w:p>
    <w:p>
      <w:pPr>
        <w:spacing w:after="0" w:line="261" w:lineRule="exact"/>
        <w:rPr>
          <w:sz w:val="20"/>
          <w:szCs w:val="20"/>
          <w:color w:val="auto"/>
        </w:rPr>
      </w:pPr>
    </w:p>
    <w:p>
      <w:pPr>
        <w:ind w:left="5" w:firstLine="568"/>
        <w:spacing w:after="0" w:line="284" w:lineRule="auto"/>
        <w:rPr>
          <w:sz w:val="20"/>
          <w:szCs w:val="20"/>
          <w:color w:val="auto"/>
        </w:rPr>
      </w:pPr>
      <w:r>
        <w:rPr>
          <w:rFonts w:ascii="Arial" w:cs="Arial" w:eastAsia="Arial" w:hAnsi="Arial"/>
          <w:sz w:val="19"/>
          <w:szCs w:val="19"/>
          <w:color w:val="auto"/>
        </w:rPr>
        <w:t>The following table sets forth, for each of the years indicated, the aggregate fees billed by our independent registered public accounting firm for professional services.</w:t>
      </w:r>
    </w:p>
    <w:p>
      <w:pPr>
        <w:spacing w:after="0" w:line="183" w:lineRule="exact"/>
        <w:rPr>
          <w:sz w:val="20"/>
          <w:szCs w:val="20"/>
          <w:color w:val="auto"/>
        </w:rPr>
      </w:pPr>
    </w:p>
    <w:tbl>
      <w:tblPr>
        <w:tblLayout w:type="fixed"/>
        <w:tblInd w:w="5" w:type="dxa"/>
        <w:tblCellMar>
          <w:top w:w="0" w:type="dxa"/>
          <w:left w:w="0" w:type="dxa"/>
          <w:bottom w:w="0" w:type="dxa"/>
          <w:right w:w="0" w:type="dxa"/>
        </w:tblCellMar>
      </w:tblPr>
      <w:tr>
        <w:trPr>
          <w:trHeight w:val="209"/>
        </w:trPr>
        <w:tc>
          <w:tcPr>
            <w:tcW w:w="8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580" w:type="dxa"/>
            <w:vAlign w:val="bottom"/>
            <w:gridSpan w:val="5"/>
          </w:tcPr>
          <w:p>
            <w:pPr>
              <w:jc w:val="right"/>
              <w:ind w:right="480"/>
              <w:spacing w:after="0"/>
              <w:rPr>
                <w:sz w:val="20"/>
                <w:szCs w:val="20"/>
                <w:color w:val="auto"/>
              </w:rPr>
            </w:pPr>
            <w:r>
              <w:rPr>
                <w:rFonts w:ascii="Arial" w:cs="Arial" w:eastAsia="Arial" w:hAnsi="Arial"/>
                <w:sz w:val="16"/>
                <w:szCs w:val="16"/>
                <w:b w:val="1"/>
                <w:bCs w:val="1"/>
                <w:color w:val="auto"/>
              </w:rPr>
              <w:t>Year Ended December 31,</w:t>
            </w:r>
          </w:p>
        </w:tc>
      </w:tr>
      <w:tr>
        <w:trPr>
          <w:trHeight w:val="193"/>
        </w:trPr>
        <w:tc>
          <w:tcPr>
            <w:tcW w:w="8680" w:type="dxa"/>
            <w:vAlign w:val="bottom"/>
            <w:gridSpan w:val="2"/>
          </w:tcPr>
          <w:p>
            <w:pPr>
              <w:spacing w:after="0"/>
              <w:rPr>
                <w:sz w:val="20"/>
                <w:szCs w:val="20"/>
                <w:color w:val="auto"/>
              </w:rPr>
            </w:pPr>
            <w:r>
              <w:rPr>
                <w:rFonts w:ascii="Arial" w:cs="Arial" w:eastAsia="Arial" w:hAnsi="Arial"/>
                <w:sz w:val="16"/>
                <w:szCs w:val="16"/>
                <w:b w:val="1"/>
                <w:bCs w:val="1"/>
                <w:color w:val="auto"/>
              </w:rPr>
              <w:t>Services Rendered</w:t>
            </w:r>
          </w:p>
        </w:tc>
        <w:tc>
          <w:tcPr>
            <w:tcW w:w="1140" w:type="dxa"/>
            <w:vAlign w:val="bottom"/>
            <w:tcBorders>
              <w:top w:val="single" w:sz="8" w:color="auto"/>
            </w:tcBorders>
          </w:tcPr>
          <w:p>
            <w:pPr>
              <w:jc w:val="right"/>
              <w:ind w:right="341"/>
              <w:spacing w:after="0"/>
              <w:rPr>
                <w:sz w:val="20"/>
                <w:szCs w:val="20"/>
                <w:color w:val="auto"/>
              </w:rPr>
            </w:pPr>
            <w:r>
              <w:rPr>
                <w:rFonts w:ascii="Arial" w:cs="Arial" w:eastAsia="Arial" w:hAnsi="Arial"/>
                <w:sz w:val="16"/>
                <w:szCs w:val="16"/>
                <w:b w:val="1"/>
                <w:bCs w:val="1"/>
                <w:color w:val="auto"/>
              </w:rPr>
              <w:t>2020</w:t>
            </w:r>
          </w:p>
        </w:tc>
        <w:tc>
          <w:tcPr>
            <w:tcW w:w="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16"/>
                <w:szCs w:val="16"/>
                <w:color w:val="auto"/>
              </w:rPr>
            </w:pPr>
          </w:p>
        </w:tc>
      </w:tr>
      <w:tr>
        <w:trPr>
          <w:trHeight w:val="189"/>
        </w:trPr>
        <w:tc>
          <w:tcPr>
            <w:tcW w:w="856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(U.S. dollars</w:t>
            </w:r>
          </w:p>
        </w:tc>
        <w:tc>
          <w:tcPr>
            <w:tcW w:w="20" w:type="dxa"/>
            <w:vAlign w:val="bottom"/>
          </w:tcPr>
          <w:p>
            <w:pPr>
              <w:spacing w:after="0"/>
              <w:rPr>
                <w:sz w:val="16"/>
                <w:szCs w:val="16"/>
                <w:color w:val="auto"/>
              </w:rPr>
            </w:pPr>
          </w:p>
        </w:tc>
        <w:tc>
          <w:tcPr>
            <w:tcW w:w="200" w:type="dxa"/>
            <w:vAlign w:val="bottom"/>
          </w:tcPr>
          <w:p>
            <w:pPr>
              <w:ind w:left="60"/>
              <w:spacing w:after="0"/>
              <w:rPr>
                <w:sz w:val="20"/>
                <w:szCs w:val="20"/>
                <w:color w:val="auto"/>
              </w:rPr>
            </w:pPr>
            <w:r>
              <w:rPr>
                <w:rFonts w:ascii="Arial" w:cs="Arial" w:eastAsia="Arial" w:hAnsi="Arial"/>
                <w:sz w:val="16"/>
                <w:szCs w:val="16"/>
                <w:b w:val="1"/>
                <w:bCs w:val="1"/>
                <w:color w:val="auto"/>
                <w:w w:val="84"/>
              </w:rPr>
              <w:t>in</w:t>
            </w:r>
          </w:p>
        </w:tc>
        <w:tc>
          <w:tcPr>
            <w:tcW w:w="1100" w:type="dxa"/>
            <w:vAlign w:val="bottom"/>
            <w:tcBorders>
              <w:top w:val="single" w:sz="8" w:color="auto"/>
            </w:tcBorders>
          </w:tcPr>
          <w:p>
            <w:pPr>
              <w:jc w:val="right"/>
              <w:ind w:right="261"/>
              <w:spacing w:after="0"/>
              <w:rPr>
                <w:sz w:val="20"/>
                <w:szCs w:val="20"/>
                <w:color w:val="auto"/>
              </w:rPr>
            </w:pPr>
            <w:r>
              <w:rPr>
                <w:rFonts w:ascii="Arial" w:cs="Arial" w:eastAsia="Arial" w:hAnsi="Arial"/>
                <w:sz w:val="16"/>
                <w:szCs w:val="16"/>
                <w:b w:val="1"/>
                <w:bCs w:val="1"/>
                <w:color w:val="auto"/>
                <w:w w:val="85"/>
              </w:rPr>
              <w:t>thousands)</w:t>
            </w:r>
          </w:p>
        </w:tc>
        <w:tc>
          <w:tcPr>
            <w:tcW w:w="120" w:type="dxa"/>
            <w:vAlign w:val="bottom"/>
          </w:tcPr>
          <w:p>
            <w:pPr>
              <w:spacing w:after="0"/>
              <w:rPr>
                <w:sz w:val="16"/>
                <w:szCs w:val="16"/>
                <w:color w:val="auto"/>
              </w:rPr>
            </w:pPr>
          </w:p>
        </w:tc>
      </w:tr>
      <w:tr>
        <w:trPr>
          <w:trHeight w:val="189"/>
        </w:trPr>
        <w:tc>
          <w:tcPr>
            <w:tcW w:w="86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Audit Fees (1)</w:t>
            </w: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187</w:t>
            </w:r>
          </w:p>
        </w:tc>
        <w:tc>
          <w:tcPr>
            <w:tcW w:w="20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164</w:t>
            </w:r>
          </w:p>
        </w:tc>
      </w:tr>
      <w:tr>
        <w:trPr>
          <w:trHeight w:val="193"/>
        </w:trPr>
        <w:tc>
          <w:tcPr>
            <w:tcW w:w="8680" w:type="dxa"/>
            <w:vAlign w:val="bottom"/>
            <w:gridSpan w:val="2"/>
          </w:tcPr>
          <w:p>
            <w:pPr>
              <w:spacing w:after="0"/>
              <w:rPr>
                <w:sz w:val="20"/>
                <w:szCs w:val="20"/>
                <w:color w:val="auto"/>
              </w:rPr>
            </w:pPr>
            <w:r>
              <w:rPr>
                <w:rFonts w:ascii="Arial" w:cs="Arial" w:eastAsia="Arial" w:hAnsi="Arial"/>
                <w:sz w:val="16"/>
                <w:szCs w:val="16"/>
                <w:color w:val="auto"/>
              </w:rPr>
              <w:t>Tax (2)</w:t>
            </w:r>
          </w:p>
        </w:tc>
        <w:tc>
          <w:tcPr>
            <w:tcW w:w="1160" w:type="dxa"/>
            <w:vAlign w:val="bottom"/>
            <w:gridSpan w:val="2"/>
          </w:tcPr>
          <w:p>
            <w:pPr>
              <w:jc w:val="right"/>
              <w:ind w:right="20"/>
              <w:spacing w:after="0"/>
              <w:rPr>
                <w:sz w:val="20"/>
                <w:szCs w:val="20"/>
                <w:color w:val="auto"/>
              </w:rPr>
            </w:pPr>
            <w:r>
              <w:rPr>
                <w:rFonts w:ascii="Arial" w:cs="Arial" w:eastAsia="Arial" w:hAnsi="Arial"/>
                <w:sz w:val="16"/>
                <w:szCs w:val="16"/>
                <w:color w:val="auto"/>
              </w:rPr>
              <w:t>29</w:t>
            </w:r>
          </w:p>
        </w:tc>
        <w:tc>
          <w:tcPr>
            <w:tcW w:w="200" w:type="dxa"/>
            <w:vAlign w:val="bottom"/>
          </w:tcPr>
          <w:p>
            <w:pPr>
              <w:spacing w:after="0"/>
              <w:rPr>
                <w:sz w:val="16"/>
                <w:szCs w:val="16"/>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37</w:t>
            </w:r>
          </w:p>
        </w:tc>
      </w:tr>
      <w:tr>
        <w:trPr>
          <w:trHeight w:val="193"/>
        </w:trPr>
        <w:tc>
          <w:tcPr>
            <w:tcW w:w="8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w:t>
            </w:r>
          </w:p>
        </w:tc>
        <w:tc>
          <w:tcPr>
            <w:tcW w:w="20" w:type="dxa"/>
            <w:vAlign w:val="bottom"/>
            <w:tcBorders>
              <w:top w:val="single" w:sz="8" w:color="auto"/>
              <w:bottom w:val="single" w:sz="8" w:color="CCEEFF"/>
            </w:tcBorders>
            <w:shd w:val="clear" w:color="auto" w:fill="CCEEFF"/>
          </w:tcPr>
          <w:p>
            <w:pPr>
              <w:spacing w:after="0"/>
              <w:rPr>
                <w:sz w:val="16"/>
                <w:szCs w:val="16"/>
                <w:color w:val="auto"/>
              </w:rPr>
            </w:pPr>
          </w:p>
        </w:tc>
        <w:tc>
          <w:tcPr>
            <w:tcW w:w="200" w:type="dxa"/>
            <w:vAlign w:val="bottom"/>
            <w:tcBorders>
              <w:bottom w:val="single" w:sz="8" w:color="CCEEFF"/>
            </w:tcBorders>
            <w:shd w:val="clear" w:color="auto" w:fill="CCEEFF"/>
          </w:tcPr>
          <w:p>
            <w:pPr>
              <w:spacing w:after="0"/>
              <w:rPr>
                <w:sz w:val="16"/>
                <w:szCs w:val="16"/>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201</w:t>
            </w:r>
          </w:p>
        </w:tc>
        <w:tc>
          <w:tcPr>
            <w:tcW w:w="120" w:type="dxa"/>
            <w:vAlign w:val="bottom"/>
            <w:tcBorders>
              <w:bottom w:val="single" w:sz="8" w:color="CCEEFF"/>
            </w:tcBorders>
            <w:shd w:val="clear" w:color="auto" w:fill="CCEEFF"/>
          </w:tcPr>
          <w:p>
            <w:pPr>
              <w:spacing w:after="0"/>
              <w:rPr>
                <w:sz w:val="16"/>
                <w:szCs w:val="1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270510</wp:posOffset>
            </wp:positionV>
            <wp:extent cx="1501775" cy="762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501775" cy="7620"/>
                    </a:xfrm>
                    <a:prstGeom prst="rect">
                      <a:avLst/>
                    </a:prstGeom>
                    <a:noFill/>
                  </pic:spPr>
                </pic:pic>
              </a:graphicData>
            </a:graphic>
          </wp:anchor>
        </w:drawing>
      </w:r>
    </w:p>
    <w:p>
      <w:pPr>
        <w:spacing w:after="0" w:line="200" w:lineRule="exact"/>
        <w:rPr>
          <w:sz w:val="20"/>
          <w:szCs w:val="20"/>
          <w:color w:val="auto"/>
        </w:rPr>
      </w:pPr>
    </w:p>
    <w:p>
      <w:pPr>
        <w:spacing w:after="0" w:line="241" w:lineRule="exact"/>
        <w:rPr>
          <w:sz w:val="20"/>
          <w:szCs w:val="20"/>
          <w:color w:val="auto"/>
        </w:rPr>
      </w:pPr>
    </w:p>
    <w:p>
      <w:pPr>
        <w:ind w:left="425" w:right="20" w:hanging="425"/>
        <w:spacing w:after="0" w:line="254" w:lineRule="auto"/>
        <w:tabs>
          <w:tab w:leader="none" w:pos="425" w:val="left"/>
        </w:tabs>
        <w:numPr>
          <w:ilvl w:val="0"/>
          <w:numId w:val="142"/>
        </w:numPr>
        <w:rPr>
          <w:rFonts w:ascii="Arial" w:cs="Arial" w:eastAsia="Arial" w:hAnsi="Arial"/>
          <w:sz w:val="16"/>
          <w:szCs w:val="16"/>
          <w:color w:val="auto"/>
        </w:rPr>
      </w:pPr>
      <w:r>
        <w:rPr>
          <w:rFonts w:ascii="Arial" w:cs="Arial" w:eastAsia="Arial" w:hAnsi="Arial"/>
          <w:sz w:val="16"/>
          <w:szCs w:val="16"/>
          <w:color w:val="auto"/>
        </w:rPr>
        <w:t>Audit Fees consist of professional services rendered in connection with the audit of our consolidated financial statements, review of our consolidated quarterly financial statements, issuance of comfort letters, consents and assistance with review of documents filed with the SEC.</w:t>
      </w:r>
    </w:p>
    <w:p>
      <w:pPr>
        <w:ind w:left="425" w:hanging="425"/>
        <w:spacing w:after="0"/>
        <w:tabs>
          <w:tab w:leader="none" w:pos="425" w:val="left"/>
        </w:tabs>
        <w:numPr>
          <w:ilvl w:val="0"/>
          <w:numId w:val="142"/>
        </w:numPr>
        <w:rPr>
          <w:rFonts w:ascii="Arial" w:cs="Arial" w:eastAsia="Arial" w:hAnsi="Arial"/>
          <w:sz w:val="16"/>
          <w:szCs w:val="16"/>
          <w:color w:val="auto"/>
        </w:rPr>
      </w:pPr>
      <w:r>
        <w:rPr>
          <w:rFonts w:ascii="Arial" w:cs="Arial" w:eastAsia="Arial" w:hAnsi="Arial"/>
          <w:sz w:val="16"/>
          <w:szCs w:val="16"/>
          <w:color w:val="auto"/>
        </w:rPr>
        <w:t>Tax fees relate to tax compliance, planning and advice.</w:t>
      </w:r>
    </w:p>
    <w:p>
      <w:pPr>
        <w:spacing w:after="0" w:line="230"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Audit Committee Pre-Approval Policies and Procedures</w:t>
      </w:r>
    </w:p>
    <w:p>
      <w:pPr>
        <w:spacing w:after="0" w:line="261" w:lineRule="exact"/>
        <w:rPr>
          <w:sz w:val="20"/>
          <w:szCs w:val="20"/>
          <w:color w:val="auto"/>
        </w:rPr>
      </w:pPr>
    </w:p>
    <w:p>
      <w:pPr>
        <w:jc w:val="both"/>
        <w:ind w:left="5" w:firstLine="568"/>
        <w:spacing w:after="0" w:line="308" w:lineRule="auto"/>
        <w:rPr>
          <w:sz w:val="20"/>
          <w:szCs w:val="20"/>
          <w:color w:val="auto"/>
        </w:rPr>
      </w:pPr>
      <w:r>
        <w:rPr>
          <w:rFonts w:ascii="Arial" w:cs="Arial" w:eastAsia="Arial" w:hAnsi="Arial"/>
          <w:sz w:val="17"/>
          <w:szCs w:val="17"/>
          <w:color w:val="auto"/>
        </w:rPr>
        <w:t>Our audit committee’s specific responsibilities in carrying out its oversight of the quality and integrity of the accounting, auditing and reporting practices of the Company include the approval of audit and non-audit services to be provided by the external auditor. The audit committee approves in advance the particular services or categories of services to be provided to the Company during the following yearly period and also sets forth a specific budget for such audit and non-audit services. Additional non-audit services may be pre-approved by the audit committee.</w:t>
      </w:r>
    </w:p>
    <w:p>
      <w:pPr>
        <w:spacing w:after="0" w:line="173" w:lineRule="exact"/>
        <w:rPr>
          <w:sz w:val="20"/>
          <w:szCs w:val="20"/>
          <w:color w:val="auto"/>
        </w:rPr>
      </w:pPr>
    </w:p>
    <w:p>
      <w:pPr>
        <w:ind w:left="5"/>
        <w:spacing w:after="0"/>
        <w:tabs>
          <w:tab w:leader="none" w:pos="1245" w:val="left"/>
        </w:tabs>
        <w:rPr>
          <w:sz w:val="20"/>
          <w:szCs w:val="20"/>
          <w:color w:val="auto"/>
        </w:rPr>
      </w:pPr>
      <w:r>
        <w:rPr>
          <w:rFonts w:ascii="Arial" w:cs="Arial" w:eastAsia="Arial" w:hAnsi="Arial"/>
          <w:sz w:val="19"/>
          <w:szCs w:val="19"/>
          <w:b w:val="1"/>
          <w:bCs w:val="1"/>
          <w:color w:val="auto"/>
        </w:rPr>
        <w:t>ITEM 16D.</w:t>
      </w:r>
      <w:r>
        <w:rPr>
          <w:sz w:val="20"/>
          <w:szCs w:val="20"/>
          <w:color w:val="auto"/>
        </w:rPr>
        <w:tab/>
      </w:r>
      <w:r>
        <w:rPr>
          <w:rFonts w:ascii="Arial" w:cs="Arial" w:eastAsia="Arial" w:hAnsi="Arial"/>
          <w:sz w:val="19"/>
          <w:szCs w:val="19"/>
          <w:b w:val="1"/>
          <w:bCs w:val="1"/>
          <w:color w:val="auto"/>
        </w:rPr>
        <w:t>EXEMPTIONS FROM THE LISTING STANDARDS FOR AUDIT COMMITTEES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25" w:val="left"/>
        </w:tabs>
        <w:rPr>
          <w:sz w:val="20"/>
          <w:szCs w:val="20"/>
          <w:color w:val="auto"/>
        </w:rPr>
      </w:pPr>
      <w:r>
        <w:rPr>
          <w:rFonts w:ascii="Arial" w:cs="Arial" w:eastAsia="Arial" w:hAnsi="Arial"/>
          <w:sz w:val="19"/>
          <w:szCs w:val="19"/>
          <w:b w:val="1"/>
          <w:bCs w:val="1"/>
          <w:color w:val="auto"/>
        </w:rPr>
        <w:t>ITEM 16E.</w:t>
      </w:r>
      <w:r>
        <w:rPr>
          <w:sz w:val="20"/>
          <w:szCs w:val="20"/>
          <w:color w:val="auto"/>
        </w:rPr>
        <w:tab/>
      </w:r>
      <w:r>
        <w:rPr>
          <w:rFonts w:ascii="Arial" w:cs="Arial" w:eastAsia="Arial" w:hAnsi="Arial"/>
          <w:sz w:val="18"/>
          <w:szCs w:val="18"/>
          <w:b w:val="1"/>
          <w:bCs w:val="1"/>
          <w:color w:val="auto"/>
        </w:rPr>
        <w:t>PURCHASES OF EQUITY SECURITIES BY THE ISSUER AND AFFILIATED PURCHASERS</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05" w:val="left"/>
        </w:tabs>
        <w:rPr>
          <w:sz w:val="20"/>
          <w:szCs w:val="20"/>
          <w:color w:val="auto"/>
        </w:rPr>
      </w:pPr>
      <w:r>
        <w:rPr>
          <w:rFonts w:ascii="Arial" w:cs="Arial" w:eastAsia="Arial" w:hAnsi="Arial"/>
          <w:sz w:val="19"/>
          <w:szCs w:val="19"/>
          <w:b w:val="1"/>
          <w:bCs w:val="1"/>
          <w:color w:val="auto"/>
        </w:rPr>
        <w:t>ITEM 16F.</w:t>
      </w:r>
      <w:r>
        <w:rPr>
          <w:sz w:val="20"/>
          <w:szCs w:val="20"/>
          <w:color w:val="auto"/>
        </w:rPr>
        <w:tab/>
      </w:r>
      <w:r>
        <w:rPr>
          <w:rFonts w:ascii="Arial" w:cs="Arial" w:eastAsia="Arial" w:hAnsi="Arial"/>
          <w:sz w:val="19"/>
          <w:szCs w:val="19"/>
          <w:b w:val="1"/>
          <w:bCs w:val="1"/>
          <w:color w:val="auto"/>
        </w:rPr>
        <w:t>CHANGE IN REGISTRANT’S CERTIFYING ACCOUNTANT</w:t>
      </w:r>
    </w:p>
    <w:p>
      <w:pPr>
        <w:spacing w:after="0" w:line="261" w:lineRule="exact"/>
        <w:rPr>
          <w:sz w:val="20"/>
          <w:szCs w:val="20"/>
          <w:color w:val="auto"/>
        </w:rPr>
      </w:pPr>
    </w:p>
    <w:p>
      <w:pPr>
        <w:ind w:left="5"/>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ind w:left="5"/>
        <w:spacing w:after="0"/>
        <w:tabs>
          <w:tab w:leader="none" w:pos="1245" w:val="left"/>
        </w:tabs>
        <w:rPr>
          <w:sz w:val="20"/>
          <w:szCs w:val="20"/>
          <w:color w:val="auto"/>
        </w:rPr>
      </w:pPr>
      <w:r>
        <w:rPr>
          <w:rFonts w:ascii="Arial" w:cs="Arial" w:eastAsia="Arial" w:hAnsi="Arial"/>
          <w:sz w:val="19"/>
          <w:szCs w:val="19"/>
          <w:b w:val="1"/>
          <w:bCs w:val="1"/>
          <w:color w:val="auto"/>
        </w:rPr>
        <w:t>ITEM 16G.</w:t>
      </w:r>
      <w:r>
        <w:rPr>
          <w:sz w:val="20"/>
          <w:szCs w:val="20"/>
          <w:color w:val="auto"/>
        </w:rPr>
        <w:tab/>
      </w:r>
      <w:r>
        <w:rPr>
          <w:rFonts w:ascii="Arial" w:cs="Arial" w:eastAsia="Arial" w:hAnsi="Arial"/>
          <w:sz w:val="18"/>
          <w:szCs w:val="18"/>
          <w:b w:val="1"/>
          <w:bCs w:val="1"/>
          <w:color w:val="auto"/>
        </w:rPr>
        <w:t>CORPORATE GOVERNANCE</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Nasdaq Stock Listing Rules and Home Country Practices</w:t>
      </w:r>
    </w:p>
    <w:p>
      <w:pPr>
        <w:spacing w:after="0" w:line="261" w:lineRule="exact"/>
        <w:rPr>
          <w:sz w:val="20"/>
          <w:szCs w:val="20"/>
          <w:color w:val="auto"/>
        </w:rPr>
      </w:pPr>
    </w:p>
    <w:p>
      <w:pPr>
        <w:jc w:val="both"/>
        <w:ind w:left="5" w:right="20" w:firstLine="568"/>
        <w:spacing w:after="0" w:line="301" w:lineRule="auto"/>
        <w:rPr>
          <w:sz w:val="20"/>
          <w:szCs w:val="20"/>
          <w:color w:val="auto"/>
        </w:rPr>
      </w:pPr>
      <w:r>
        <w:rPr>
          <w:rFonts w:ascii="Arial" w:cs="Arial" w:eastAsia="Arial" w:hAnsi="Arial"/>
          <w:sz w:val="17"/>
          <w:szCs w:val="17"/>
          <w:color w:val="auto"/>
        </w:rPr>
        <w:t>As a foreign private issuer, we are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 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pacing w:after="0" w:line="327"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45" w:name="page146"/>
    <w:bookmarkEnd w:id="145"/>
    <w:p>
      <w:pPr>
        <w:jc w:val="both"/>
        <w:ind w:firstLine="568"/>
        <w:spacing w:after="0" w:line="271" w:lineRule="auto"/>
        <w:rPr>
          <w:sz w:val="20"/>
          <w:szCs w:val="20"/>
          <w:color w:val="auto"/>
        </w:rPr>
      </w:pPr>
      <w:r>
        <w:rPr>
          <w:rFonts w:ascii="Arial" w:cs="Arial" w:eastAsia="Arial" w:hAnsi="Arial"/>
          <w:sz w:val="19"/>
          <w:szCs w:val="19"/>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201" w:lineRule="exact"/>
        <w:rPr>
          <w:sz w:val="20"/>
          <w:szCs w:val="20"/>
          <w:color w:val="auto"/>
        </w:rPr>
      </w:pPr>
    </w:p>
    <w:p>
      <w:pPr>
        <w:jc w:val="both"/>
        <w:ind w:left="740" w:right="20" w:hanging="426"/>
        <w:spacing w:after="0" w:line="257" w:lineRule="auto"/>
        <w:tabs>
          <w:tab w:leader="none" w:pos="740" w:val="left"/>
        </w:tabs>
        <w:numPr>
          <w:ilvl w:val="0"/>
          <w:numId w:val="143"/>
        </w:numPr>
        <w:rPr>
          <w:rFonts w:ascii="Arial" w:cs="Arial" w:eastAsia="Arial" w:hAnsi="Arial"/>
          <w:sz w:val="16"/>
          <w:szCs w:val="16"/>
          <w:color w:val="auto"/>
        </w:rPr>
      </w:pPr>
      <w:r>
        <w:rPr>
          <w:rFonts w:ascii="Arial" w:cs="Arial" w:eastAsia="Arial" w:hAnsi="Arial"/>
          <w:sz w:val="16"/>
          <w:szCs w:val="16"/>
          <w:color w:val="auto"/>
        </w:rPr>
        <w:t>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13" w:lineRule="exact"/>
        <w:rPr>
          <w:rFonts w:ascii="Arial" w:cs="Arial" w:eastAsia="Arial" w:hAnsi="Arial"/>
          <w:sz w:val="16"/>
          <w:szCs w:val="16"/>
          <w:color w:val="auto"/>
        </w:rPr>
      </w:pPr>
    </w:p>
    <w:p>
      <w:pPr>
        <w:jc w:val="both"/>
        <w:ind w:left="740" w:hanging="426"/>
        <w:spacing w:after="0" w:line="282" w:lineRule="auto"/>
        <w:tabs>
          <w:tab w:leader="none" w:pos="740" w:val="left"/>
        </w:tabs>
        <w:numPr>
          <w:ilvl w:val="0"/>
          <w:numId w:val="143"/>
        </w:numPr>
        <w:rPr>
          <w:rFonts w:ascii="Arial" w:cs="Arial" w:eastAsia="Arial" w:hAnsi="Arial"/>
          <w:sz w:val="15"/>
          <w:szCs w:val="15"/>
          <w:color w:val="auto"/>
        </w:rPr>
      </w:pPr>
      <w:r>
        <w:rPr>
          <w:rFonts w:ascii="Arial" w:cs="Arial" w:eastAsia="Arial" w:hAnsi="Arial"/>
          <w:sz w:val="15"/>
          <w:szCs w:val="15"/>
          <w:color w:val="auto"/>
        </w:rPr>
        <w:t>we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196" w:lineRule="exact"/>
        <w:rPr>
          <w:rFonts w:ascii="Arial" w:cs="Arial" w:eastAsia="Arial" w:hAnsi="Arial"/>
          <w:sz w:val="15"/>
          <w:szCs w:val="15"/>
          <w:color w:val="auto"/>
        </w:rPr>
      </w:pPr>
    </w:p>
    <w:p>
      <w:pPr>
        <w:jc w:val="both"/>
        <w:ind w:left="740" w:hanging="426"/>
        <w:spacing w:after="0" w:line="253" w:lineRule="auto"/>
        <w:tabs>
          <w:tab w:leader="none" w:pos="740" w:val="left"/>
        </w:tabs>
        <w:numPr>
          <w:ilvl w:val="0"/>
          <w:numId w:val="143"/>
        </w:numPr>
        <w:rPr>
          <w:rFonts w:ascii="Arial" w:cs="Arial" w:eastAsia="Arial" w:hAnsi="Arial"/>
          <w:sz w:val="16"/>
          <w:szCs w:val="16"/>
          <w:color w:val="auto"/>
        </w:rPr>
      </w:pPr>
      <w:r>
        <w:rPr>
          <w:rFonts w:ascii="Arial" w:cs="Arial" w:eastAsia="Arial" w:hAnsi="Arial"/>
          <w:sz w:val="16"/>
          <w:szCs w:val="16"/>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only mail such reports to shareholders upon request; and</w:t>
      </w:r>
    </w:p>
    <w:p>
      <w:pPr>
        <w:spacing w:after="0" w:line="217" w:lineRule="exact"/>
        <w:rPr>
          <w:rFonts w:ascii="Arial" w:cs="Arial" w:eastAsia="Arial" w:hAnsi="Arial"/>
          <w:sz w:val="16"/>
          <w:szCs w:val="16"/>
          <w:color w:val="auto"/>
        </w:rPr>
      </w:pPr>
    </w:p>
    <w:p>
      <w:pPr>
        <w:jc w:val="both"/>
        <w:ind w:left="740" w:right="20" w:hanging="426"/>
        <w:spacing w:after="0" w:line="257" w:lineRule="auto"/>
        <w:tabs>
          <w:tab w:leader="none" w:pos="740" w:val="left"/>
        </w:tabs>
        <w:numPr>
          <w:ilvl w:val="0"/>
          <w:numId w:val="143"/>
        </w:numPr>
        <w:rPr>
          <w:rFonts w:ascii="Arial" w:cs="Arial" w:eastAsia="Arial" w:hAnsi="Arial"/>
          <w:sz w:val="16"/>
          <w:szCs w:val="16"/>
          <w:color w:val="auto"/>
        </w:rPr>
      </w:pPr>
      <w:r>
        <w:rPr>
          <w:rFonts w:ascii="Arial" w:cs="Arial" w:eastAsia="Arial" w:hAnsi="Arial"/>
          <w:sz w:val="16"/>
          <w:szCs w:val="16"/>
          <w:color w:val="auto"/>
        </w:rPr>
        <w:t>we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218" w:lineRule="exact"/>
        <w:rPr>
          <w:sz w:val="20"/>
          <w:szCs w:val="20"/>
          <w:color w:val="auto"/>
        </w:rPr>
      </w:pPr>
    </w:p>
    <w:p>
      <w:pPr>
        <w:jc w:val="both"/>
        <w:ind w:right="20" w:firstLine="568"/>
        <w:spacing w:after="0" w:line="318" w:lineRule="auto"/>
        <w:rPr>
          <w:sz w:val="20"/>
          <w:szCs w:val="20"/>
          <w:color w:val="auto"/>
        </w:rPr>
      </w:pPr>
      <w:r>
        <w:rPr>
          <w:rFonts w:ascii="Arial" w:cs="Arial" w:eastAsia="Arial" w:hAnsi="Arial"/>
          <w:sz w:val="17"/>
          <w:szCs w:val="17"/>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We also intend to comply with Israeli corporate governance requirements under the Companies Law applicable to public companies.</w:t>
      </w:r>
    </w:p>
    <w:p>
      <w:pPr>
        <w:spacing w:after="0" w:line="16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Controlled Company</w:t>
      </w:r>
    </w:p>
    <w:p>
      <w:pPr>
        <w:spacing w:after="0" w:line="255" w:lineRule="exact"/>
        <w:rPr>
          <w:sz w:val="20"/>
          <w:szCs w:val="20"/>
          <w:color w:val="auto"/>
        </w:rPr>
      </w:pPr>
    </w:p>
    <w:p>
      <w:pPr>
        <w:jc w:val="both"/>
        <w:ind w:firstLine="568"/>
        <w:spacing w:after="0" w:line="280" w:lineRule="auto"/>
        <w:rPr>
          <w:sz w:val="20"/>
          <w:szCs w:val="20"/>
          <w:color w:val="auto"/>
        </w:rPr>
      </w:pPr>
      <w:r>
        <w:rPr>
          <w:rFonts w:ascii="Arial" w:cs="Arial" w:eastAsia="Arial" w:hAnsi="Arial"/>
          <w:sz w:val="18"/>
          <w:szCs w:val="18"/>
          <w:color w:val="auto"/>
        </w:rPr>
        <w:t>As a result of the number of shares owned by Arkin Dermatology, as of the date of this annual report, we are a “controlled company” under the Nasdaq corporate governance rules. A “controlled company” is a company of which more than 50% of the voting power is held by an individual, group or another company. Pursuant to the “controlled company” exemption, we are not required to, and may not in the future comply with the requirement that a majority of our board of directors consist of independent directors, and we are not required to, and do not intend to comply with the requirement that we have a nominating committee composed entirely of independent directors with a written charter addressing such committee’s purpose and responsibilities. A majority of our board of directors currently consists of independent directors. See “Item 6. Directors, Senior Management and Employees — C. Board Practices."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6449060</wp:posOffset>
            </wp:positionH>
            <wp:positionV relativeFrom="paragraph">
              <wp:posOffset>-196850</wp:posOffset>
            </wp:positionV>
            <wp:extent cx="52705" cy="762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52705" cy="7620"/>
                    </a:xfrm>
                    <a:prstGeom prst="rect">
                      <a:avLst/>
                    </a:prstGeom>
                    <a:noFill/>
                  </pic:spPr>
                </pic:pic>
              </a:graphicData>
            </a:graphic>
          </wp:anchor>
        </w:drawing>
      </w:r>
    </w:p>
    <w:p>
      <w:pPr>
        <w:spacing w:after="0" w:line="176" w:lineRule="exact"/>
        <w:rPr>
          <w:sz w:val="20"/>
          <w:szCs w:val="20"/>
          <w:color w:val="auto"/>
        </w:rPr>
      </w:pPr>
    </w:p>
    <w:p>
      <w:pPr>
        <w:spacing w:after="0"/>
        <w:tabs>
          <w:tab w:leader="none" w:pos="1240" w:val="left"/>
        </w:tabs>
        <w:rPr>
          <w:sz w:val="20"/>
          <w:szCs w:val="20"/>
          <w:color w:val="auto"/>
        </w:rPr>
      </w:pPr>
      <w:r>
        <w:rPr>
          <w:rFonts w:ascii="Arial" w:cs="Arial" w:eastAsia="Arial" w:hAnsi="Arial"/>
          <w:sz w:val="19"/>
          <w:szCs w:val="19"/>
          <w:b w:val="1"/>
          <w:bCs w:val="1"/>
          <w:color w:val="auto"/>
        </w:rPr>
        <w:t>ITEM 16H.</w:t>
      </w:r>
      <w:r>
        <w:rPr>
          <w:sz w:val="20"/>
          <w:szCs w:val="20"/>
          <w:color w:val="auto"/>
        </w:rPr>
        <w:tab/>
      </w:r>
      <w:r>
        <w:rPr>
          <w:rFonts w:ascii="Arial" w:cs="Arial" w:eastAsia="Arial" w:hAnsi="Arial"/>
          <w:sz w:val="19"/>
          <w:szCs w:val="19"/>
          <w:b w:val="1"/>
          <w:bCs w:val="1"/>
          <w:color w:val="auto"/>
        </w:rPr>
        <w:t>MINE SAFETY DISCLOSURE</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spacing w:after="0"/>
        <w:tabs>
          <w:tab w:leader="none" w:pos="1240" w:val="left"/>
        </w:tabs>
        <w:rPr>
          <w:sz w:val="20"/>
          <w:szCs w:val="20"/>
          <w:color w:val="auto"/>
        </w:rPr>
      </w:pPr>
      <w:r>
        <w:rPr>
          <w:rFonts w:ascii="Arial" w:cs="Arial" w:eastAsia="Arial" w:hAnsi="Arial"/>
          <w:sz w:val="19"/>
          <w:szCs w:val="19"/>
          <w:b w:val="1"/>
          <w:bCs w:val="1"/>
          <w:color w:val="auto"/>
        </w:rPr>
        <w:t>ITEM 17.</w:t>
      </w:r>
      <w:r>
        <w:rPr>
          <w:sz w:val="20"/>
          <w:szCs w:val="20"/>
          <w:color w:val="auto"/>
        </w:rPr>
        <w:tab/>
      </w:r>
      <w:r>
        <w:rPr>
          <w:rFonts w:ascii="Arial" w:cs="Arial" w:eastAsia="Arial" w:hAnsi="Arial"/>
          <w:sz w:val="19"/>
          <w:szCs w:val="19"/>
          <w:b w:val="1"/>
          <w:bCs w:val="1"/>
          <w:color w:val="auto"/>
        </w:rPr>
        <w:t>FINANCIAL STATEMENTS</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color w:val="auto"/>
        </w:rPr>
        <w:t>Not applicable.</w:t>
      </w:r>
    </w:p>
    <w:p>
      <w:pPr>
        <w:spacing w:after="0" w:line="249" w:lineRule="exact"/>
        <w:rPr>
          <w:sz w:val="20"/>
          <w:szCs w:val="20"/>
          <w:color w:val="auto"/>
        </w:rPr>
      </w:pPr>
    </w:p>
    <w:p>
      <w:pPr>
        <w:spacing w:after="0"/>
        <w:tabs>
          <w:tab w:leader="none" w:pos="1240" w:val="left"/>
        </w:tabs>
        <w:rPr>
          <w:sz w:val="20"/>
          <w:szCs w:val="20"/>
          <w:color w:val="auto"/>
        </w:rPr>
      </w:pPr>
      <w:r>
        <w:rPr>
          <w:rFonts w:ascii="Arial" w:cs="Arial" w:eastAsia="Arial" w:hAnsi="Arial"/>
          <w:sz w:val="19"/>
          <w:szCs w:val="19"/>
          <w:b w:val="1"/>
          <w:bCs w:val="1"/>
          <w:color w:val="auto"/>
        </w:rPr>
        <w:t>ITEM 18.</w:t>
      </w:r>
      <w:r>
        <w:rPr>
          <w:sz w:val="20"/>
          <w:szCs w:val="20"/>
          <w:color w:val="auto"/>
        </w:rPr>
        <w:tab/>
      </w:r>
      <w:r>
        <w:rPr>
          <w:rFonts w:ascii="Arial" w:cs="Arial" w:eastAsia="Arial" w:hAnsi="Arial"/>
          <w:sz w:val="19"/>
          <w:szCs w:val="19"/>
          <w:b w:val="1"/>
          <w:bCs w:val="1"/>
          <w:color w:val="auto"/>
        </w:rPr>
        <w:t>FINANCIAL STATEMENTS</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color w:val="auto"/>
        </w:rPr>
        <w:t>The financial statements required by this item are found at the end of this annual report, beginning on page F-1.</w:t>
      </w:r>
    </w:p>
    <w:p>
      <w:pPr>
        <w:spacing w:after="0" w:line="249" w:lineRule="exact"/>
        <w:rPr>
          <w:sz w:val="20"/>
          <w:szCs w:val="20"/>
          <w:color w:val="auto"/>
        </w:rPr>
      </w:pPr>
    </w:p>
    <w:p>
      <w:pPr>
        <w:spacing w:after="0"/>
        <w:tabs>
          <w:tab w:leader="none" w:pos="1240" w:val="left"/>
        </w:tabs>
        <w:rPr>
          <w:sz w:val="20"/>
          <w:szCs w:val="20"/>
          <w:color w:val="auto"/>
        </w:rPr>
      </w:pPr>
      <w:r>
        <w:rPr>
          <w:rFonts w:ascii="Arial" w:cs="Arial" w:eastAsia="Arial" w:hAnsi="Arial"/>
          <w:sz w:val="19"/>
          <w:szCs w:val="19"/>
          <w:b w:val="1"/>
          <w:bCs w:val="1"/>
          <w:color w:val="auto"/>
        </w:rPr>
        <w:t>ITEM 19.</w:t>
      </w:r>
      <w:r>
        <w:rPr>
          <w:sz w:val="20"/>
          <w:szCs w:val="20"/>
          <w:color w:val="auto"/>
        </w:rPr>
        <w:tab/>
      </w:r>
      <w:r>
        <w:rPr>
          <w:rFonts w:ascii="Arial" w:cs="Arial" w:eastAsia="Arial" w:hAnsi="Arial"/>
          <w:sz w:val="19"/>
          <w:szCs w:val="19"/>
          <w:b w:val="1"/>
          <w:bCs w:val="1"/>
          <w:color w:val="auto"/>
        </w:rPr>
        <w:t>EXHIBITS</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color w:val="auto"/>
        </w:rPr>
        <w:t>See Exhibit Index on page [___].</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46" w:name="page147"/>
    <w:bookmarkEnd w:id="146"/>
    <w:tbl>
      <w:tblPr>
        <w:tblLayout w:type="fixed"/>
        <w:tblInd w:w="0" w:type="dxa"/>
        <w:tblCellMar>
          <w:top w:w="0" w:type="dxa"/>
          <w:left w:w="0" w:type="dxa"/>
          <w:bottom w:w="0" w:type="dxa"/>
          <w:right w:w="0" w:type="dxa"/>
        </w:tblCellMar>
      </w:tblPr>
      <w:tr>
        <w:trPr>
          <w:trHeight w:val="247"/>
        </w:trPr>
        <w:tc>
          <w:tcPr>
            <w:tcW w:w="9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080" w:type="dxa"/>
            <w:vAlign w:val="bottom"/>
            <w:gridSpan w:val="13"/>
          </w:tcPr>
          <w:p>
            <w:pPr>
              <w:jc w:val="center"/>
              <w:ind w:right="4180"/>
              <w:spacing w:after="0"/>
              <w:rPr>
                <w:sz w:val="20"/>
                <w:szCs w:val="20"/>
                <w:color w:val="auto"/>
              </w:rPr>
            </w:pPr>
            <w:r>
              <w:rPr>
                <w:rFonts w:ascii="Arial" w:cs="Arial" w:eastAsia="Arial" w:hAnsi="Arial"/>
                <w:sz w:val="19"/>
                <w:szCs w:val="19"/>
                <w:b w:val="1"/>
                <w:bCs w:val="1"/>
                <w:color w:val="auto"/>
              </w:rPr>
              <w:t>EXHIBIT INDEX</w:t>
            </w:r>
          </w:p>
        </w:tc>
      </w:tr>
      <w:tr>
        <w:trPr>
          <w:trHeight w:val="473"/>
        </w:trPr>
        <w:tc>
          <w:tcPr>
            <w:tcW w:w="11260" w:type="dxa"/>
            <w:vAlign w:val="bottom"/>
            <w:gridSpan w:val="21"/>
          </w:tcPr>
          <w:p>
            <w:pPr>
              <w:spacing w:after="0"/>
              <w:rPr>
                <w:sz w:val="20"/>
                <w:szCs w:val="20"/>
                <w:color w:val="auto"/>
              </w:rPr>
            </w:pPr>
            <w:r>
              <w:rPr>
                <w:rFonts w:ascii="Arial" w:cs="Arial" w:eastAsia="Arial" w:hAnsi="Arial"/>
                <w:sz w:val="19"/>
                <w:szCs w:val="19"/>
                <w:color w:val="auto"/>
              </w:rPr>
              <w:t>The exhibits filed with or incorporated into this Registration Statement are listed in the index of exhibits below.</w:t>
            </w:r>
          </w:p>
        </w:tc>
      </w:tr>
      <w:tr>
        <w:trPr>
          <w:trHeight w:val="412"/>
        </w:trPr>
        <w:tc>
          <w:tcPr>
            <w:tcW w:w="920" w:type="dxa"/>
            <w:vAlign w:val="bottom"/>
          </w:tcPr>
          <w:p>
            <w:pPr>
              <w:spacing w:after="0"/>
              <w:rPr>
                <w:sz w:val="20"/>
                <w:szCs w:val="20"/>
                <w:color w:val="auto"/>
              </w:rPr>
            </w:pPr>
            <w:r>
              <w:rPr>
                <w:rFonts w:ascii="Arial" w:cs="Arial" w:eastAsia="Arial" w:hAnsi="Arial"/>
                <w:sz w:val="16"/>
                <w:szCs w:val="16"/>
                <w:b w:val="1"/>
                <w:bCs w:val="1"/>
                <w:color w:val="auto"/>
              </w:rPr>
              <w:t>Exhibit</w:t>
            </w: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9"/>
        </w:trPr>
        <w:tc>
          <w:tcPr>
            <w:tcW w:w="9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Number</w:t>
            </w:r>
          </w:p>
        </w:tc>
        <w:tc>
          <w:tcPr>
            <w:tcW w:w="200" w:type="dxa"/>
            <w:vAlign w:val="bottom"/>
          </w:tcPr>
          <w:p>
            <w:pPr>
              <w:spacing w:after="0"/>
              <w:rPr>
                <w:sz w:val="18"/>
                <w:szCs w:val="18"/>
                <w:color w:val="auto"/>
              </w:rPr>
            </w:pPr>
          </w:p>
        </w:tc>
        <w:tc>
          <w:tcPr>
            <w:tcW w:w="10140" w:type="dxa"/>
            <w:vAlign w:val="bottom"/>
            <w:tcBorders>
              <w:bottom w:val="single" w:sz="8" w:color="auto"/>
            </w:tcBorders>
            <w:gridSpan w:val="19"/>
          </w:tcPr>
          <w:p>
            <w:pPr>
              <w:ind w:left="20"/>
              <w:spacing w:after="0"/>
              <w:rPr>
                <w:sz w:val="20"/>
                <w:szCs w:val="20"/>
                <w:color w:val="auto"/>
              </w:rPr>
            </w:pPr>
            <w:r>
              <w:rPr>
                <w:rFonts w:ascii="Arial" w:cs="Arial" w:eastAsia="Arial" w:hAnsi="Arial"/>
                <w:sz w:val="16"/>
                <w:szCs w:val="16"/>
                <w:b w:val="1"/>
                <w:bCs w:val="1"/>
                <w:color w:val="auto"/>
              </w:rPr>
              <w:t>Exhibit Description</w:t>
            </w:r>
          </w:p>
        </w:tc>
      </w:tr>
      <w:tr>
        <w:trPr>
          <w:trHeight w:val="343"/>
        </w:trPr>
        <w:tc>
          <w:tcPr>
            <w:tcW w:w="920" w:type="dxa"/>
            <w:vAlign w:val="bottom"/>
          </w:tcPr>
          <w:p>
            <w:pPr>
              <w:spacing w:after="0"/>
              <w:rPr>
                <w:rFonts w:ascii="Arial" w:cs="Arial" w:eastAsia="Arial" w:hAnsi="Arial"/>
                <w:sz w:val="16"/>
                <w:szCs w:val="16"/>
                <w:u w:val="single" w:color="auto"/>
                <w:color w:val="0000EE"/>
              </w:rPr>
            </w:pPr>
            <w:hyperlink r:id="rId175">
              <w:r>
                <w:rPr>
                  <w:rFonts w:ascii="Arial" w:cs="Arial" w:eastAsia="Arial" w:hAnsi="Arial"/>
                  <w:sz w:val="16"/>
                  <w:szCs w:val="16"/>
                  <w:u w:val="single" w:color="auto"/>
                  <w:color w:val="0000EE"/>
                </w:rPr>
                <w:t>1.1</w:t>
              </w:r>
            </w:hyperlink>
          </w:p>
        </w:tc>
        <w:tc>
          <w:tcPr>
            <w:tcW w:w="200" w:type="dxa"/>
            <w:vAlign w:val="bottom"/>
          </w:tcPr>
          <w:p>
            <w:pPr>
              <w:spacing w:after="0"/>
              <w:rPr>
                <w:sz w:val="24"/>
                <w:szCs w:val="24"/>
                <w:color w:val="auto"/>
              </w:rPr>
            </w:pPr>
          </w:p>
        </w:tc>
        <w:tc>
          <w:tcPr>
            <w:tcW w:w="10140" w:type="dxa"/>
            <w:vAlign w:val="bottom"/>
            <w:gridSpan w:val="19"/>
          </w:tcPr>
          <w:p>
            <w:pPr>
              <w:ind w:left="20"/>
              <w:spacing w:after="0"/>
              <w:rPr>
                <w:rFonts w:ascii="Arial" w:cs="Arial" w:eastAsia="Arial" w:hAnsi="Arial"/>
                <w:sz w:val="16"/>
                <w:szCs w:val="16"/>
                <w:color w:val="0000EE"/>
                <w:w w:val="93"/>
              </w:rPr>
            </w:pPr>
            <w:hyperlink r:id="rId175">
              <w:r>
                <w:rPr>
                  <w:rFonts w:ascii="Arial" w:cs="Arial" w:eastAsia="Arial" w:hAnsi="Arial"/>
                  <w:sz w:val="16"/>
                  <w:szCs w:val="16"/>
                  <w:color w:val="0000EE"/>
                  <w:w w:val="93"/>
                </w:rPr>
                <w:t>Amended and Restated Memorandum of Association (incorporated by reference to Exhibit 3.1 of the Registration Statement on Form F-1/A filed with the</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720" w:type="dxa"/>
            <w:vAlign w:val="bottom"/>
            <w:tcBorders>
              <w:top w:val="single" w:sz="8" w:color="0000EE"/>
            </w:tcBorders>
            <w:gridSpan w:val="12"/>
          </w:tcPr>
          <w:p>
            <w:pPr>
              <w:ind w:left="20"/>
              <w:spacing w:after="0" w:line="169" w:lineRule="exact"/>
              <w:rPr>
                <w:rFonts w:ascii="Arial" w:cs="Arial" w:eastAsia="Arial" w:hAnsi="Arial"/>
                <w:sz w:val="16"/>
                <w:szCs w:val="16"/>
                <w:color w:val="0000EE"/>
              </w:rPr>
            </w:pPr>
            <w:hyperlink r:id="rId175">
              <w:r>
                <w:rPr>
                  <w:rFonts w:ascii="Arial" w:cs="Arial" w:eastAsia="Arial" w:hAnsi="Arial"/>
                  <w:sz w:val="16"/>
                  <w:szCs w:val="16"/>
                  <w:color w:val="0000EE"/>
                </w:rPr>
                <w:t>Securities and Exchange Commission on January 23, 2018).</w:t>
              </w:r>
            </w:hyperlink>
          </w:p>
        </w:tc>
        <w:tc>
          <w:tcPr>
            <w:tcW w:w="420" w:type="dxa"/>
            <w:vAlign w:val="bottom"/>
            <w:gridSpan w:val="7"/>
          </w:tcPr>
          <w:p>
            <w:pPr>
              <w:spacing w:after="0"/>
              <w:rPr>
                <w:sz w:val="14"/>
                <w:szCs w:val="14"/>
                <w:color w:val="auto"/>
              </w:rPr>
            </w:pPr>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76">
              <w:r>
                <w:rPr>
                  <w:rFonts w:ascii="Arial" w:cs="Arial" w:eastAsia="Arial" w:hAnsi="Arial"/>
                  <w:sz w:val="16"/>
                  <w:szCs w:val="16"/>
                  <w:u w:val="single" w:color="auto"/>
                  <w:color w:val="0000EE"/>
                </w:rPr>
                <w:t>1.2</w:t>
              </w:r>
            </w:hyperlink>
          </w:p>
        </w:tc>
        <w:tc>
          <w:tcPr>
            <w:tcW w:w="200" w:type="dxa"/>
            <w:vAlign w:val="bottom"/>
          </w:tcPr>
          <w:p>
            <w:pPr>
              <w:spacing w:after="0"/>
              <w:rPr>
                <w:sz w:val="24"/>
                <w:szCs w:val="24"/>
                <w:color w:val="auto"/>
              </w:rPr>
            </w:pPr>
          </w:p>
        </w:tc>
        <w:tc>
          <w:tcPr>
            <w:tcW w:w="10140" w:type="dxa"/>
            <w:vAlign w:val="bottom"/>
            <w:tcBorders>
              <w:bottom w:val="single" w:sz="8" w:color="0000EE"/>
            </w:tcBorders>
            <w:gridSpan w:val="19"/>
          </w:tcPr>
          <w:p>
            <w:pPr>
              <w:ind w:left="20"/>
              <w:spacing w:after="0"/>
              <w:rPr>
                <w:rFonts w:ascii="Arial" w:cs="Arial" w:eastAsia="Arial" w:hAnsi="Arial"/>
                <w:sz w:val="16"/>
                <w:szCs w:val="16"/>
                <w:color w:val="0000EE"/>
                <w:w w:val="91"/>
              </w:rPr>
            </w:pPr>
            <w:hyperlink r:id="rId176">
              <w:r>
                <w:rPr>
                  <w:rFonts w:ascii="Arial" w:cs="Arial" w:eastAsia="Arial" w:hAnsi="Arial"/>
                  <w:sz w:val="16"/>
                  <w:szCs w:val="16"/>
                  <w:color w:val="0000EE"/>
                  <w:w w:val="91"/>
                </w:rPr>
                <w:t>Amended and Restated Articles of Association (incorporated by reference to Exhibit 99.1 of Form 6-K/A filed with the Securities and Exchange Commission</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40" w:type="dxa"/>
            <w:vAlign w:val="bottom"/>
            <w:gridSpan w:val="19"/>
          </w:tcPr>
          <w:p>
            <w:pPr>
              <w:ind w:left="20"/>
              <w:spacing w:after="0" w:line="169" w:lineRule="exact"/>
              <w:rPr>
                <w:rFonts w:ascii="Arial" w:cs="Arial" w:eastAsia="Arial" w:hAnsi="Arial"/>
                <w:sz w:val="16"/>
                <w:szCs w:val="16"/>
                <w:color w:val="0000EE"/>
              </w:rPr>
            </w:pPr>
            <w:hyperlink r:id="rId176">
              <w:r>
                <w:rPr>
                  <w:rFonts w:ascii="Arial" w:cs="Arial" w:eastAsia="Arial" w:hAnsi="Arial"/>
                  <w:sz w:val="16"/>
                  <w:szCs w:val="16"/>
                  <w:color w:val="0000EE"/>
                </w:rPr>
                <w:t>on August 20, 2018).</w:t>
              </w:r>
            </w:hyperlink>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6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77">
              <w:r>
                <w:rPr>
                  <w:rFonts w:ascii="Arial" w:cs="Arial" w:eastAsia="Arial" w:hAnsi="Arial"/>
                  <w:sz w:val="16"/>
                  <w:szCs w:val="16"/>
                  <w:u w:val="single" w:color="auto"/>
                  <w:color w:val="0000EE"/>
                </w:rPr>
                <w:t>2.1</w:t>
              </w:r>
            </w:hyperlink>
          </w:p>
        </w:tc>
        <w:tc>
          <w:tcPr>
            <w:tcW w:w="200" w:type="dxa"/>
            <w:vAlign w:val="bottom"/>
          </w:tcPr>
          <w:p>
            <w:pPr>
              <w:spacing w:after="0"/>
              <w:rPr>
                <w:sz w:val="24"/>
                <w:szCs w:val="24"/>
                <w:color w:val="auto"/>
              </w:rPr>
            </w:pPr>
          </w:p>
        </w:tc>
        <w:tc>
          <w:tcPr>
            <w:tcW w:w="10140" w:type="dxa"/>
            <w:vAlign w:val="bottom"/>
            <w:tcBorders>
              <w:bottom w:val="single" w:sz="8" w:color="0000EE"/>
            </w:tcBorders>
            <w:gridSpan w:val="19"/>
          </w:tcPr>
          <w:p>
            <w:pPr>
              <w:ind w:left="20"/>
              <w:spacing w:after="0"/>
              <w:rPr>
                <w:rFonts w:ascii="Arial" w:cs="Arial" w:eastAsia="Arial" w:hAnsi="Arial"/>
                <w:sz w:val="16"/>
                <w:szCs w:val="16"/>
                <w:color w:val="0000EE"/>
                <w:w w:val="95"/>
              </w:rPr>
            </w:pPr>
            <w:hyperlink r:id="rId177">
              <w:r>
                <w:rPr>
                  <w:rFonts w:ascii="Arial" w:cs="Arial" w:eastAsia="Arial" w:hAnsi="Arial"/>
                  <w:sz w:val="16"/>
                  <w:szCs w:val="16"/>
                  <w:color w:val="0000EE"/>
                  <w:w w:val="95"/>
                </w:rPr>
                <w:t>Form of Specimen Share Certificate (incorporated by reference to Exhibit 4.1 of the Registration Statement on Form F-1/A filed with the Securities and</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40" w:type="dxa"/>
            <w:vAlign w:val="bottom"/>
            <w:gridSpan w:val="19"/>
          </w:tcPr>
          <w:p>
            <w:pPr>
              <w:ind w:left="20"/>
              <w:spacing w:after="0" w:line="169" w:lineRule="exact"/>
              <w:rPr>
                <w:rFonts w:ascii="Arial" w:cs="Arial" w:eastAsia="Arial" w:hAnsi="Arial"/>
                <w:sz w:val="16"/>
                <w:szCs w:val="16"/>
                <w:color w:val="0000EE"/>
              </w:rPr>
            </w:pPr>
            <w:hyperlink r:id="rId177">
              <w:r>
                <w:rPr>
                  <w:rFonts w:ascii="Arial" w:cs="Arial" w:eastAsia="Arial" w:hAnsi="Arial"/>
                  <w:sz w:val="16"/>
                  <w:szCs w:val="16"/>
                  <w:color w:val="0000EE"/>
                </w:rPr>
                <w:t>Exchange Commission on September 20, 2017).</w:t>
              </w:r>
            </w:hyperlink>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60" w:type="dxa"/>
            <w:vAlign w:val="bottom"/>
            <w:tcBorders>
              <w:left w:val="single" w:sz="8" w:color="0000EE"/>
            </w:tcBorders>
            <w:shd w:val="clear" w:color="auto" w:fill="0000EE"/>
          </w:tcPr>
          <w:p>
            <w:pPr>
              <w:spacing w:after="0" w:line="20" w:lineRule="exact"/>
              <w:rPr>
                <w:sz w:val="1"/>
                <w:szCs w:val="1"/>
                <w:color w:val="auto"/>
              </w:rPr>
            </w:pPr>
          </w:p>
        </w:tc>
        <w:tc>
          <w:tcPr>
            <w:tcW w:w="960" w:type="dxa"/>
            <w:vAlign w:val="bottom"/>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326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78">
              <w:r>
                <w:rPr>
                  <w:rFonts w:ascii="Arial" w:cs="Arial" w:eastAsia="Arial" w:hAnsi="Arial"/>
                  <w:sz w:val="16"/>
                  <w:szCs w:val="16"/>
                  <w:u w:val="single" w:color="auto"/>
                  <w:color w:val="0000EE"/>
                </w:rPr>
                <w:t>2.2</w:t>
              </w:r>
            </w:hyperlink>
          </w:p>
        </w:tc>
        <w:tc>
          <w:tcPr>
            <w:tcW w:w="200" w:type="dxa"/>
            <w:vAlign w:val="bottom"/>
          </w:tcPr>
          <w:p>
            <w:pPr>
              <w:spacing w:after="0"/>
              <w:rPr>
                <w:sz w:val="24"/>
                <w:szCs w:val="24"/>
                <w:color w:val="auto"/>
              </w:rPr>
            </w:pPr>
          </w:p>
        </w:tc>
        <w:tc>
          <w:tcPr>
            <w:tcW w:w="10140" w:type="dxa"/>
            <w:vAlign w:val="bottom"/>
            <w:gridSpan w:val="19"/>
          </w:tcPr>
          <w:p>
            <w:pPr>
              <w:ind w:left="20"/>
              <w:spacing w:after="0"/>
              <w:rPr>
                <w:rFonts w:ascii="Arial" w:cs="Arial" w:eastAsia="Arial" w:hAnsi="Arial"/>
                <w:sz w:val="16"/>
                <w:szCs w:val="16"/>
                <w:color w:val="0000EE"/>
                <w:w w:val="91"/>
              </w:rPr>
            </w:pPr>
            <w:hyperlink r:id="rId178">
              <w:r>
                <w:rPr>
                  <w:rFonts w:ascii="Arial" w:cs="Arial" w:eastAsia="Arial" w:hAnsi="Arial"/>
                  <w:sz w:val="16"/>
                  <w:szCs w:val="16"/>
                  <w:color w:val="0000EE"/>
                  <w:w w:val="91"/>
                </w:rPr>
                <w:t>Description of Share Capital (incorporated by reference to Exhibit 2.2 of the Annual Report on Form 20-F filed with the Securities and Exchange Commission</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20" w:type="dxa"/>
            <w:vAlign w:val="bottom"/>
            <w:tcBorders>
              <w:top w:val="single" w:sz="8" w:color="0000EE"/>
            </w:tcBorders>
            <w:gridSpan w:val="18"/>
          </w:tcPr>
          <w:p>
            <w:pPr>
              <w:ind w:left="20"/>
              <w:spacing w:after="0" w:line="169" w:lineRule="exact"/>
              <w:rPr>
                <w:rFonts w:ascii="Arial" w:cs="Arial" w:eastAsia="Arial" w:hAnsi="Arial"/>
                <w:sz w:val="16"/>
                <w:szCs w:val="16"/>
                <w:color w:val="0000EE"/>
              </w:rPr>
            </w:pPr>
            <w:hyperlink r:id="rId178">
              <w:r>
                <w:rPr>
                  <w:rFonts w:ascii="Arial" w:cs="Arial" w:eastAsia="Arial" w:hAnsi="Arial"/>
                  <w:sz w:val="16"/>
                  <w:szCs w:val="16"/>
                  <w:color w:val="0000EE"/>
                </w:rPr>
                <w:t>on March 24, 2020).</w:t>
              </w:r>
            </w:hyperlink>
          </w:p>
        </w:tc>
        <w:tc>
          <w:tcPr>
            <w:tcW w:w="20" w:type="dxa"/>
            <w:vAlign w:val="bottom"/>
          </w:tcPr>
          <w:p>
            <w:pPr>
              <w:spacing w:after="0"/>
              <w:rPr>
                <w:sz w:val="14"/>
                <w:szCs w:val="14"/>
                <w:color w:val="auto"/>
              </w:rPr>
            </w:pPr>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0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79">
              <w:r>
                <w:rPr>
                  <w:rFonts w:ascii="Arial" w:cs="Arial" w:eastAsia="Arial" w:hAnsi="Arial"/>
                  <w:sz w:val="16"/>
                  <w:szCs w:val="16"/>
                  <w:u w:val="single" w:color="auto"/>
                  <w:color w:val="0000EE"/>
                </w:rPr>
                <w:t>4.1†</w:t>
              </w:r>
            </w:hyperlink>
          </w:p>
        </w:tc>
        <w:tc>
          <w:tcPr>
            <w:tcW w:w="200" w:type="dxa"/>
            <w:vAlign w:val="bottom"/>
          </w:tcPr>
          <w:p>
            <w:pPr>
              <w:spacing w:after="0"/>
              <w:rPr>
                <w:sz w:val="24"/>
                <w:szCs w:val="24"/>
                <w:color w:val="auto"/>
              </w:rPr>
            </w:pPr>
          </w:p>
        </w:tc>
        <w:tc>
          <w:tcPr>
            <w:tcW w:w="9900" w:type="dxa"/>
            <w:vAlign w:val="bottom"/>
            <w:tcBorders>
              <w:bottom w:val="single" w:sz="8" w:color="0000EE"/>
            </w:tcBorders>
            <w:gridSpan w:val="13"/>
          </w:tcPr>
          <w:p>
            <w:pPr>
              <w:ind w:left="20"/>
              <w:spacing w:after="0"/>
              <w:rPr>
                <w:rFonts w:ascii="Arial" w:cs="Arial" w:eastAsia="Arial" w:hAnsi="Arial"/>
                <w:sz w:val="16"/>
                <w:szCs w:val="16"/>
                <w:color w:val="0000EE"/>
                <w:w w:val="89"/>
              </w:rPr>
            </w:pPr>
            <w:hyperlink r:id="rId179">
              <w:r>
                <w:rPr>
                  <w:rFonts w:ascii="Arial" w:cs="Arial" w:eastAsia="Arial" w:hAnsi="Arial"/>
                  <w:sz w:val="16"/>
                  <w:szCs w:val="16"/>
                  <w:color w:val="0000EE"/>
                  <w:w w:val="89"/>
                </w:rPr>
                <w:t>Development, Manufacturing and Commercialization Agreement between Perrigo UK Finco Limited Partnership and Sol-Gel Technologies Ltd., dated as of</w:t>
              </w:r>
            </w:hyperlink>
          </w:p>
        </w:tc>
        <w:tc>
          <w:tcPr>
            <w:tcW w:w="240" w:type="dxa"/>
            <w:vAlign w:val="bottom"/>
            <w:gridSpan w:val="6"/>
          </w:tcPr>
          <w:p>
            <w:pPr>
              <w:spacing w:after="0"/>
              <w:rPr>
                <w:sz w:val="24"/>
                <w:szCs w:val="24"/>
                <w:color w:val="auto"/>
              </w:rPr>
            </w:pPr>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40" w:type="dxa"/>
            <w:vAlign w:val="bottom"/>
            <w:gridSpan w:val="19"/>
          </w:tcPr>
          <w:p>
            <w:pPr>
              <w:ind w:left="20"/>
              <w:spacing w:after="0" w:line="169" w:lineRule="exact"/>
              <w:rPr>
                <w:rFonts w:ascii="Arial" w:cs="Arial" w:eastAsia="Arial" w:hAnsi="Arial"/>
                <w:sz w:val="16"/>
                <w:szCs w:val="16"/>
                <w:color w:val="0000EE"/>
                <w:w w:val="91"/>
              </w:rPr>
            </w:pPr>
            <w:hyperlink r:id="rId179">
              <w:r>
                <w:rPr>
                  <w:rFonts w:ascii="Arial" w:cs="Arial" w:eastAsia="Arial" w:hAnsi="Arial"/>
                  <w:sz w:val="16"/>
                  <w:szCs w:val="16"/>
                  <w:color w:val="0000EE"/>
                  <w:w w:val="91"/>
                </w:rPr>
                <w:t>April 27, 2015 (incorporated by reference to Exhibit 10.3 of the Registration Statement on Form F-1/A filed with the Securities and Exchange Commission on</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00" w:type="dxa"/>
            <w:vAlign w:val="bottom"/>
            <w:tcBorders>
              <w:top w:val="single" w:sz="8" w:color="0000EE"/>
            </w:tcBorders>
            <w:gridSpan w:val="16"/>
          </w:tcPr>
          <w:p>
            <w:pPr>
              <w:ind w:left="20"/>
              <w:spacing w:after="0" w:line="169" w:lineRule="exact"/>
              <w:rPr>
                <w:rFonts w:ascii="Arial" w:cs="Arial" w:eastAsia="Arial" w:hAnsi="Arial"/>
                <w:sz w:val="16"/>
                <w:szCs w:val="16"/>
                <w:color w:val="0000EE"/>
              </w:rPr>
            </w:pPr>
            <w:hyperlink r:id="rId179">
              <w:r>
                <w:rPr>
                  <w:rFonts w:ascii="Arial" w:cs="Arial" w:eastAsia="Arial" w:hAnsi="Arial"/>
                  <w:sz w:val="16"/>
                  <w:szCs w:val="16"/>
                  <w:color w:val="0000EE"/>
                </w:rPr>
                <w:t>September 20, 2017).</w:t>
              </w:r>
            </w:hyperlink>
          </w:p>
        </w:tc>
        <w:tc>
          <w:tcPr>
            <w:tcW w:w="140" w:type="dxa"/>
            <w:vAlign w:val="bottom"/>
            <w:gridSpan w:val="3"/>
          </w:tcPr>
          <w:p>
            <w:pPr>
              <w:spacing w:after="0"/>
              <w:rPr>
                <w:sz w:val="14"/>
                <w:szCs w:val="14"/>
                <w:color w:val="auto"/>
              </w:rPr>
            </w:pPr>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300" w:type="dxa"/>
            <w:vAlign w:val="bottom"/>
            <w:gridSpan w:val="2"/>
            <w:shd w:val="clear" w:color="auto" w:fill="0000EE"/>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0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80">
              <w:r>
                <w:rPr>
                  <w:rFonts w:ascii="Arial" w:cs="Arial" w:eastAsia="Arial" w:hAnsi="Arial"/>
                  <w:sz w:val="16"/>
                  <w:szCs w:val="16"/>
                  <w:u w:val="single" w:color="auto"/>
                  <w:color w:val="0000EE"/>
                </w:rPr>
                <w:t>4.2†</w:t>
              </w:r>
            </w:hyperlink>
          </w:p>
        </w:tc>
        <w:tc>
          <w:tcPr>
            <w:tcW w:w="200" w:type="dxa"/>
            <w:vAlign w:val="bottom"/>
          </w:tcPr>
          <w:p>
            <w:pPr>
              <w:spacing w:after="0"/>
              <w:rPr>
                <w:sz w:val="24"/>
                <w:szCs w:val="24"/>
                <w:color w:val="auto"/>
              </w:rPr>
            </w:pPr>
          </w:p>
        </w:tc>
        <w:tc>
          <w:tcPr>
            <w:tcW w:w="9980" w:type="dxa"/>
            <w:vAlign w:val="bottom"/>
            <w:tcBorders>
              <w:bottom w:val="single" w:sz="8" w:color="0000EE"/>
            </w:tcBorders>
            <w:gridSpan w:val="15"/>
          </w:tcPr>
          <w:p>
            <w:pPr>
              <w:ind w:left="20"/>
              <w:spacing w:after="0"/>
              <w:rPr>
                <w:rFonts w:ascii="Arial" w:cs="Arial" w:eastAsia="Arial" w:hAnsi="Arial"/>
                <w:sz w:val="16"/>
                <w:szCs w:val="16"/>
                <w:color w:val="0000EE"/>
                <w:w w:val="89"/>
              </w:rPr>
            </w:pPr>
            <w:hyperlink r:id="rId180">
              <w:r>
                <w:rPr>
                  <w:rFonts w:ascii="Arial" w:cs="Arial" w:eastAsia="Arial" w:hAnsi="Arial"/>
                  <w:sz w:val="16"/>
                  <w:szCs w:val="16"/>
                  <w:color w:val="0000EE"/>
                  <w:w w:val="89"/>
                </w:rPr>
                <w:t>Amendment to the Development, Manufacturing and Commercialization Agreement between the Registrant and Perrigo UK Finco Limited Partnership, dated</w:t>
              </w:r>
            </w:hyperlink>
          </w:p>
        </w:tc>
        <w:tc>
          <w:tcPr>
            <w:tcW w:w="160" w:type="dxa"/>
            <w:vAlign w:val="bottom"/>
            <w:gridSpan w:val="4"/>
          </w:tcPr>
          <w:p>
            <w:pPr>
              <w:spacing w:after="0"/>
              <w:rPr>
                <w:sz w:val="24"/>
                <w:szCs w:val="24"/>
                <w:color w:val="auto"/>
              </w:rPr>
            </w:pPr>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40" w:type="dxa"/>
            <w:vAlign w:val="bottom"/>
            <w:gridSpan w:val="19"/>
          </w:tcPr>
          <w:p>
            <w:pPr>
              <w:ind w:left="20"/>
              <w:spacing w:after="0" w:line="169" w:lineRule="exact"/>
              <w:rPr>
                <w:rFonts w:ascii="Arial" w:cs="Arial" w:eastAsia="Arial" w:hAnsi="Arial"/>
                <w:sz w:val="16"/>
                <w:szCs w:val="16"/>
                <w:color w:val="0000EE"/>
                <w:w w:val="95"/>
              </w:rPr>
            </w:pPr>
            <w:hyperlink r:id="rId180">
              <w:r>
                <w:rPr>
                  <w:rFonts w:ascii="Arial" w:cs="Arial" w:eastAsia="Arial" w:hAnsi="Arial"/>
                  <w:sz w:val="16"/>
                  <w:szCs w:val="16"/>
                  <w:color w:val="0000EE"/>
                  <w:w w:val="95"/>
                </w:rPr>
                <w:t>as of October 26, 2015 (incorporated by reference to Exhibit 10.4 of the Registration Statement on Form F-1/A filed with the Securities and Exchange</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80" w:type="dxa"/>
            <w:vAlign w:val="bottom"/>
            <w:tcBorders>
              <w:top w:val="single" w:sz="8" w:color="0000EE"/>
            </w:tcBorders>
            <w:gridSpan w:val="11"/>
          </w:tcPr>
          <w:p>
            <w:pPr>
              <w:ind w:left="20"/>
              <w:spacing w:after="0" w:line="169" w:lineRule="exact"/>
              <w:rPr>
                <w:rFonts w:ascii="Arial" w:cs="Arial" w:eastAsia="Arial" w:hAnsi="Arial"/>
                <w:sz w:val="16"/>
                <w:szCs w:val="16"/>
                <w:color w:val="0000EE"/>
              </w:rPr>
            </w:pPr>
            <w:hyperlink r:id="rId180">
              <w:r>
                <w:rPr>
                  <w:rFonts w:ascii="Arial" w:cs="Arial" w:eastAsia="Arial" w:hAnsi="Arial"/>
                  <w:sz w:val="16"/>
                  <w:szCs w:val="16"/>
                  <w:color w:val="0000EE"/>
                </w:rPr>
                <w:t>Commission on September 6, 2017).</w:t>
              </w:r>
            </w:hyperlink>
          </w:p>
        </w:tc>
        <w:tc>
          <w:tcPr>
            <w:tcW w:w="660" w:type="dxa"/>
            <w:vAlign w:val="bottom"/>
            <w:gridSpan w:val="8"/>
          </w:tcPr>
          <w:p>
            <w:pPr>
              <w:spacing w:after="0"/>
              <w:rPr>
                <w:sz w:val="14"/>
                <w:szCs w:val="14"/>
                <w:color w:val="auto"/>
              </w:rPr>
            </w:pPr>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260" w:type="dxa"/>
            <w:vAlign w:val="bottom"/>
            <w:gridSpan w:val="3"/>
            <w:shd w:val="clear" w:color="auto" w:fill="0000EE"/>
          </w:tcPr>
          <w:p>
            <w:pPr>
              <w:spacing w:after="0" w:line="20" w:lineRule="exact"/>
              <w:rPr>
                <w:sz w:val="1"/>
                <w:szCs w:val="1"/>
                <w:color w:val="auto"/>
              </w:rPr>
            </w:pPr>
          </w:p>
        </w:tc>
        <w:tc>
          <w:tcPr>
            <w:tcW w:w="400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81">
              <w:r>
                <w:rPr>
                  <w:rFonts w:ascii="Arial" w:cs="Arial" w:eastAsia="Arial" w:hAnsi="Arial"/>
                  <w:sz w:val="16"/>
                  <w:szCs w:val="16"/>
                  <w:u w:val="single" w:color="auto"/>
                  <w:color w:val="0000EE"/>
                </w:rPr>
                <w:t>4.3</w:t>
              </w:r>
            </w:hyperlink>
          </w:p>
        </w:tc>
        <w:tc>
          <w:tcPr>
            <w:tcW w:w="200" w:type="dxa"/>
            <w:vAlign w:val="bottom"/>
          </w:tcPr>
          <w:p>
            <w:pPr>
              <w:spacing w:after="0"/>
              <w:rPr>
                <w:sz w:val="24"/>
                <w:szCs w:val="24"/>
                <w:color w:val="auto"/>
              </w:rPr>
            </w:pPr>
          </w:p>
        </w:tc>
        <w:tc>
          <w:tcPr>
            <w:tcW w:w="10140" w:type="dxa"/>
            <w:vAlign w:val="bottom"/>
            <w:tcBorders>
              <w:bottom w:val="single" w:sz="8" w:color="0000EE"/>
            </w:tcBorders>
            <w:gridSpan w:val="19"/>
          </w:tcPr>
          <w:p>
            <w:pPr>
              <w:ind w:left="20"/>
              <w:spacing w:after="0"/>
              <w:rPr>
                <w:rFonts w:ascii="Arial" w:cs="Arial" w:eastAsia="Arial" w:hAnsi="Arial"/>
                <w:sz w:val="16"/>
                <w:szCs w:val="16"/>
                <w:color w:val="0000EE"/>
                <w:w w:val="94"/>
              </w:rPr>
            </w:pPr>
            <w:hyperlink r:id="rId181">
              <w:r>
                <w:rPr>
                  <w:rFonts w:ascii="Arial" w:cs="Arial" w:eastAsia="Arial" w:hAnsi="Arial"/>
                  <w:sz w:val="16"/>
                  <w:szCs w:val="16"/>
                  <w:color w:val="0000EE"/>
                  <w:w w:val="94"/>
                </w:rPr>
                <w:t>Form of Indemnification Agreement (incorporated by reference to Exhibit 10.5 of the Registration Statement on Form F-1/A filed with the Securities and</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40" w:type="dxa"/>
            <w:vAlign w:val="bottom"/>
            <w:gridSpan w:val="19"/>
          </w:tcPr>
          <w:p>
            <w:pPr>
              <w:ind w:left="20"/>
              <w:spacing w:after="0" w:line="169" w:lineRule="exact"/>
              <w:rPr>
                <w:rFonts w:ascii="Arial" w:cs="Arial" w:eastAsia="Arial" w:hAnsi="Arial"/>
                <w:sz w:val="16"/>
                <w:szCs w:val="16"/>
                <w:color w:val="0000EE"/>
              </w:rPr>
            </w:pPr>
            <w:hyperlink r:id="rId181">
              <w:r>
                <w:rPr>
                  <w:rFonts w:ascii="Arial" w:cs="Arial" w:eastAsia="Arial" w:hAnsi="Arial"/>
                  <w:sz w:val="16"/>
                  <w:szCs w:val="16"/>
                  <w:color w:val="0000EE"/>
                </w:rPr>
                <w:t>Exchange Commission on September 20, 2017).</w:t>
              </w:r>
            </w:hyperlink>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000" w:type="dxa"/>
            <w:vAlign w:val="bottom"/>
            <w:gridSpan w:val="4"/>
            <w:shd w:val="clear" w:color="auto" w:fill="0000EE"/>
          </w:tcPr>
          <w:p>
            <w:pPr>
              <w:spacing w:after="0" w:line="20" w:lineRule="exact"/>
              <w:rPr>
                <w:sz w:val="1"/>
                <w:szCs w:val="1"/>
                <w:color w:val="auto"/>
              </w:rPr>
            </w:pPr>
          </w:p>
        </w:tc>
        <w:tc>
          <w:tcPr>
            <w:tcW w:w="326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82">
              <w:r>
                <w:rPr>
                  <w:rFonts w:ascii="Arial" w:cs="Arial" w:eastAsia="Arial" w:hAnsi="Arial"/>
                  <w:sz w:val="16"/>
                  <w:szCs w:val="16"/>
                  <w:u w:val="single" w:color="auto"/>
                  <w:color w:val="0000EE"/>
                </w:rPr>
                <w:t>4.4</w:t>
              </w:r>
            </w:hyperlink>
          </w:p>
        </w:tc>
        <w:tc>
          <w:tcPr>
            <w:tcW w:w="200" w:type="dxa"/>
            <w:vAlign w:val="bottom"/>
          </w:tcPr>
          <w:p>
            <w:pPr>
              <w:spacing w:after="0"/>
              <w:rPr>
                <w:sz w:val="24"/>
                <w:szCs w:val="24"/>
                <w:color w:val="auto"/>
              </w:rPr>
            </w:pPr>
          </w:p>
        </w:tc>
        <w:tc>
          <w:tcPr>
            <w:tcW w:w="10140" w:type="dxa"/>
            <w:vAlign w:val="bottom"/>
            <w:tcBorders>
              <w:bottom w:val="single" w:sz="8" w:color="0000EE"/>
            </w:tcBorders>
            <w:gridSpan w:val="19"/>
          </w:tcPr>
          <w:p>
            <w:pPr>
              <w:ind w:left="20"/>
              <w:spacing w:after="0"/>
              <w:rPr>
                <w:rFonts w:ascii="Arial" w:cs="Arial" w:eastAsia="Arial" w:hAnsi="Arial"/>
                <w:sz w:val="16"/>
                <w:szCs w:val="16"/>
                <w:color w:val="0000EE"/>
                <w:w w:val="90"/>
              </w:rPr>
            </w:pPr>
            <w:hyperlink r:id="rId182">
              <w:r>
                <w:rPr>
                  <w:rFonts w:ascii="Arial" w:cs="Arial" w:eastAsia="Arial" w:hAnsi="Arial"/>
                  <w:sz w:val="16"/>
                  <w:szCs w:val="16"/>
                  <w:color w:val="0000EE"/>
                  <w:w w:val="90"/>
                </w:rPr>
                <w:t>2014 Share Incentive Plan (incorporated by reference to Exhibit 4.4 of the Annual Report on Form 20-F filed with the Securities and Exchange Commission on</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140" w:type="dxa"/>
            <w:vAlign w:val="bottom"/>
            <w:gridSpan w:val="19"/>
          </w:tcPr>
          <w:p>
            <w:pPr>
              <w:ind w:left="20"/>
              <w:spacing w:after="0" w:line="169" w:lineRule="exact"/>
              <w:rPr>
                <w:rFonts w:ascii="Arial" w:cs="Arial" w:eastAsia="Arial" w:hAnsi="Arial"/>
                <w:sz w:val="16"/>
                <w:szCs w:val="16"/>
                <w:color w:val="0000EE"/>
              </w:rPr>
            </w:pPr>
            <w:hyperlink r:id="rId182">
              <w:r>
                <w:rPr>
                  <w:rFonts w:ascii="Arial" w:cs="Arial" w:eastAsia="Arial" w:hAnsi="Arial"/>
                  <w:sz w:val="16"/>
                  <w:szCs w:val="16"/>
                  <w:color w:val="0000EE"/>
                </w:rPr>
                <w:t>March 24, 2020)</w:t>
              </w:r>
              <w:r>
                <w:rPr>
                  <w:rFonts w:ascii="Arial" w:cs="Arial" w:eastAsia="Arial" w:hAnsi="Arial"/>
                  <w:sz w:val="16"/>
                  <w:szCs w:val="16"/>
                  <w:u w:val="single" w:color="auto"/>
                  <w:color w:val="0000EE"/>
                </w:rPr>
                <w:t>.</w:t>
              </w:r>
            </w:hyperlink>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5260" w:type="dxa"/>
            <w:vAlign w:val="bottom"/>
            <w:gridSpan w:val="6"/>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93"/>
        </w:trPr>
        <w:tc>
          <w:tcPr>
            <w:tcW w:w="920" w:type="dxa"/>
            <w:vAlign w:val="bottom"/>
          </w:tcPr>
          <w:p>
            <w:pPr>
              <w:spacing w:after="0"/>
              <w:rPr>
                <w:rFonts w:ascii="Arial" w:cs="Arial" w:eastAsia="Arial" w:hAnsi="Arial"/>
                <w:sz w:val="16"/>
                <w:szCs w:val="16"/>
                <w:u w:val="single" w:color="auto"/>
                <w:color w:val="0000EE"/>
              </w:rPr>
            </w:pPr>
            <w:hyperlink w:anchor="page179">
              <w:r>
                <w:rPr>
                  <w:rFonts w:ascii="Arial" w:cs="Arial" w:eastAsia="Arial" w:hAnsi="Arial"/>
                  <w:sz w:val="16"/>
                  <w:szCs w:val="16"/>
                  <w:u w:val="single" w:color="auto"/>
                  <w:color w:val="0000EE"/>
                </w:rPr>
                <w:t>4.5</w:t>
              </w:r>
            </w:hyperlink>
          </w:p>
        </w:tc>
        <w:tc>
          <w:tcPr>
            <w:tcW w:w="200" w:type="dxa"/>
            <w:vAlign w:val="bottom"/>
          </w:tcPr>
          <w:p>
            <w:pPr>
              <w:spacing w:after="0"/>
              <w:rPr>
                <w:sz w:val="24"/>
                <w:szCs w:val="24"/>
                <w:color w:val="auto"/>
              </w:rPr>
            </w:pPr>
          </w:p>
        </w:tc>
        <w:tc>
          <w:tcPr>
            <w:tcW w:w="10140" w:type="dxa"/>
            <w:vAlign w:val="bottom"/>
            <w:gridSpan w:val="19"/>
          </w:tcPr>
          <w:p>
            <w:pPr>
              <w:ind w:left="20"/>
              <w:spacing w:after="0"/>
              <w:rPr>
                <w:rFonts w:ascii="Arial" w:cs="Arial" w:eastAsia="Arial" w:hAnsi="Arial"/>
                <w:sz w:val="16"/>
                <w:szCs w:val="16"/>
                <w:u w:val="single" w:color="auto"/>
                <w:color w:val="0000EE"/>
              </w:rPr>
            </w:pPr>
            <w:hyperlink w:anchor="page179">
              <w:r>
                <w:rPr>
                  <w:rFonts w:ascii="Arial" w:cs="Arial" w:eastAsia="Arial" w:hAnsi="Arial"/>
                  <w:sz w:val="16"/>
                  <w:szCs w:val="16"/>
                  <w:u w:val="single" w:color="auto"/>
                  <w:color w:val="0000EE"/>
                </w:rPr>
                <w:t>Compensation Policy.</w:t>
              </w:r>
            </w:hyperlink>
          </w:p>
        </w:tc>
      </w:tr>
      <w:tr>
        <w:trPr>
          <w:trHeight w:val="344"/>
        </w:trPr>
        <w:tc>
          <w:tcPr>
            <w:tcW w:w="920" w:type="dxa"/>
            <w:vAlign w:val="bottom"/>
          </w:tcPr>
          <w:p>
            <w:pPr>
              <w:spacing w:after="0"/>
              <w:rPr>
                <w:rFonts w:ascii="Arial" w:cs="Arial" w:eastAsia="Arial" w:hAnsi="Arial"/>
                <w:sz w:val="16"/>
                <w:szCs w:val="16"/>
                <w:u w:val="single" w:color="auto"/>
                <w:color w:val="0000EE"/>
              </w:rPr>
            </w:pPr>
            <w:hyperlink r:id="rId183">
              <w:r>
                <w:rPr>
                  <w:rFonts w:ascii="Arial" w:cs="Arial" w:eastAsia="Arial" w:hAnsi="Arial"/>
                  <w:sz w:val="16"/>
                  <w:szCs w:val="16"/>
                  <w:u w:val="single" w:color="auto"/>
                  <w:color w:val="0000EE"/>
                </w:rPr>
                <w:t>4.6</w:t>
              </w:r>
            </w:hyperlink>
          </w:p>
        </w:tc>
        <w:tc>
          <w:tcPr>
            <w:tcW w:w="200" w:type="dxa"/>
            <w:vAlign w:val="bottom"/>
          </w:tcPr>
          <w:p>
            <w:pPr>
              <w:spacing w:after="0"/>
              <w:rPr>
                <w:sz w:val="24"/>
                <w:szCs w:val="24"/>
                <w:color w:val="auto"/>
              </w:rPr>
            </w:pPr>
          </w:p>
        </w:tc>
        <w:tc>
          <w:tcPr>
            <w:tcW w:w="10140" w:type="dxa"/>
            <w:vAlign w:val="bottom"/>
            <w:gridSpan w:val="19"/>
          </w:tcPr>
          <w:p>
            <w:pPr>
              <w:ind w:left="20"/>
              <w:spacing w:after="0"/>
              <w:rPr>
                <w:rFonts w:ascii="Arial" w:cs="Arial" w:eastAsia="Arial" w:hAnsi="Arial"/>
                <w:sz w:val="16"/>
                <w:szCs w:val="16"/>
                <w:color w:val="0000EE"/>
                <w:w w:val="93"/>
              </w:rPr>
            </w:pPr>
            <w:hyperlink r:id="rId183">
              <w:r>
                <w:rPr>
                  <w:rFonts w:ascii="Arial" w:cs="Arial" w:eastAsia="Arial" w:hAnsi="Arial"/>
                  <w:sz w:val="16"/>
                  <w:szCs w:val="16"/>
                  <w:color w:val="0000EE"/>
                  <w:w w:val="93"/>
                </w:rPr>
                <w:t>Registration Rights Agreement (incorporated by reference to Exhibit 99.2 of Form 6-K filed with the Securities and Exchange Commission on February 6,</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Borders>
              <w:top w:val="single" w:sz="8" w:color="0000EE"/>
              <w:bottom w:val="single" w:sz="8" w:color="0000EE"/>
            </w:tcBorders>
          </w:tcPr>
          <w:p>
            <w:pPr>
              <w:ind w:left="20"/>
              <w:spacing w:after="0" w:line="169" w:lineRule="exact"/>
              <w:rPr>
                <w:rFonts w:ascii="Arial" w:cs="Arial" w:eastAsia="Arial" w:hAnsi="Arial"/>
                <w:sz w:val="16"/>
                <w:szCs w:val="16"/>
                <w:color w:val="0000EE"/>
                <w:w w:val="83"/>
              </w:rPr>
            </w:pPr>
            <w:hyperlink r:id="rId183">
              <w:r>
                <w:rPr>
                  <w:rFonts w:ascii="Arial" w:cs="Arial" w:eastAsia="Arial" w:hAnsi="Arial"/>
                  <w:sz w:val="16"/>
                  <w:szCs w:val="16"/>
                  <w:color w:val="0000EE"/>
                  <w:w w:val="83"/>
                </w:rPr>
                <w:t>2018).</w:t>
              </w:r>
            </w:hyperlink>
          </w:p>
        </w:tc>
        <w:tc>
          <w:tcPr>
            <w:tcW w:w="640" w:type="dxa"/>
            <w:vAlign w:val="bottom"/>
            <w:tcBorders>
              <w:top w:val="single" w:sz="8" w:color="0000EE"/>
            </w:tcBorders>
          </w:tcPr>
          <w:p>
            <w:pPr>
              <w:spacing w:after="0"/>
              <w:rPr>
                <w:sz w:val="14"/>
                <w:szCs w:val="14"/>
                <w:color w:val="auto"/>
              </w:rPr>
            </w:pPr>
          </w:p>
        </w:tc>
        <w:tc>
          <w:tcPr>
            <w:tcW w:w="240" w:type="dxa"/>
            <w:vAlign w:val="bottom"/>
            <w:tcBorders>
              <w:top w:val="single" w:sz="8" w:color="0000EE"/>
            </w:tcBorders>
          </w:tcPr>
          <w:p>
            <w:pPr>
              <w:spacing w:after="0"/>
              <w:rPr>
                <w:sz w:val="14"/>
                <w:szCs w:val="14"/>
                <w:color w:val="auto"/>
              </w:rPr>
            </w:pPr>
          </w:p>
        </w:tc>
        <w:tc>
          <w:tcPr>
            <w:tcW w:w="60" w:type="dxa"/>
            <w:vAlign w:val="bottom"/>
            <w:tcBorders>
              <w:top w:val="single" w:sz="8" w:color="0000EE"/>
            </w:tcBorders>
          </w:tcPr>
          <w:p>
            <w:pPr>
              <w:spacing w:after="0"/>
              <w:rPr>
                <w:sz w:val="14"/>
                <w:szCs w:val="14"/>
                <w:color w:val="auto"/>
              </w:rPr>
            </w:pPr>
          </w:p>
        </w:tc>
        <w:tc>
          <w:tcPr>
            <w:tcW w:w="960" w:type="dxa"/>
            <w:vAlign w:val="bottom"/>
            <w:tcBorders>
              <w:top w:val="single" w:sz="8" w:color="0000EE"/>
            </w:tcBorders>
          </w:tcPr>
          <w:p>
            <w:pPr>
              <w:spacing w:after="0"/>
              <w:rPr>
                <w:sz w:val="14"/>
                <w:szCs w:val="14"/>
                <w:color w:val="auto"/>
              </w:rPr>
            </w:pPr>
          </w:p>
        </w:tc>
        <w:tc>
          <w:tcPr>
            <w:tcW w:w="740" w:type="dxa"/>
            <w:vAlign w:val="bottom"/>
            <w:tcBorders>
              <w:top w:val="single" w:sz="8" w:color="0000EE"/>
            </w:tcBorders>
          </w:tcPr>
          <w:p>
            <w:pPr>
              <w:spacing w:after="0"/>
              <w:rPr>
                <w:sz w:val="14"/>
                <w:szCs w:val="14"/>
                <w:color w:val="auto"/>
              </w:rPr>
            </w:pPr>
          </w:p>
        </w:tc>
        <w:tc>
          <w:tcPr>
            <w:tcW w:w="740" w:type="dxa"/>
            <w:vAlign w:val="bottom"/>
            <w:tcBorders>
              <w:top w:val="single" w:sz="8" w:color="0000EE"/>
            </w:tcBorders>
          </w:tcPr>
          <w:p>
            <w:pPr>
              <w:spacing w:after="0"/>
              <w:rPr>
                <w:sz w:val="14"/>
                <w:szCs w:val="14"/>
                <w:color w:val="auto"/>
              </w:rPr>
            </w:pPr>
          </w:p>
        </w:tc>
        <w:tc>
          <w:tcPr>
            <w:tcW w:w="2520" w:type="dxa"/>
            <w:vAlign w:val="bottom"/>
            <w:tcBorders>
              <w:top w:val="single" w:sz="8" w:color="0000EE"/>
            </w:tcBorders>
          </w:tcPr>
          <w:p>
            <w:pPr>
              <w:spacing w:after="0"/>
              <w:rPr>
                <w:sz w:val="14"/>
                <w:szCs w:val="14"/>
                <w:color w:val="auto"/>
              </w:rPr>
            </w:pPr>
          </w:p>
        </w:tc>
        <w:tc>
          <w:tcPr>
            <w:tcW w:w="800" w:type="dxa"/>
            <w:vAlign w:val="bottom"/>
            <w:tcBorders>
              <w:top w:val="single" w:sz="8" w:color="0000EE"/>
            </w:tcBorders>
          </w:tcPr>
          <w:p>
            <w:pPr>
              <w:spacing w:after="0"/>
              <w:rPr>
                <w:sz w:val="14"/>
                <w:szCs w:val="14"/>
                <w:color w:val="auto"/>
              </w:rPr>
            </w:pPr>
          </w:p>
        </w:tc>
        <w:tc>
          <w:tcPr>
            <w:tcW w:w="2260" w:type="dxa"/>
            <w:vAlign w:val="bottom"/>
            <w:tcBorders>
              <w:top w:val="single" w:sz="8" w:color="0000EE"/>
            </w:tcBorders>
          </w:tcPr>
          <w:p>
            <w:pPr>
              <w:spacing w:after="0"/>
              <w:rPr>
                <w:sz w:val="14"/>
                <w:szCs w:val="14"/>
                <w:color w:val="auto"/>
              </w:rPr>
            </w:pPr>
          </w:p>
        </w:tc>
        <w:tc>
          <w:tcPr>
            <w:tcW w:w="100" w:type="dxa"/>
            <w:vAlign w:val="bottom"/>
            <w:tcBorders>
              <w:top w:val="single" w:sz="8" w:color="0000EE"/>
            </w:tcBorders>
          </w:tcPr>
          <w:p>
            <w:pPr>
              <w:spacing w:after="0"/>
              <w:rPr>
                <w:sz w:val="14"/>
                <w:szCs w:val="14"/>
                <w:color w:val="auto"/>
              </w:rPr>
            </w:pPr>
          </w:p>
        </w:tc>
        <w:tc>
          <w:tcPr>
            <w:tcW w:w="240" w:type="dxa"/>
            <w:vAlign w:val="bottom"/>
            <w:tcBorders>
              <w:top w:val="single" w:sz="8" w:color="0000EE"/>
            </w:tcBorders>
          </w:tcPr>
          <w:p>
            <w:pPr>
              <w:spacing w:after="0"/>
              <w:rPr>
                <w:sz w:val="14"/>
                <w:szCs w:val="14"/>
                <w:color w:val="auto"/>
              </w:rPr>
            </w:pPr>
          </w:p>
        </w:tc>
        <w:tc>
          <w:tcPr>
            <w:tcW w:w="180" w:type="dxa"/>
            <w:vAlign w:val="bottom"/>
            <w:tcBorders>
              <w:top w:val="single" w:sz="8" w:color="0000EE"/>
            </w:tcBorders>
          </w:tcPr>
          <w:p>
            <w:pPr>
              <w:spacing w:after="0"/>
              <w:rPr>
                <w:sz w:val="14"/>
                <w:szCs w:val="14"/>
                <w:color w:val="auto"/>
              </w:rPr>
            </w:pPr>
          </w:p>
        </w:tc>
        <w:tc>
          <w:tcPr>
            <w:tcW w:w="40" w:type="dxa"/>
            <w:vAlign w:val="bottom"/>
            <w:tcBorders>
              <w:top w:val="single" w:sz="8" w:color="0000EE"/>
            </w:tcBorders>
          </w:tcPr>
          <w:p>
            <w:pPr>
              <w:spacing w:after="0"/>
              <w:rPr>
                <w:sz w:val="14"/>
                <w:szCs w:val="14"/>
                <w:color w:val="auto"/>
              </w:rPr>
            </w:pPr>
          </w:p>
        </w:tc>
        <w:tc>
          <w:tcPr>
            <w:tcW w:w="40" w:type="dxa"/>
            <w:vAlign w:val="bottom"/>
            <w:tcBorders>
              <w:top w:val="single" w:sz="8" w:color="0000EE"/>
            </w:tcBorders>
          </w:tcPr>
          <w:p>
            <w:pPr>
              <w:spacing w:after="0"/>
              <w:rPr>
                <w:sz w:val="14"/>
                <w:szCs w:val="14"/>
                <w:color w:val="auto"/>
              </w:rPr>
            </w:pPr>
          </w:p>
        </w:tc>
        <w:tc>
          <w:tcPr>
            <w:tcW w:w="20" w:type="dxa"/>
            <w:vAlign w:val="bottom"/>
            <w:tcBorders>
              <w:top w:val="single" w:sz="8" w:color="0000EE"/>
            </w:tcBorders>
          </w:tcPr>
          <w:p>
            <w:pPr>
              <w:spacing w:after="0"/>
              <w:rPr>
                <w:sz w:val="14"/>
                <w:szCs w:val="14"/>
                <w:color w:val="auto"/>
              </w:rPr>
            </w:pPr>
          </w:p>
        </w:tc>
        <w:tc>
          <w:tcPr>
            <w:tcW w:w="20" w:type="dxa"/>
            <w:vAlign w:val="bottom"/>
            <w:tcBorders>
              <w:top w:val="single" w:sz="8" w:color="0000EE"/>
            </w:tcBorders>
          </w:tcPr>
          <w:p>
            <w:pPr>
              <w:spacing w:after="0"/>
              <w:rPr>
                <w:sz w:val="14"/>
                <w:szCs w:val="14"/>
                <w:color w:val="auto"/>
              </w:rPr>
            </w:pPr>
          </w:p>
        </w:tc>
        <w:tc>
          <w:tcPr>
            <w:tcW w:w="100" w:type="dxa"/>
            <w:vAlign w:val="bottom"/>
            <w:tcBorders>
              <w:top w:val="single" w:sz="8" w:color="0000EE"/>
            </w:tcBorders>
          </w:tcPr>
          <w:p>
            <w:pPr>
              <w:spacing w:after="0"/>
              <w:rPr>
                <w:sz w:val="14"/>
                <w:szCs w:val="14"/>
                <w:color w:val="auto"/>
              </w:rPr>
            </w:pPr>
          </w:p>
        </w:tc>
        <w:tc>
          <w:tcPr>
            <w:tcW w:w="20" w:type="dxa"/>
            <w:vAlign w:val="bottom"/>
          </w:tcPr>
          <w:p>
            <w:pPr>
              <w:spacing w:after="0"/>
              <w:rPr>
                <w:sz w:val="14"/>
                <w:szCs w:val="14"/>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84">
              <w:r>
                <w:rPr>
                  <w:rFonts w:ascii="Arial" w:cs="Arial" w:eastAsia="Arial" w:hAnsi="Arial"/>
                  <w:sz w:val="16"/>
                  <w:szCs w:val="16"/>
                  <w:u w:val="single" w:color="auto"/>
                  <w:color w:val="0000EE"/>
                </w:rPr>
                <w:t>4.7∞</w:t>
              </w:r>
            </w:hyperlink>
          </w:p>
        </w:tc>
        <w:tc>
          <w:tcPr>
            <w:tcW w:w="200" w:type="dxa"/>
            <w:vAlign w:val="bottom"/>
          </w:tcPr>
          <w:p>
            <w:pPr>
              <w:spacing w:after="0"/>
              <w:rPr>
                <w:sz w:val="24"/>
                <w:szCs w:val="24"/>
                <w:color w:val="auto"/>
              </w:rPr>
            </w:pPr>
          </w:p>
        </w:tc>
        <w:tc>
          <w:tcPr>
            <w:tcW w:w="10140" w:type="dxa"/>
            <w:vAlign w:val="bottom"/>
            <w:gridSpan w:val="19"/>
          </w:tcPr>
          <w:p>
            <w:pPr>
              <w:ind w:left="20"/>
              <w:spacing w:after="0"/>
              <w:rPr>
                <w:rFonts w:ascii="Arial" w:cs="Arial" w:eastAsia="Arial" w:hAnsi="Arial"/>
                <w:sz w:val="16"/>
                <w:szCs w:val="16"/>
                <w:color w:val="0000EE"/>
                <w:w w:val="89"/>
              </w:rPr>
            </w:pPr>
            <w:hyperlink r:id="rId184">
              <w:r>
                <w:rPr>
                  <w:rFonts w:ascii="Arial" w:cs="Arial" w:eastAsia="Arial" w:hAnsi="Arial"/>
                  <w:sz w:val="16"/>
                  <w:szCs w:val="16"/>
                  <w:color w:val="0000EE"/>
                  <w:w w:val="89"/>
                </w:rPr>
                <w:t>Lease Agreement by and between the Registrant and Rachel Zacks, dated as of October 10, 2007 (incorporated by reference to Exhibit 10.7 of the Registration</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320" w:type="dxa"/>
            <w:vAlign w:val="bottom"/>
            <w:tcBorders>
              <w:top w:val="single" w:sz="8" w:color="0000EE"/>
              <w:bottom w:val="single" w:sz="8" w:color="0000EE"/>
            </w:tcBorders>
            <w:gridSpan w:val="8"/>
          </w:tcPr>
          <w:p>
            <w:pPr>
              <w:ind w:left="20"/>
              <w:spacing w:after="0" w:line="169" w:lineRule="exact"/>
              <w:rPr>
                <w:rFonts w:ascii="Arial" w:cs="Arial" w:eastAsia="Arial" w:hAnsi="Arial"/>
                <w:sz w:val="16"/>
                <w:szCs w:val="16"/>
                <w:color w:val="0000EE"/>
                <w:w w:val="89"/>
              </w:rPr>
            </w:pPr>
            <w:hyperlink r:id="rId184">
              <w:r>
                <w:rPr>
                  <w:rFonts w:ascii="Arial" w:cs="Arial" w:eastAsia="Arial" w:hAnsi="Arial"/>
                  <w:sz w:val="16"/>
                  <w:szCs w:val="16"/>
                  <w:color w:val="0000EE"/>
                  <w:w w:val="89"/>
                </w:rPr>
                <w:t>Statement on Form F-1/A filed with the Securities and Exchange Commission on August 29, 2017).</w:t>
              </w:r>
            </w:hyperlink>
          </w:p>
        </w:tc>
        <w:tc>
          <w:tcPr>
            <w:tcW w:w="3700" w:type="dxa"/>
            <w:vAlign w:val="bottom"/>
            <w:tcBorders>
              <w:top w:val="single" w:sz="8" w:color="0000EE"/>
            </w:tcBorders>
            <w:gridSpan w:val="9"/>
          </w:tcPr>
          <w:p>
            <w:pPr>
              <w:spacing w:after="0"/>
              <w:rPr>
                <w:sz w:val="14"/>
                <w:szCs w:val="14"/>
                <w:color w:val="auto"/>
              </w:rPr>
            </w:pPr>
          </w:p>
        </w:tc>
        <w:tc>
          <w:tcPr>
            <w:tcW w:w="120" w:type="dxa"/>
            <w:vAlign w:val="bottom"/>
            <w:gridSpan w:val="2"/>
          </w:tcPr>
          <w:p>
            <w:pPr>
              <w:spacing w:after="0"/>
              <w:rPr>
                <w:sz w:val="14"/>
                <w:szCs w:val="14"/>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85">
              <w:r>
                <w:rPr>
                  <w:rFonts w:ascii="Arial" w:cs="Arial" w:eastAsia="Arial" w:hAnsi="Arial"/>
                  <w:sz w:val="16"/>
                  <w:szCs w:val="16"/>
                  <w:u w:val="single" w:color="auto"/>
                  <w:color w:val="0000EE"/>
                </w:rPr>
                <w:t>4.8∞</w:t>
              </w:r>
            </w:hyperlink>
          </w:p>
        </w:tc>
        <w:tc>
          <w:tcPr>
            <w:tcW w:w="200" w:type="dxa"/>
            <w:vAlign w:val="bottom"/>
          </w:tcPr>
          <w:p>
            <w:pPr>
              <w:spacing w:after="0"/>
              <w:rPr>
                <w:sz w:val="24"/>
                <w:szCs w:val="24"/>
                <w:color w:val="auto"/>
              </w:rPr>
            </w:pPr>
          </w:p>
        </w:tc>
        <w:tc>
          <w:tcPr>
            <w:tcW w:w="10140" w:type="dxa"/>
            <w:vAlign w:val="bottom"/>
            <w:gridSpan w:val="19"/>
          </w:tcPr>
          <w:p>
            <w:pPr>
              <w:ind w:left="20"/>
              <w:spacing w:after="0"/>
              <w:rPr>
                <w:rFonts w:ascii="Arial" w:cs="Arial" w:eastAsia="Arial" w:hAnsi="Arial"/>
                <w:sz w:val="16"/>
                <w:szCs w:val="16"/>
                <w:color w:val="0000EE"/>
                <w:w w:val="95"/>
              </w:rPr>
            </w:pPr>
            <w:hyperlink r:id="rId185">
              <w:r>
                <w:rPr>
                  <w:rFonts w:ascii="Arial" w:cs="Arial" w:eastAsia="Arial" w:hAnsi="Arial"/>
                  <w:sz w:val="16"/>
                  <w:szCs w:val="16"/>
                  <w:color w:val="0000EE"/>
                  <w:w w:val="95"/>
                </w:rPr>
                <w:t>Lease Agreement by and between the Registrant and Rachel Zacks, dated as of September 29, 2014 (incorporated by reference to Exhibit 10.8 of the</w:t>
              </w:r>
            </w:hyperlink>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380" w:type="dxa"/>
            <w:vAlign w:val="bottom"/>
            <w:tcBorders>
              <w:top w:val="single" w:sz="8" w:color="0000EE"/>
            </w:tcBorders>
            <w:gridSpan w:val="10"/>
          </w:tcPr>
          <w:p>
            <w:pPr>
              <w:ind w:left="20"/>
              <w:spacing w:after="0" w:line="169" w:lineRule="exact"/>
              <w:rPr>
                <w:rFonts w:ascii="Arial" w:cs="Arial" w:eastAsia="Arial" w:hAnsi="Arial"/>
                <w:sz w:val="16"/>
                <w:szCs w:val="16"/>
                <w:color w:val="0000EE"/>
              </w:rPr>
            </w:pPr>
            <w:hyperlink r:id="rId185">
              <w:r>
                <w:rPr>
                  <w:rFonts w:ascii="Arial" w:cs="Arial" w:eastAsia="Arial" w:hAnsi="Arial"/>
                  <w:sz w:val="16"/>
                  <w:szCs w:val="16"/>
                  <w:color w:val="0000EE"/>
                </w:rPr>
                <w:t>Registration Statement on Form F-1/A filed with the Securities and Exchange Commission on August 29, 2017).</w:t>
              </w:r>
            </w:hyperlink>
          </w:p>
        </w:tc>
        <w:tc>
          <w:tcPr>
            <w:tcW w:w="760" w:type="dxa"/>
            <w:vAlign w:val="bottom"/>
            <w:gridSpan w:val="9"/>
          </w:tcPr>
          <w:p>
            <w:pPr>
              <w:spacing w:after="0"/>
              <w:rPr>
                <w:sz w:val="14"/>
                <w:szCs w:val="14"/>
                <w:color w:val="auto"/>
              </w:rPr>
            </w:pPr>
          </w:p>
        </w:tc>
      </w:tr>
      <w:tr>
        <w:trPr>
          <w:trHeight w:val="20"/>
        </w:trPr>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120" w:type="dxa"/>
            <w:vAlign w:val="bottom"/>
            <w:gridSpan w:val="9"/>
            <w:shd w:val="clear" w:color="auto" w:fill="0000EE"/>
          </w:tcPr>
          <w:p>
            <w:pPr>
              <w:spacing w:after="0" w:line="20" w:lineRule="exact"/>
              <w:rPr>
                <w:sz w:val="1"/>
                <w:szCs w:val="1"/>
                <w:color w:val="auto"/>
              </w:rPr>
            </w:pPr>
          </w:p>
        </w:tc>
        <w:tc>
          <w:tcPr>
            <w:tcW w:w="2820" w:type="dxa"/>
            <w:vAlign w:val="bottom"/>
            <w:gridSpan w:val="5"/>
          </w:tcPr>
          <w:p>
            <w:pPr>
              <w:spacing w:after="0" w:line="20" w:lineRule="exact"/>
              <w:rPr>
                <w:sz w:val="1"/>
                <w:szCs w:val="1"/>
                <w:color w:val="auto"/>
              </w:rPr>
            </w:pPr>
          </w:p>
        </w:tc>
        <w:tc>
          <w:tcPr>
            <w:tcW w:w="200" w:type="dxa"/>
            <w:vAlign w:val="bottom"/>
            <w:gridSpan w:val="5"/>
          </w:tcPr>
          <w:p>
            <w:pPr>
              <w:spacing w:after="0" w:line="20" w:lineRule="exact"/>
              <w:rPr>
                <w:sz w:val="1"/>
                <w:szCs w:val="1"/>
                <w:color w:val="auto"/>
              </w:rPr>
            </w:pPr>
          </w:p>
        </w:tc>
      </w:tr>
      <w:tr>
        <w:trPr>
          <w:trHeight w:val="358"/>
        </w:trPr>
        <w:tc>
          <w:tcPr>
            <w:tcW w:w="920" w:type="dxa"/>
            <w:vAlign w:val="bottom"/>
          </w:tcPr>
          <w:p>
            <w:pPr>
              <w:spacing w:after="0"/>
              <w:rPr>
                <w:rFonts w:ascii="Arial" w:cs="Arial" w:eastAsia="Arial" w:hAnsi="Arial"/>
                <w:sz w:val="16"/>
                <w:szCs w:val="16"/>
                <w:u w:val="single" w:color="auto"/>
                <w:color w:val="0000EE"/>
              </w:rPr>
            </w:pPr>
            <w:hyperlink r:id="rId186">
              <w:r>
                <w:rPr>
                  <w:rFonts w:ascii="Arial" w:cs="Arial" w:eastAsia="Arial" w:hAnsi="Arial"/>
                  <w:sz w:val="16"/>
                  <w:szCs w:val="16"/>
                  <w:u w:val="single" w:color="auto"/>
                  <w:color w:val="0000EE"/>
                </w:rPr>
                <w:t>4.9∞</w:t>
              </w:r>
            </w:hyperlink>
          </w:p>
        </w:tc>
        <w:tc>
          <w:tcPr>
            <w:tcW w:w="200" w:type="dxa"/>
            <w:vAlign w:val="bottom"/>
          </w:tcPr>
          <w:p>
            <w:pPr>
              <w:spacing w:after="0"/>
              <w:rPr>
                <w:sz w:val="24"/>
                <w:szCs w:val="24"/>
                <w:color w:val="auto"/>
              </w:rPr>
            </w:pPr>
          </w:p>
        </w:tc>
        <w:tc>
          <w:tcPr>
            <w:tcW w:w="9940" w:type="dxa"/>
            <w:vAlign w:val="bottom"/>
            <w:tcBorders>
              <w:bottom w:val="single" w:sz="8" w:color="0000EE"/>
            </w:tcBorders>
            <w:gridSpan w:val="14"/>
          </w:tcPr>
          <w:p>
            <w:pPr>
              <w:ind w:left="20"/>
              <w:spacing w:after="0"/>
              <w:rPr>
                <w:rFonts w:ascii="Arial" w:cs="Arial" w:eastAsia="Arial" w:hAnsi="Arial"/>
                <w:sz w:val="16"/>
                <w:szCs w:val="16"/>
                <w:color w:val="0000EE"/>
                <w:w w:val="88"/>
              </w:rPr>
            </w:pPr>
            <w:hyperlink r:id="rId186">
              <w:r>
                <w:rPr>
                  <w:rFonts w:ascii="Arial" w:cs="Arial" w:eastAsia="Arial" w:hAnsi="Arial"/>
                  <w:sz w:val="16"/>
                  <w:szCs w:val="16"/>
                  <w:color w:val="0000EE"/>
                  <w:w w:val="88"/>
                </w:rPr>
                <w:t>Lease Agreement by and between the Registrant and Rachel Zacks, dated as of March 30, 2016 (incorporated by reference to Exhibit 10.9 of the Registration</w:t>
              </w:r>
            </w:hyperlink>
          </w:p>
        </w:tc>
        <w:tc>
          <w:tcPr>
            <w:tcW w:w="200" w:type="dxa"/>
            <w:vAlign w:val="bottom"/>
            <w:gridSpan w:val="5"/>
          </w:tcPr>
          <w:p>
            <w:pPr>
              <w:spacing w:after="0"/>
              <w:rPr>
                <w:sz w:val="24"/>
                <w:szCs w:val="24"/>
                <w:color w:val="auto"/>
              </w:rPr>
            </w:pPr>
          </w:p>
        </w:tc>
      </w:tr>
      <w:tr>
        <w:trPr>
          <w:trHeight w:val="169"/>
        </w:trPr>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320" w:type="dxa"/>
            <w:vAlign w:val="bottom"/>
            <w:tcBorders>
              <w:bottom w:val="single" w:sz="8" w:color="0000EE"/>
            </w:tcBorders>
            <w:gridSpan w:val="8"/>
          </w:tcPr>
          <w:p>
            <w:pPr>
              <w:ind w:left="20"/>
              <w:spacing w:after="0" w:line="169" w:lineRule="exact"/>
              <w:rPr>
                <w:rFonts w:ascii="Arial" w:cs="Arial" w:eastAsia="Arial" w:hAnsi="Arial"/>
                <w:sz w:val="16"/>
                <w:szCs w:val="16"/>
                <w:color w:val="0000EE"/>
                <w:w w:val="89"/>
              </w:rPr>
            </w:pPr>
            <w:hyperlink r:id="rId186">
              <w:r>
                <w:rPr>
                  <w:rFonts w:ascii="Arial" w:cs="Arial" w:eastAsia="Arial" w:hAnsi="Arial"/>
                  <w:sz w:val="16"/>
                  <w:szCs w:val="16"/>
                  <w:color w:val="0000EE"/>
                  <w:w w:val="89"/>
                </w:rPr>
                <w:t>Statement on Form F-1/A filed with the Securities and Exchange Commission on August 29, 2017).</w:t>
              </w:r>
            </w:hyperlink>
          </w:p>
        </w:tc>
        <w:tc>
          <w:tcPr>
            <w:tcW w:w="3820" w:type="dxa"/>
            <w:vAlign w:val="bottom"/>
            <w:gridSpan w:val="11"/>
          </w:tcPr>
          <w:p>
            <w:pPr>
              <w:spacing w:after="0"/>
              <w:rPr>
                <w:sz w:val="14"/>
                <w:szCs w:val="14"/>
                <w:color w:val="auto"/>
              </w:rPr>
            </w:pPr>
          </w:p>
        </w:tc>
      </w:tr>
      <w:tr>
        <w:trPr>
          <w:trHeight w:val="627"/>
        </w:trPr>
        <w:tc>
          <w:tcPr>
            <w:tcW w:w="920" w:type="dxa"/>
            <w:vAlign w:val="bottom"/>
          </w:tcPr>
          <w:p>
            <w:pPr>
              <w:spacing w:after="0"/>
              <w:rPr>
                <w:sz w:val="24"/>
                <w:szCs w:val="24"/>
                <w:color w:val="auto"/>
              </w:rPr>
            </w:pPr>
          </w:p>
        </w:tc>
        <w:tc>
          <w:tcPr>
            <w:tcW w:w="6520" w:type="dxa"/>
            <w:vAlign w:val="bottom"/>
            <w:gridSpan w:val="9"/>
          </w:tcPr>
          <w:p>
            <w:pPr>
              <w:jc w:val="right"/>
              <w:ind w:right="1680"/>
              <w:spacing w:after="0"/>
              <w:rPr>
                <w:sz w:val="20"/>
                <w:szCs w:val="20"/>
                <w:color w:val="auto"/>
              </w:rPr>
            </w:pPr>
            <w:r>
              <w:rPr>
                <w:rFonts w:ascii="Arial" w:cs="Arial" w:eastAsia="Arial" w:hAnsi="Arial"/>
                <w:sz w:val="19"/>
                <w:szCs w:val="19"/>
                <w:color w:val="auto"/>
              </w:rPr>
              <w:t>147</w:t>
            </w:r>
          </w:p>
        </w:tc>
        <w:tc>
          <w:tcPr>
            <w:tcW w:w="8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2"/>
        </w:trPr>
        <w:tc>
          <w:tcPr>
            <w:tcW w:w="9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252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22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r>
    </w:tbl>
    <w:p>
      <w:pPr>
        <w:sectPr>
          <w:pgSz w:w="11900" w:h="16838" w:orient="portrait"/>
          <w:cols w:equalWidth="0" w:num="1">
            <w:col w:w="11260"/>
          </w:cols>
          <w:pgMar w:left="320" w:top="126" w:right="319" w:bottom="1440" w:gutter="0" w:footer="0" w:header="0"/>
        </w:sectPr>
      </w:pPr>
    </w:p>
    <w:bookmarkStart w:id="147" w:name="page148"/>
    <w:bookmarkEnd w:id="147"/>
    <w:p>
      <w:pPr>
        <w:spacing w:after="0" w:line="1" w:lineRule="exact"/>
        <w:rPr>
          <w:sz w:val="20"/>
          <w:szCs w:val="20"/>
          <w:color w:val="auto"/>
        </w:rPr>
      </w:pPr>
    </w:p>
    <w:tbl>
      <w:tblPr>
        <w:tblLayout w:type="fixed"/>
        <w:tblInd w:w="5" w:type="dxa"/>
        <w:tblCellMar>
          <w:top w:w="0" w:type="dxa"/>
          <w:left w:w="0" w:type="dxa"/>
          <w:bottom w:w="0" w:type="dxa"/>
          <w:right w:w="0" w:type="dxa"/>
        </w:tblCellMar>
      </w:tblPr>
      <w:tr>
        <w:trPr>
          <w:trHeight w:val="184"/>
        </w:trPr>
        <w:tc>
          <w:tcPr>
            <w:tcW w:w="1160" w:type="dxa"/>
            <w:vAlign w:val="bottom"/>
          </w:tcPr>
          <w:p>
            <w:pPr>
              <w:spacing w:after="0"/>
              <w:rPr>
                <w:rFonts w:ascii="Arial" w:cs="Arial" w:eastAsia="Arial" w:hAnsi="Arial"/>
                <w:sz w:val="16"/>
                <w:szCs w:val="16"/>
                <w:u w:val="single" w:color="auto"/>
                <w:color w:val="0000EE"/>
              </w:rPr>
            </w:pPr>
            <w:hyperlink r:id="rId187">
              <w:r>
                <w:rPr>
                  <w:rFonts w:ascii="Arial" w:cs="Arial" w:eastAsia="Arial" w:hAnsi="Arial"/>
                  <w:sz w:val="16"/>
                  <w:szCs w:val="16"/>
                  <w:u w:val="single" w:color="auto"/>
                  <w:color w:val="0000EE"/>
                </w:rPr>
                <w:t>4.10∞</w:t>
              </w:r>
            </w:hyperlink>
          </w:p>
        </w:tc>
        <w:tc>
          <w:tcPr>
            <w:tcW w:w="9460" w:type="dxa"/>
            <w:vAlign w:val="bottom"/>
            <w:tcBorders>
              <w:bottom w:val="single" w:sz="8" w:color="0000EE"/>
            </w:tcBorders>
            <w:gridSpan w:val="8"/>
          </w:tcPr>
          <w:p>
            <w:pPr>
              <w:spacing w:after="0"/>
              <w:rPr>
                <w:rFonts w:ascii="Arial" w:cs="Arial" w:eastAsia="Arial" w:hAnsi="Arial"/>
                <w:sz w:val="16"/>
                <w:szCs w:val="16"/>
                <w:color w:val="0000EE"/>
                <w:w w:val="88"/>
              </w:rPr>
            </w:pPr>
            <w:hyperlink r:id="rId187">
              <w:r>
                <w:rPr>
                  <w:rFonts w:ascii="Arial" w:cs="Arial" w:eastAsia="Arial" w:hAnsi="Arial"/>
                  <w:sz w:val="16"/>
                  <w:szCs w:val="16"/>
                  <w:color w:val="0000EE"/>
                  <w:w w:val="88"/>
                </w:rPr>
                <w:t>Lease Agreement by and between the Registrant and Rachel Zacks, dated as of September 20, 2016 (incorporated by reference to Exhibit 10.10 of the</w:t>
              </w:r>
            </w:hyperlink>
          </w:p>
        </w:tc>
        <w:tc>
          <w:tcPr>
            <w:tcW w:w="640" w:type="dxa"/>
            <w:vAlign w:val="bottom"/>
            <w:gridSpan w:val="8"/>
          </w:tcPr>
          <w:p>
            <w:pPr>
              <w:spacing w:after="0"/>
              <w:rPr>
                <w:sz w:val="16"/>
                <w:szCs w:val="16"/>
                <w:color w:val="auto"/>
              </w:rPr>
            </w:pPr>
          </w:p>
        </w:tc>
      </w:tr>
      <w:tr>
        <w:trPr>
          <w:trHeight w:val="169"/>
        </w:trPr>
        <w:tc>
          <w:tcPr>
            <w:tcW w:w="1160" w:type="dxa"/>
            <w:vAlign w:val="bottom"/>
          </w:tcPr>
          <w:p>
            <w:pPr>
              <w:spacing w:after="0"/>
              <w:rPr>
                <w:sz w:val="14"/>
                <w:szCs w:val="14"/>
                <w:color w:val="auto"/>
              </w:rPr>
            </w:pPr>
          </w:p>
        </w:tc>
        <w:tc>
          <w:tcPr>
            <w:tcW w:w="7120" w:type="dxa"/>
            <w:vAlign w:val="bottom"/>
            <w:tcBorders>
              <w:bottom w:val="single" w:sz="8" w:color="0000EE"/>
            </w:tcBorders>
            <w:gridSpan w:val="5"/>
          </w:tcPr>
          <w:p>
            <w:pPr>
              <w:spacing w:after="0" w:line="169" w:lineRule="exact"/>
              <w:rPr>
                <w:rFonts w:ascii="Arial" w:cs="Arial" w:eastAsia="Arial" w:hAnsi="Arial"/>
                <w:sz w:val="16"/>
                <w:szCs w:val="16"/>
                <w:color w:val="0000EE"/>
                <w:w w:val="89"/>
              </w:rPr>
            </w:pPr>
            <w:hyperlink r:id="rId187">
              <w:r>
                <w:rPr>
                  <w:rFonts w:ascii="Arial" w:cs="Arial" w:eastAsia="Arial" w:hAnsi="Arial"/>
                  <w:sz w:val="16"/>
                  <w:szCs w:val="16"/>
                  <w:color w:val="0000EE"/>
                  <w:w w:val="89"/>
                </w:rPr>
                <w:t>Registration Statement on Form F-1/A filed with the Securities and Exchange Commission on August 29, 2017).</w:t>
              </w:r>
            </w:hyperlink>
          </w:p>
        </w:tc>
        <w:tc>
          <w:tcPr>
            <w:tcW w:w="2980" w:type="dxa"/>
            <w:vAlign w:val="bottom"/>
            <w:gridSpan w:val="11"/>
          </w:tcPr>
          <w:p>
            <w:pPr>
              <w:spacing w:after="0"/>
              <w:rPr>
                <w:sz w:val="14"/>
                <w:szCs w:val="14"/>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88">
              <w:r>
                <w:rPr>
                  <w:rFonts w:ascii="Arial" w:cs="Arial" w:eastAsia="Arial" w:hAnsi="Arial"/>
                  <w:sz w:val="16"/>
                  <w:szCs w:val="16"/>
                  <w:u w:val="single" w:color="auto"/>
                  <w:color w:val="0000EE"/>
                </w:rPr>
                <w:t>4.11∞</w:t>
              </w:r>
            </w:hyperlink>
          </w:p>
        </w:tc>
        <w:tc>
          <w:tcPr>
            <w:tcW w:w="10100" w:type="dxa"/>
            <w:vAlign w:val="bottom"/>
            <w:tcBorders>
              <w:bottom w:val="single" w:sz="8" w:color="0000EE"/>
            </w:tcBorders>
            <w:gridSpan w:val="16"/>
          </w:tcPr>
          <w:p>
            <w:pPr>
              <w:spacing w:after="0"/>
              <w:rPr>
                <w:rFonts w:ascii="Arial" w:cs="Arial" w:eastAsia="Arial" w:hAnsi="Arial"/>
                <w:sz w:val="16"/>
                <w:szCs w:val="16"/>
                <w:color w:val="0000EE"/>
                <w:w w:val="88"/>
              </w:rPr>
            </w:pPr>
            <w:hyperlink r:id="rId188">
              <w:r>
                <w:rPr>
                  <w:rFonts w:ascii="Arial" w:cs="Arial" w:eastAsia="Arial" w:hAnsi="Arial"/>
                  <w:sz w:val="16"/>
                  <w:szCs w:val="16"/>
                  <w:color w:val="0000EE"/>
                  <w:w w:val="88"/>
                </w:rPr>
                <w:t>Lease Agreement by and between the Registrant and Rachel Zacks, dated as of January 30, 2017 (incorporated by reference to Exhibit 10.11 of the Registration</w:t>
              </w:r>
            </w:hyperlink>
          </w:p>
        </w:tc>
      </w:tr>
      <w:tr>
        <w:trPr>
          <w:trHeight w:val="169"/>
        </w:trPr>
        <w:tc>
          <w:tcPr>
            <w:tcW w:w="1160" w:type="dxa"/>
            <w:vAlign w:val="bottom"/>
          </w:tcPr>
          <w:p>
            <w:pPr>
              <w:spacing w:after="0"/>
              <w:rPr>
                <w:sz w:val="14"/>
                <w:szCs w:val="14"/>
                <w:color w:val="auto"/>
              </w:rPr>
            </w:pPr>
          </w:p>
        </w:tc>
        <w:tc>
          <w:tcPr>
            <w:tcW w:w="10100" w:type="dxa"/>
            <w:vAlign w:val="bottom"/>
            <w:gridSpan w:val="16"/>
          </w:tcPr>
          <w:p>
            <w:pPr>
              <w:spacing w:after="0" w:line="169" w:lineRule="exact"/>
              <w:rPr>
                <w:rFonts w:ascii="Arial" w:cs="Arial" w:eastAsia="Arial" w:hAnsi="Arial"/>
                <w:sz w:val="16"/>
                <w:szCs w:val="16"/>
                <w:color w:val="0000EE"/>
              </w:rPr>
            </w:pPr>
            <w:hyperlink r:id="rId188">
              <w:r>
                <w:rPr>
                  <w:rFonts w:ascii="Arial" w:cs="Arial" w:eastAsia="Arial" w:hAnsi="Arial"/>
                  <w:sz w:val="16"/>
                  <w:szCs w:val="16"/>
                  <w:color w:val="0000EE"/>
                </w:rPr>
                <w:t>Statement on Form F-1/A filed with the Securities and Exchange Commission on August 29, 2017).</w:t>
              </w:r>
            </w:hyperlink>
          </w:p>
        </w:tc>
      </w:tr>
      <w:tr>
        <w:trPr>
          <w:trHeight w:val="20"/>
        </w:trPr>
        <w:tc>
          <w:tcPr>
            <w:tcW w:w="1160" w:type="dxa"/>
            <w:vAlign w:val="bottom"/>
          </w:tcPr>
          <w:p>
            <w:pPr>
              <w:spacing w:after="0" w:line="20" w:lineRule="exact"/>
              <w:rPr>
                <w:sz w:val="1"/>
                <w:szCs w:val="1"/>
                <w:color w:val="auto"/>
              </w:rPr>
            </w:pPr>
          </w:p>
        </w:tc>
        <w:tc>
          <w:tcPr>
            <w:tcW w:w="49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9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89">
              <w:r>
                <w:rPr>
                  <w:rFonts w:ascii="Arial" w:cs="Arial" w:eastAsia="Arial" w:hAnsi="Arial"/>
                  <w:sz w:val="16"/>
                  <w:szCs w:val="16"/>
                  <w:u w:val="single" w:color="auto"/>
                  <w:color w:val="0000EE"/>
                </w:rPr>
                <w:t>4.12∞</w:t>
              </w:r>
            </w:hyperlink>
          </w:p>
        </w:tc>
        <w:tc>
          <w:tcPr>
            <w:tcW w:w="10100" w:type="dxa"/>
            <w:vAlign w:val="bottom"/>
            <w:gridSpan w:val="16"/>
          </w:tcPr>
          <w:p>
            <w:pPr>
              <w:spacing w:after="0"/>
              <w:rPr>
                <w:rFonts w:ascii="Arial" w:cs="Arial" w:eastAsia="Arial" w:hAnsi="Arial"/>
                <w:sz w:val="16"/>
                <w:szCs w:val="16"/>
                <w:color w:val="0000EE"/>
                <w:w w:val="88"/>
              </w:rPr>
            </w:pPr>
            <w:hyperlink r:id="rId189">
              <w:r>
                <w:rPr>
                  <w:rFonts w:ascii="Arial" w:cs="Arial" w:eastAsia="Arial" w:hAnsi="Arial"/>
                  <w:sz w:val="16"/>
                  <w:szCs w:val="16"/>
                  <w:color w:val="0000EE"/>
                  <w:w w:val="88"/>
                </w:rPr>
                <w:t>Lease Agreement by and between the Registrant and Rachel Zacks, dated as of September 25, 2017 (incorporated by reference to Exhibit 4.12 of the Annual on</w:t>
              </w:r>
            </w:hyperlink>
          </w:p>
        </w:tc>
      </w:tr>
      <w:tr>
        <w:trPr>
          <w:trHeight w:val="169"/>
        </w:trPr>
        <w:tc>
          <w:tcPr>
            <w:tcW w:w="1160" w:type="dxa"/>
            <w:vAlign w:val="bottom"/>
          </w:tcPr>
          <w:p>
            <w:pPr>
              <w:spacing w:after="0"/>
              <w:rPr>
                <w:sz w:val="14"/>
                <w:szCs w:val="14"/>
                <w:color w:val="auto"/>
              </w:rPr>
            </w:pPr>
          </w:p>
        </w:tc>
        <w:tc>
          <w:tcPr>
            <w:tcW w:w="10080" w:type="dxa"/>
            <w:vAlign w:val="bottom"/>
            <w:tcBorders>
              <w:top w:val="single" w:sz="8" w:color="0000EE"/>
            </w:tcBorders>
            <w:gridSpan w:val="15"/>
          </w:tcPr>
          <w:p>
            <w:pPr>
              <w:spacing w:after="0" w:line="169" w:lineRule="exact"/>
              <w:rPr>
                <w:rFonts w:ascii="Arial" w:cs="Arial" w:eastAsia="Arial" w:hAnsi="Arial"/>
                <w:sz w:val="16"/>
                <w:szCs w:val="16"/>
                <w:color w:val="0000EE"/>
              </w:rPr>
            </w:pPr>
            <w:hyperlink r:id="rId189">
              <w:r>
                <w:rPr>
                  <w:rFonts w:ascii="Arial" w:cs="Arial" w:eastAsia="Arial" w:hAnsi="Arial"/>
                  <w:sz w:val="16"/>
                  <w:szCs w:val="16"/>
                  <w:color w:val="0000EE"/>
                </w:rPr>
                <w:t>Form 20-F filed with the Securities and Exchange Commission on March 21, 2019).</w:t>
              </w:r>
            </w:hyperlink>
          </w:p>
        </w:tc>
        <w:tc>
          <w:tcPr>
            <w:tcW w:w="20" w:type="dxa"/>
            <w:vAlign w:val="bottom"/>
          </w:tcPr>
          <w:p>
            <w:pPr>
              <w:spacing w:after="0"/>
              <w:rPr>
                <w:sz w:val="14"/>
                <w:szCs w:val="14"/>
                <w:color w:val="auto"/>
              </w:rPr>
            </w:pPr>
          </w:p>
        </w:tc>
      </w:tr>
      <w:tr>
        <w:trPr>
          <w:trHeight w:val="20"/>
        </w:trPr>
        <w:tc>
          <w:tcPr>
            <w:tcW w:w="1160" w:type="dxa"/>
            <w:vAlign w:val="bottom"/>
          </w:tcPr>
          <w:p>
            <w:pPr>
              <w:spacing w:after="0" w:line="20" w:lineRule="exact"/>
              <w:rPr>
                <w:sz w:val="1"/>
                <w:szCs w:val="1"/>
                <w:color w:val="auto"/>
              </w:rPr>
            </w:pPr>
          </w:p>
        </w:tc>
        <w:tc>
          <w:tcPr>
            <w:tcW w:w="494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9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0">
              <w:r>
                <w:rPr>
                  <w:rFonts w:ascii="Arial" w:cs="Arial" w:eastAsia="Arial" w:hAnsi="Arial"/>
                  <w:sz w:val="16"/>
                  <w:szCs w:val="16"/>
                  <w:u w:val="single" w:color="auto"/>
                  <w:color w:val="0000EE"/>
                </w:rPr>
                <w:t>4.13∞</w:t>
              </w:r>
            </w:hyperlink>
          </w:p>
        </w:tc>
        <w:tc>
          <w:tcPr>
            <w:tcW w:w="9980" w:type="dxa"/>
            <w:vAlign w:val="bottom"/>
            <w:tcBorders>
              <w:bottom w:val="single" w:sz="8" w:color="0000EE"/>
            </w:tcBorders>
            <w:gridSpan w:val="12"/>
          </w:tcPr>
          <w:p>
            <w:pPr>
              <w:spacing w:after="0"/>
              <w:rPr>
                <w:rFonts w:ascii="Arial" w:cs="Arial" w:eastAsia="Arial" w:hAnsi="Arial"/>
                <w:sz w:val="16"/>
                <w:szCs w:val="16"/>
                <w:color w:val="0000EE"/>
                <w:w w:val="88"/>
              </w:rPr>
            </w:pPr>
            <w:hyperlink r:id="rId190">
              <w:r>
                <w:rPr>
                  <w:rFonts w:ascii="Arial" w:cs="Arial" w:eastAsia="Arial" w:hAnsi="Arial"/>
                  <w:sz w:val="16"/>
                  <w:szCs w:val="16"/>
                  <w:color w:val="0000EE"/>
                  <w:w w:val="88"/>
                </w:rPr>
                <w:t>Lease Agreement by and between the Registrant and Rachel Zacks, dated as of July 3, 2018 (incorporated by reference to Exhibit 4.13 of the Annual on Form</w:t>
              </w:r>
            </w:hyperlink>
          </w:p>
        </w:tc>
        <w:tc>
          <w:tcPr>
            <w:tcW w:w="120" w:type="dxa"/>
            <w:vAlign w:val="bottom"/>
            <w:gridSpan w:val="4"/>
          </w:tcPr>
          <w:p>
            <w:pPr>
              <w:spacing w:after="0"/>
              <w:rPr>
                <w:sz w:val="24"/>
                <w:szCs w:val="24"/>
                <w:color w:val="auto"/>
              </w:rPr>
            </w:pPr>
          </w:p>
        </w:tc>
      </w:tr>
      <w:tr>
        <w:trPr>
          <w:trHeight w:val="169"/>
        </w:trPr>
        <w:tc>
          <w:tcPr>
            <w:tcW w:w="1160" w:type="dxa"/>
            <w:vAlign w:val="bottom"/>
          </w:tcPr>
          <w:p>
            <w:pPr>
              <w:spacing w:after="0"/>
              <w:rPr>
                <w:sz w:val="14"/>
                <w:szCs w:val="14"/>
                <w:color w:val="auto"/>
              </w:rPr>
            </w:pPr>
          </w:p>
        </w:tc>
        <w:tc>
          <w:tcPr>
            <w:tcW w:w="4940" w:type="dxa"/>
            <w:vAlign w:val="bottom"/>
            <w:tcBorders>
              <w:bottom w:val="single" w:sz="8" w:color="0000EE"/>
            </w:tcBorders>
          </w:tcPr>
          <w:p>
            <w:pPr>
              <w:spacing w:after="0" w:line="169" w:lineRule="exact"/>
              <w:rPr>
                <w:rFonts w:ascii="Arial" w:cs="Arial" w:eastAsia="Arial" w:hAnsi="Arial"/>
                <w:sz w:val="16"/>
                <w:szCs w:val="16"/>
                <w:color w:val="0000EE"/>
                <w:w w:val="89"/>
              </w:rPr>
            </w:pPr>
            <w:hyperlink r:id="rId190">
              <w:r>
                <w:rPr>
                  <w:rFonts w:ascii="Arial" w:cs="Arial" w:eastAsia="Arial" w:hAnsi="Arial"/>
                  <w:sz w:val="16"/>
                  <w:szCs w:val="16"/>
                  <w:color w:val="0000EE"/>
                  <w:w w:val="89"/>
                </w:rPr>
                <w:t>20-F filed with the Securities and Exchange Commission on March 21, 2019).</w:t>
              </w:r>
            </w:hyperlink>
          </w:p>
        </w:tc>
        <w:tc>
          <w:tcPr>
            <w:tcW w:w="5160" w:type="dxa"/>
            <w:vAlign w:val="bottom"/>
            <w:gridSpan w:val="15"/>
          </w:tcPr>
          <w:p>
            <w:pPr>
              <w:spacing w:after="0"/>
              <w:rPr>
                <w:sz w:val="14"/>
                <w:szCs w:val="14"/>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1">
              <w:r>
                <w:rPr>
                  <w:rFonts w:ascii="Arial" w:cs="Arial" w:eastAsia="Arial" w:hAnsi="Arial"/>
                  <w:sz w:val="16"/>
                  <w:szCs w:val="16"/>
                  <w:u w:val="single" w:color="auto"/>
                  <w:color w:val="0000EE"/>
                </w:rPr>
                <w:t>4.14∞</w:t>
              </w:r>
            </w:hyperlink>
          </w:p>
        </w:tc>
        <w:tc>
          <w:tcPr>
            <w:tcW w:w="10100" w:type="dxa"/>
            <w:vAlign w:val="bottom"/>
            <w:gridSpan w:val="16"/>
          </w:tcPr>
          <w:p>
            <w:pPr>
              <w:spacing w:after="0"/>
              <w:rPr>
                <w:rFonts w:ascii="Arial" w:cs="Arial" w:eastAsia="Arial" w:hAnsi="Arial"/>
                <w:sz w:val="16"/>
                <w:szCs w:val="16"/>
                <w:color w:val="0000EE"/>
                <w:w w:val="90"/>
              </w:rPr>
            </w:pPr>
            <w:hyperlink r:id="rId191">
              <w:r>
                <w:rPr>
                  <w:rFonts w:ascii="Arial" w:cs="Arial" w:eastAsia="Arial" w:hAnsi="Arial"/>
                  <w:sz w:val="16"/>
                  <w:szCs w:val="16"/>
                  <w:color w:val="0000EE"/>
                  <w:w w:val="90"/>
                </w:rPr>
                <w:t>Lease Agreement by and between the Registrant and Rachel Zacks, dated as of August 14, 2018 (incorporated by reference to Exhibit 4.14 of the Annual on</w:t>
              </w:r>
            </w:hyperlink>
          </w:p>
        </w:tc>
      </w:tr>
      <w:tr>
        <w:trPr>
          <w:trHeight w:val="169"/>
        </w:trPr>
        <w:tc>
          <w:tcPr>
            <w:tcW w:w="1160" w:type="dxa"/>
            <w:vAlign w:val="bottom"/>
          </w:tcPr>
          <w:p>
            <w:pPr>
              <w:spacing w:after="0"/>
              <w:rPr>
                <w:sz w:val="14"/>
                <w:szCs w:val="14"/>
                <w:color w:val="auto"/>
              </w:rPr>
            </w:pPr>
          </w:p>
        </w:tc>
        <w:tc>
          <w:tcPr>
            <w:tcW w:w="9860" w:type="dxa"/>
            <w:vAlign w:val="bottom"/>
            <w:tcBorders>
              <w:top w:val="single" w:sz="8" w:color="0000EE"/>
            </w:tcBorders>
            <w:gridSpan w:val="9"/>
          </w:tcPr>
          <w:p>
            <w:pPr>
              <w:spacing w:after="0" w:line="169" w:lineRule="exact"/>
              <w:rPr>
                <w:rFonts w:ascii="Arial" w:cs="Arial" w:eastAsia="Arial" w:hAnsi="Arial"/>
                <w:sz w:val="16"/>
                <w:szCs w:val="16"/>
                <w:color w:val="0000EE"/>
              </w:rPr>
            </w:pPr>
            <w:hyperlink r:id="rId191">
              <w:r>
                <w:rPr>
                  <w:rFonts w:ascii="Arial" w:cs="Arial" w:eastAsia="Arial" w:hAnsi="Arial"/>
                  <w:sz w:val="16"/>
                  <w:szCs w:val="16"/>
                  <w:color w:val="0000EE"/>
                </w:rPr>
                <w:t>Form 20-F filed with the Securities and Exchange Commission on March 21, 2019).</w:t>
              </w:r>
            </w:hyperlink>
          </w:p>
        </w:tc>
        <w:tc>
          <w:tcPr>
            <w:tcW w:w="240" w:type="dxa"/>
            <w:vAlign w:val="bottom"/>
            <w:gridSpan w:val="7"/>
          </w:tcPr>
          <w:p>
            <w:pPr>
              <w:spacing w:after="0"/>
              <w:rPr>
                <w:sz w:val="14"/>
                <w:szCs w:val="14"/>
                <w:color w:val="auto"/>
              </w:rPr>
            </w:pPr>
          </w:p>
        </w:tc>
      </w:tr>
      <w:tr>
        <w:trPr>
          <w:trHeight w:val="20"/>
        </w:trPr>
        <w:tc>
          <w:tcPr>
            <w:tcW w:w="1160" w:type="dxa"/>
            <w:vAlign w:val="bottom"/>
          </w:tcPr>
          <w:p>
            <w:pPr>
              <w:spacing w:after="0" w:line="20" w:lineRule="exact"/>
              <w:rPr>
                <w:sz w:val="1"/>
                <w:szCs w:val="1"/>
                <w:color w:val="auto"/>
              </w:rPr>
            </w:pPr>
          </w:p>
        </w:tc>
        <w:tc>
          <w:tcPr>
            <w:tcW w:w="5320" w:type="dxa"/>
            <w:vAlign w:val="bottom"/>
            <w:gridSpan w:val="2"/>
            <w:shd w:val="clear" w:color="auto" w:fill="0000EE"/>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2">
              <w:r>
                <w:rPr>
                  <w:rFonts w:ascii="Arial" w:cs="Arial" w:eastAsia="Arial" w:hAnsi="Arial"/>
                  <w:sz w:val="16"/>
                  <w:szCs w:val="16"/>
                  <w:u w:val="single" w:color="auto"/>
                  <w:color w:val="0000EE"/>
                </w:rPr>
                <w:t>4.15∞</w:t>
              </w:r>
            </w:hyperlink>
          </w:p>
        </w:tc>
        <w:tc>
          <w:tcPr>
            <w:tcW w:w="9940" w:type="dxa"/>
            <w:vAlign w:val="bottom"/>
            <w:tcBorders>
              <w:bottom w:val="single" w:sz="8" w:color="0000EE"/>
            </w:tcBorders>
            <w:gridSpan w:val="11"/>
          </w:tcPr>
          <w:p>
            <w:pPr>
              <w:ind w:left="40"/>
              <w:spacing w:after="0"/>
              <w:rPr>
                <w:rFonts w:ascii="Arial" w:cs="Arial" w:eastAsia="Arial" w:hAnsi="Arial"/>
                <w:sz w:val="16"/>
                <w:szCs w:val="16"/>
                <w:color w:val="0000EE"/>
                <w:w w:val="89"/>
              </w:rPr>
            </w:pPr>
            <w:hyperlink r:id="rId192">
              <w:r>
                <w:rPr>
                  <w:rFonts w:ascii="Arial" w:cs="Arial" w:eastAsia="Arial" w:hAnsi="Arial"/>
                  <w:sz w:val="16"/>
                  <w:szCs w:val="16"/>
                  <w:color w:val="0000EE"/>
                  <w:w w:val="89"/>
                </w:rPr>
                <w:t>Lease Agreement by and between the Registrant and Rachel Zacks, dated as of November 12, 2019 (incorporated by reference to Exhibit 4.15 of the Annual</w:t>
              </w:r>
            </w:hyperlink>
          </w:p>
        </w:tc>
        <w:tc>
          <w:tcPr>
            <w:tcW w:w="160" w:type="dxa"/>
            <w:vAlign w:val="bottom"/>
            <w:gridSpan w:val="5"/>
          </w:tcPr>
          <w:p>
            <w:pPr>
              <w:spacing w:after="0"/>
              <w:rPr>
                <w:sz w:val="24"/>
                <w:szCs w:val="24"/>
                <w:color w:val="auto"/>
              </w:rPr>
            </w:pPr>
          </w:p>
        </w:tc>
      </w:tr>
      <w:tr>
        <w:trPr>
          <w:trHeight w:val="169"/>
        </w:trPr>
        <w:tc>
          <w:tcPr>
            <w:tcW w:w="1160" w:type="dxa"/>
            <w:vAlign w:val="bottom"/>
          </w:tcPr>
          <w:p>
            <w:pPr>
              <w:spacing w:after="0"/>
              <w:rPr>
                <w:sz w:val="14"/>
                <w:szCs w:val="14"/>
                <w:color w:val="auto"/>
              </w:rPr>
            </w:pPr>
          </w:p>
        </w:tc>
        <w:tc>
          <w:tcPr>
            <w:tcW w:w="10100" w:type="dxa"/>
            <w:vAlign w:val="bottom"/>
            <w:gridSpan w:val="16"/>
          </w:tcPr>
          <w:p>
            <w:pPr>
              <w:spacing w:after="0" w:line="169" w:lineRule="exact"/>
              <w:rPr>
                <w:rFonts w:ascii="Arial" w:cs="Arial" w:eastAsia="Arial" w:hAnsi="Arial"/>
                <w:sz w:val="16"/>
                <w:szCs w:val="16"/>
                <w:color w:val="0000EE"/>
              </w:rPr>
            </w:pPr>
            <w:hyperlink r:id="rId192">
              <w:r>
                <w:rPr>
                  <w:rFonts w:ascii="Arial" w:cs="Arial" w:eastAsia="Arial" w:hAnsi="Arial"/>
                  <w:sz w:val="16"/>
                  <w:szCs w:val="16"/>
                  <w:color w:val="0000EE"/>
                </w:rPr>
                <w:t>Report on Form 20-F filed with the Securities and Exchange Commission on March 24, 2020).</w:t>
              </w:r>
            </w:hyperlink>
          </w:p>
        </w:tc>
      </w:tr>
      <w:tr>
        <w:trPr>
          <w:trHeight w:val="20"/>
        </w:trPr>
        <w:tc>
          <w:tcPr>
            <w:tcW w:w="1160" w:type="dxa"/>
            <w:vAlign w:val="bottom"/>
          </w:tcPr>
          <w:p>
            <w:pPr>
              <w:spacing w:after="0" w:line="20" w:lineRule="exact"/>
              <w:rPr>
                <w:sz w:val="1"/>
                <w:szCs w:val="1"/>
                <w:color w:val="auto"/>
              </w:rPr>
            </w:pPr>
          </w:p>
        </w:tc>
        <w:tc>
          <w:tcPr>
            <w:tcW w:w="5980" w:type="dxa"/>
            <w:vAlign w:val="bottom"/>
            <w:gridSpan w:val="3"/>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0" w:type="dxa"/>
            <w:vAlign w:val="bottom"/>
            <w:gridSpan w:val="3"/>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3">
              <w:r>
                <w:rPr>
                  <w:rFonts w:ascii="Arial" w:cs="Arial" w:eastAsia="Arial" w:hAnsi="Arial"/>
                  <w:sz w:val="16"/>
                  <w:szCs w:val="16"/>
                  <w:u w:val="single" w:color="auto"/>
                  <w:color w:val="0000EE"/>
                </w:rPr>
                <w:t>4.16</w:t>
              </w:r>
            </w:hyperlink>
          </w:p>
        </w:tc>
        <w:tc>
          <w:tcPr>
            <w:tcW w:w="9920" w:type="dxa"/>
            <w:vAlign w:val="bottom"/>
            <w:tcBorders>
              <w:bottom w:val="single" w:sz="8" w:color="0000EE"/>
            </w:tcBorders>
            <w:gridSpan w:val="10"/>
          </w:tcPr>
          <w:p>
            <w:pPr>
              <w:spacing w:after="0"/>
              <w:rPr>
                <w:rFonts w:ascii="Arial" w:cs="Arial" w:eastAsia="Arial" w:hAnsi="Arial"/>
                <w:sz w:val="16"/>
                <w:szCs w:val="16"/>
                <w:color w:val="0000EE"/>
                <w:w w:val="89"/>
              </w:rPr>
            </w:pPr>
            <w:hyperlink r:id="rId193">
              <w:r>
                <w:rPr>
                  <w:rFonts w:ascii="Arial" w:cs="Arial" w:eastAsia="Arial" w:hAnsi="Arial"/>
                  <w:sz w:val="16"/>
                  <w:szCs w:val="16"/>
                  <w:color w:val="0000EE"/>
                  <w:w w:val="89"/>
                </w:rPr>
                <w:t>Promissory Note by and between the Registrant and Moshe Arkin, dated as of August 2, 2016 (incorporated by reference to Exhibit 10.12 of the Registration</w:t>
              </w:r>
            </w:hyperlink>
          </w:p>
        </w:tc>
        <w:tc>
          <w:tcPr>
            <w:tcW w:w="180" w:type="dxa"/>
            <w:vAlign w:val="bottom"/>
            <w:gridSpan w:val="6"/>
          </w:tcPr>
          <w:p>
            <w:pPr>
              <w:spacing w:after="0"/>
              <w:rPr>
                <w:sz w:val="24"/>
                <w:szCs w:val="24"/>
                <w:color w:val="auto"/>
              </w:rPr>
            </w:pPr>
          </w:p>
        </w:tc>
      </w:tr>
      <w:tr>
        <w:trPr>
          <w:trHeight w:val="169"/>
        </w:trPr>
        <w:tc>
          <w:tcPr>
            <w:tcW w:w="1160" w:type="dxa"/>
            <w:vAlign w:val="bottom"/>
          </w:tcPr>
          <w:p>
            <w:pPr>
              <w:spacing w:after="0"/>
              <w:rPr>
                <w:sz w:val="14"/>
                <w:szCs w:val="14"/>
                <w:color w:val="auto"/>
              </w:rPr>
            </w:pPr>
          </w:p>
        </w:tc>
        <w:tc>
          <w:tcPr>
            <w:tcW w:w="10100" w:type="dxa"/>
            <w:vAlign w:val="bottom"/>
            <w:gridSpan w:val="16"/>
          </w:tcPr>
          <w:p>
            <w:pPr>
              <w:spacing w:after="0" w:line="169" w:lineRule="exact"/>
              <w:rPr>
                <w:rFonts w:ascii="Arial" w:cs="Arial" w:eastAsia="Arial" w:hAnsi="Arial"/>
                <w:sz w:val="16"/>
                <w:szCs w:val="16"/>
                <w:color w:val="0000EE"/>
              </w:rPr>
            </w:pPr>
            <w:hyperlink r:id="rId193">
              <w:r>
                <w:rPr>
                  <w:rFonts w:ascii="Arial" w:cs="Arial" w:eastAsia="Arial" w:hAnsi="Arial"/>
                  <w:sz w:val="16"/>
                  <w:szCs w:val="16"/>
                  <w:color w:val="0000EE"/>
                </w:rPr>
                <w:t>Statement on Form F-1/A filed with the Securities and Exchange Commission on August 29, 2017).</w:t>
              </w:r>
            </w:hyperlink>
          </w:p>
        </w:tc>
      </w:tr>
      <w:tr>
        <w:trPr>
          <w:trHeight w:val="20"/>
        </w:trPr>
        <w:tc>
          <w:tcPr>
            <w:tcW w:w="1160" w:type="dxa"/>
            <w:vAlign w:val="bottom"/>
          </w:tcPr>
          <w:p>
            <w:pPr>
              <w:spacing w:after="0" w:line="20" w:lineRule="exact"/>
              <w:rPr>
                <w:sz w:val="1"/>
                <w:szCs w:val="1"/>
                <w:color w:val="auto"/>
              </w:rPr>
            </w:pPr>
          </w:p>
        </w:tc>
        <w:tc>
          <w:tcPr>
            <w:tcW w:w="6300" w:type="dxa"/>
            <w:vAlign w:val="bottom"/>
            <w:gridSpan w:val="4"/>
            <w:shd w:val="clear" w:color="auto" w:fill="0000EE"/>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100" w:type="dxa"/>
            <w:vAlign w:val="bottom"/>
            <w:gridSpan w:val="6"/>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4">
              <w:r>
                <w:rPr>
                  <w:rFonts w:ascii="Arial" w:cs="Arial" w:eastAsia="Arial" w:hAnsi="Arial"/>
                  <w:sz w:val="16"/>
                  <w:szCs w:val="16"/>
                  <w:u w:val="single" w:color="auto"/>
                  <w:color w:val="0000EE"/>
                </w:rPr>
                <w:t>4.17</w:t>
              </w:r>
            </w:hyperlink>
          </w:p>
        </w:tc>
        <w:tc>
          <w:tcPr>
            <w:tcW w:w="10020" w:type="dxa"/>
            <w:vAlign w:val="bottom"/>
            <w:tcBorders>
              <w:bottom w:val="single" w:sz="8" w:color="0000EE"/>
            </w:tcBorders>
            <w:gridSpan w:val="13"/>
          </w:tcPr>
          <w:p>
            <w:pPr>
              <w:spacing w:after="0"/>
              <w:rPr>
                <w:rFonts w:ascii="Arial" w:cs="Arial" w:eastAsia="Arial" w:hAnsi="Arial"/>
                <w:sz w:val="16"/>
                <w:szCs w:val="16"/>
                <w:color w:val="0000EE"/>
                <w:w w:val="88"/>
              </w:rPr>
            </w:pPr>
            <w:hyperlink r:id="rId194">
              <w:r>
                <w:rPr>
                  <w:rFonts w:ascii="Arial" w:cs="Arial" w:eastAsia="Arial" w:hAnsi="Arial"/>
                  <w:sz w:val="16"/>
                  <w:szCs w:val="16"/>
                  <w:color w:val="0000EE"/>
                  <w:w w:val="88"/>
                </w:rPr>
                <w:t>Schedule A, as amended, of Promissory Note by and between the Registrant and Moshe Arkin, dated as of June 28, 2017 (incorporated by reference to Exhibit</w:t>
              </w:r>
            </w:hyperlink>
          </w:p>
        </w:tc>
        <w:tc>
          <w:tcPr>
            <w:tcW w:w="80" w:type="dxa"/>
            <w:vAlign w:val="bottom"/>
            <w:gridSpan w:val="3"/>
          </w:tcPr>
          <w:p>
            <w:pPr>
              <w:spacing w:after="0"/>
              <w:rPr>
                <w:sz w:val="24"/>
                <w:szCs w:val="24"/>
                <w:color w:val="auto"/>
              </w:rPr>
            </w:pPr>
          </w:p>
        </w:tc>
      </w:tr>
      <w:tr>
        <w:trPr>
          <w:trHeight w:val="169"/>
        </w:trPr>
        <w:tc>
          <w:tcPr>
            <w:tcW w:w="1160" w:type="dxa"/>
            <w:vAlign w:val="bottom"/>
          </w:tcPr>
          <w:p>
            <w:pPr>
              <w:spacing w:after="0"/>
              <w:rPr>
                <w:sz w:val="14"/>
                <w:szCs w:val="14"/>
                <w:color w:val="auto"/>
              </w:rPr>
            </w:pPr>
          </w:p>
        </w:tc>
        <w:tc>
          <w:tcPr>
            <w:tcW w:w="7920" w:type="dxa"/>
            <w:vAlign w:val="bottom"/>
            <w:tcBorders>
              <w:bottom w:val="single" w:sz="8" w:color="0000EE"/>
            </w:tcBorders>
            <w:gridSpan w:val="7"/>
          </w:tcPr>
          <w:p>
            <w:pPr>
              <w:spacing w:after="0" w:line="169" w:lineRule="exact"/>
              <w:rPr>
                <w:rFonts w:ascii="Arial" w:cs="Arial" w:eastAsia="Arial" w:hAnsi="Arial"/>
                <w:sz w:val="16"/>
                <w:szCs w:val="16"/>
                <w:color w:val="0000EE"/>
                <w:w w:val="89"/>
              </w:rPr>
            </w:pPr>
            <w:hyperlink r:id="rId194">
              <w:r>
                <w:rPr>
                  <w:rFonts w:ascii="Arial" w:cs="Arial" w:eastAsia="Arial" w:hAnsi="Arial"/>
                  <w:sz w:val="16"/>
                  <w:szCs w:val="16"/>
                  <w:color w:val="0000EE"/>
                  <w:w w:val="89"/>
                </w:rPr>
                <w:t>10.</w:t>
              </w:r>
              <w:r>
                <w:rPr>
                  <w:rFonts w:ascii="Arial" w:cs="Arial" w:eastAsia="Arial" w:hAnsi="Arial"/>
                  <w:sz w:val="16"/>
                  <w:szCs w:val="16"/>
                  <w:u w:val="single" w:color="auto"/>
                  <w:color w:val="0000EE"/>
                  <w:w w:val="89"/>
                </w:rPr>
                <w:t>13</w:t>
              </w:r>
              <w:r>
                <w:rPr>
                  <w:rFonts w:ascii="Arial" w:cs="Arial" w:eastAsia="Arial" w:hAnsi="Arial"/>
                  <w:sz w:val="16"/>
                  <w:szCs w:val="16"/>
                  <w:color w:val="0000EE"/>
                  <w:w w:val="89"/>
                </w:rPr>
                <w:t xml:space="preserve"> of the Registration Statement on Form F-1/A filed with the Securities and Exchange Commission on August 29, 2017).</w:t>
              </w:r>
            </w:hyperlink>
          </w:p>
        </w:tc>
        <w:tc>
          <w:tcPr>
            <w:tcW w:w="2180" w:type="dxa"/>
            <w:vAlign w:val="bottom"/>
            <w:gridSpan w:val="9"/>
          </w:tcPr>
          <w:p>
            <w:pPr>
              <w:spacing w:after="0"/>
              <w:rPr>
                <w:sz w:val="14"/>
                <w:szCs w:val="14"/>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5">
              <w:r>
                <w:rPr>
                  <w:rFonts w:ascii="Arial" w:cs="Arial" w:eastAsia="Arial" w:hAnsi="Arial"/>
                  <w:sz w:val="16"/>
                  <w:szCs w:val="16"/>
                  <w:u w:val="single" w:color="auto"/>
                  <w:color w:val="0000EE"/>
                </w:rPr>
                <w:t>4.18</w:t>
              </w:r>
            </w:hyperlink>
          </w:p>
        </w:tc>
        <w:tc>
          <w:tcPr>
            <w:tcW w:w="10100" w:type="dxa"/>
            <w:vAlign w:val="bottom"/>
            <w:gridSpan w:val="16"/>
          </w:tcPr>
          <w:p>
            <w:pPr>
              <w:spacing w:after="0"/>
              <w:rPr>
                <w:rFonts w:ascii="Arial" w:cs="Arial" w:eastAsia="Arial" w:hAnsi="Arial"/>
                <w:sz w:val="16"/>
                <w:szCs w:val="16"/>
                <w:color w:val="0000EE"/>
                <w:w w:val="92"/>
              </w:rPr>
            </w:pPr>
            <w:hyperlink r:id="rId195">
              <w:r>
                <w:rPr>
                  <w:rFonts w:ascii="Arial" w:cs="Arial" w:eastAsia="Arial" w:hAnsi="Arial"/>
                  <w:sz w:val="16"/>
                  <w:szCs w:val="16"/>
                  <w:color w:val="0000EE"/>
                  <w:w w:val="92"/>
                </w:rPr>
                <w:t>Instrument of Conversion of Promissory Note by and between the Registrant and Moshe Arkin, dated as of August 22, 2017 (incorporated by reference to</w:t>
              </w:r>
            </w:hyperlink>
          </w:p>
        </w:tc>
      </w:tr>
      <w:tr>
        <w:trPr>
          <w:trHeight w:val="203"/>
        </w:trPr>
        <w:tc>
          <w:tcPr>
            <w:tcW w:w="1160" w:type="dxa"/>
            <w:vAlign w:val="bottom"/>
          </w:tcPr>
          <w:p>
            <w:pPr>
              <w:spacing w:after="0"/>
              <w:rPr>
                <w:sz w:val="17"/>
                <w:szCs w:val="17"/>
                <w:color w:val="auto"/>
              </w:rPr>
            </w:pPr>
          </w:p>
        </w:tc>
        <w:tc>
          <w:tcPr>
            <w:tcW w:w="10080" w:type="dxa"/>
            <w:vAlign w:val="bottom"/>
            <w:tcBorders>
              <w:top w:val="single" w:sz="8" w:color="0000EE"/>
            </w:tcBorders>
            <w:gridSpan w:val="15"/>
          </w:tcPr>
          <w:p>
            <w:pPr>
              <w:spacing w:after="0"/>
              <w:rPr>
                <w:rFonts w:ascii="Arial" w:cs="Arial" w:eastAsia="Arial" w:hAnsi="Arial"/>
                <w:sz w:val="16"/>
                <w:szCs w:val="16"/>
                <w:u w:val="single" w:color="auto"/>
                <w:color w:val="0000EE"/>
              </w:rPr>
            </w:pPr>
            <w:hyperlink r:id="rId195">
              <w:r>
                <w:rPr>
                  <w:rFonts w:ascii="Arial" w:cs="Arial" w:eastAsia="Arial" w:hAnsi="Arial"/>
                  <w:sz w:val="16"/>
                  <w:szCs w:val="16"/>
                  <w:u w:val="single" w:color="auto"/>
                  <w:color w:val="0000EE"/>
                </w:rPr>
                <w:t>Exhibit 10.14 of the Registration Statement on Form F-1/A filed with the Securities and Exchange Commission on August 29, 2017).</w:t>
              </w:r>
            </w:hyperlink>
          </w:p>
        </w:tc>
        <w:tc>
          <w:tcPr>
            <w:tcW w:w="20" w:type="dxa"/>
            <w:vAlign w:val="bottom"/>
          </w:tcPr>
          <w:p>
            <w:pPr>
              <w:spacing w:after="0"/>
              <w:rPr>
                <w:sz w:val="17"/>
                <w:szCs w:val="17"/>
                <w:color w:val="auto"/>
              </w:rPr>
            </w:pPr>
          </w:p>
        </w:tc>
      </w:tr>
      <w:tr>
        <w:trPr>
          <w:trHeight w:val="344"/>
        </w:trPr>
        <w:tc>
          <w:tcPr>
            <w:tcW w:w="1160" w:type="dxa"/>
            <w:vAlign w:val="bottom"/>
          </w:tcPr>
          <w:p>
            <w:pPr>
              <w:spacing w:after="0"/>
              <w:rPr>
                <w:rFonts w:ascii="Arial" w:cs="Arial" w:eastAsia="Arial" w:hAnsi="Arial"/>
                <w:sz w:val="16"/>
                <w:szCs w:val="16"/>
                <w:u w:val="single" w:color="auto"/>
                <w:color w:val="0000EE"/>
              </w:rPr>
            </w:pPr>
            <w:hyperlink r:id="rId196">
              <w:r>
                <w:rPr>
                  <w:rFonts w:ascii="Arial" w:cs="Arial" w:eastAsia="Arial" w:hAnsi="Arial"/>
                  <w:sz w:val="16"/>
                  <w:szCs w:val="16"/>
                  <w:u w:val="single" w:color="auto"/>
                  <w:color w:val="0000EE"/>
                </w:rPr>
                <w:t>4.19</w:t>
              </w:r>
            </w:hyperlink>
          </w:p>
        </w:tc>
        <w:tc>
          <w:tcPr>
            <w:tcW w:w="10060" w:type="dxa"/>
            <w:vAlign w:val="bottom"/>
            <w:tcBorders>
              <w:bottom w:val="single" w:sz="8" w:color="0000EE"/>
            </w:tcBorders>
            <w:gridSpan w:val="14"/>
          </w:tcPr>
          <w:p>
            <w:pPr>
              <w:spacing w:after="0"/>
              <w:rPr>
                <w:rFonts w:ascii="Arial" w:cs="Arial" w:eastAsia="Arial" w:hAnsi="Arial"/>
                <w:sz w:val="16"/>
                <w:szCs w:val="16"/>
                <w:color w:val="0000EE"/>
                <w:w w:val="89"/>
              </w:rPr>
            </w:pPr>
            <w:hyperlink r:id="rId196">
              <w:r>
                <w:rPr>
                  <w:rFonts w:ascii="Arial" w:cs="Arial" w:eastAsia="Arial" w:hAnsi="Arial"/>
                  <w:sz w:val="16"/>
                  <w:szCs w:val="16"/>
                  <w:color w:val="0000EE"/>
                  <w:w w:val="89"/>
                </w:rPr>
                <w:t>Assignment Agreement between the Registrant and Medicis Pharmaceutical Corporation, dated August 16, 2013 (incorporated by reference to Exhibit 10.15 of</w:t>
              </w:r>
            </w:hyperlink>
          </w:p>
        </w:tc>
        <w:tc>
          <w:tcPr>
            <w:tcW w:w="40" w:type="dxa"/>
            <w:vAlign w:val="bottom"/>
            <w:gridSpan w:val="2"/>
          </w:tcPr>
          <w:p>
            <w:pPr>
              <w:spacing w:after="0"/>
              <w:rPr>
                <w:sz w:val="24"/>
                <w:szCs w:val="24"/>
                <w:color w:val="auto"/>
              </w:rPr>
            </w:pPr>
          </w:p>
        </w:tc>
      </w:tr>
      <w:tr>
        <w:trPr>
          <w:trHeight w:val="169"/>
        </w:trPr>
        <w:tc>
          <w:tcPr>
            <w:tcW w:w="1160" w:type="dxa"/>
            <w:vAlign w:val="bottom"/>
          </w:tcPr>
          <w:p>
            <w:pPr>
              <w:spacing w:after="0"/>
              <w:rPr>
                <w:sz w:val="14"/>
                <w:szCs w:val="14"/>
                <w:color w:val="auto"/>
              </w:rPr>
            </w:pPr>
          </w:p>
        </w:tc>
        <w:tc>
          <w:tcPr>
            <w:tcW w:w="7360" w:type="dxa"/>
            <w:vAlign w:val="bottom"/>
            <w:tcBorders>
              <w:bottom w:val="single" w:sz="8" w:color="0000EE"/>
            </w:tcBorders>
            <w:gridSpan w:val="6"/>
          </w:tcPr>
          <w:p>
            <w:pPr>
              <w:spacing w:after="0" w:line="169" w:lineRule="exact"/>
              <w:rPr>
                <w:rFonts w:ascii="Arial" w:cs="Arial" w:eastAsia="Arial" w:hAnsi="Arial"/>
                <w:sz w:val="16"/>
                <w:szCs w:val="16"/>
                <w:color w:val="0000EE"/>
                <w:w w:val="89"/>
              </w:rPr>
            </w:pPr>
            <w:hyperlink r:id="rId196">
              <w:r>
                <w:rPr>
                  <w:rFonts w:ascii="Arial" w:cs="Arial" w:eastAsia="Arial" w:hAnsi="Arial"/>
                  <w:sz w:val="16"/>
                  <w:szCs w:val="16"/>
                  <w:color w:val="0000EE"/>
                  <w:w w:val="89"/>
                </w:rPr>
                <w:t>the Registration Statement on Form F-1/A filed with the Securities and Exchange Commission on August 29, 2017).</w:t>
              </w:r>
            </w:hyperlink>
          </w:p>
        </w:tc>
        <w:tc>
          <w:tcPr>
            <w:tcW w:w="2740" w:type="dxa"/>
            <w:vAlign w:val="bottom"/>
            <w:gridSpan w:val="10"/>
          </w:tcPr>
          <w:p>
            <w:pPr>
              <w:spacing w:after="0"/>
              <w:rPr>
                <w:sz w:val="14"/>
                <w:szCs w:val="14"/>
                <w:color w:val="auto"/>
              </w:rPr>
            </w:pPr>
          </w:p>
        </w:tc>
      </w:tr>
      <w:tr>
        <w:trPr>
          <w:trHeight w:val="358"/>
        </w:trPr>
        <w:tc>
          <w:tcPr>
            <w:tcW w:w="1160" w:type="dxa"/>
            <w:vAlign w:val="bottom"/>
          </w:tcPr>
          <w:p>
            <w:pPr>
              <w:spacing w:after="0"/>
              <w:rPr>
                <w:rFonts w:ascii="Arial" w:cs="Arial" w:eastAsia="Arial" w:hAnsi="Arial"/>
                <w:sz w:val="16"/>
                <w:szCs w:val="16"/>
                <w:u w:val="single" w:color="auto"/>
                <w:color w:val="0000EE"/>
              </w:rPr>
            </w:pPr>
            <w:hyperlink r:id="rId197">
              <w:r>
                <w:rPr>
                  <w:rFonts w:ascii="Arial" w:cs="Arial" w:eastAsia="Arial" w:hAnsi="Arial"/>
                  <w:sz w:val="16"/>
                  <w:szCs w:val="16"/>
                  <w:u w:val="single" w:color="auto"/>
                  <w:color w:val="0000EE"/>
                </w:rPr>
                <w:t>4.20∞</w:t>
              </w:r>
            </w:hyperlink>
          </w:p>
        </w:tc>
        <w:tc>
          <w:tcPr>
            <w:tcW w:w="10020" w:type="dxa"/>
            <w:vAlign w:val="bottom"/>
            <w:tcBorders>
              <w:bottom w:val="single" w:sz="8" w:color="0000EE"/>
            </w:tcBorders>
            <w:gridSpan w:val="13"/>
          </w:tcPr>
          <w:p>
            <w:pPr>
              <w:spacing w:after="0"/>
              <w:rPr>
                <w:rFonts w:ascii="Arial" w:cs="Arial" w:eastAsia="Arial" w:hAnsi="Arial"/>
                <w:sz w:val="16"/>
                <w:szCs w:val="16"/>
                <w:color w:val="0000EE"/>
                <w:w w:val="89"/>
              </w:rPr>
            </w:pPr>
            <w:hyperlink r:id="rId197">
              <w:r>
                <w:rPr>
                  <w:rFonts w:ascii="Arial" w:cs="Arial" w:eastAsia="Arial" w:hAnsi="Arial"/>
                  <w:sz w:val="16"/>
                  <w:szCs w:val="16"/>
                  <w:color w:val="0000EE"/>
                  <w:w w:val="89"/>
                </w:rPr>
                <w:t>Asset Transfer Agreement and Assignment Deed between Sol-Gel Technologies Ltd. and M. Arkin Dermatology Ltd., dated August 22, 2017 (incorporated by</w:t>
              </w:r>
            </w:hyperlink>
          </w:p>
        </w:tc>
        <w:tc>
          <w:tcPr>
            <w:tcW w:w="80" w:type="dxa"/>
            <w:vAlign w:val="bottom"/>
            <w:gridSpan w:val="3"/>
          </w:tcPr>
          <w:p>
            <w:pPr>
              <w:spacing w:after="0"/>
              <w:rPr>
                <w:sz w:val="24"/>
                <w:szCs w:val="24"/>
                <w:color w:val="auto"/>
              </w:rPr>
            </w:pPr>
          </w:p>
        </w:tc>
      </w:tr>
      <w:tr>
        <w:trPr>
          <w:trHeight w:val="203"/>
        </w:trPr>
        <w:tc>
          <w:tcPr>
            <w:tcW w:w="1160" w:type="dxa"/>
            <w:vAlign w:val="bottom"/>
          </w:tcPr>
          <w:p>
            <w:pPr>
              <w:spacing w:after="0"/>
              <w:rPr>
                <w:sz w:val="17"/>
                <w:szCs w:val="17"/>
                <w:color w:val="auto"/>
              </w:rPr>
            </w:pPr>
          </w:p>
        </w:tc>
        <w:tc>
          <w:tcPr>
            <w:tcW w:w="10100" w:type="dxa"/>
            <w:vAlign w:val="bottom"/>
            <w:gridSpan w:val="16"/>
          </w:tcPr>
          <w:p>
            <w:pPr>
              <w:spacing w:after="0"/>
              <w:rPr>
                <w:rFonts w:ascii="Arial" w:cs="Arial" w:eastAsia="Arial" w:hAnsi="Arial"/>
                <w:sz w:val="16"/>
                <w:szCs w:val="16"/>
                <w:u w:val="single" w:color="auto"/>
                <w:color w:val="0000EE"/>
                <w:w w:val="97"/>
              </w:rPr>
            </w:pPr>
            <w:hyperlink r:id="rId197">
              <w:r>
                <w:rPr>
                  <w:rFonts w:ascii="Arial" w:cs="Arial" w:eastAsia="Arial" w:hAnsi="Arial"/>
                  <w:sz w:val="16"/>
                  <w:szCs w:val="16"/>
                  <w:u w:val="single" w:color="auto"/>
                  <w:color w:val="0000EE"/>
                  <w:w w:val="97"/>
                </w:rPr>
                <w:t>reference to Exhibit 10.16 of the Registration Statement on Form F-1/A filed with the Securities and Exchange Commission on January 30, 2017).</w:t>
              </w:r>
            </w:hyperlink>
          </w:p>
        </w:tc>
      </w:tr>
      <w:tr>
        <w:trPr>
          <w:trHeight w:val="378"/>
        </w:trPr>
        <w:tc>
          <w:tcPr>
            <w:tcW w:w="1160" w:type="dxa"/>
            <w:vAlign w:val="bottom"/>
          </w:tcPr>
          <w:p>
            <w:pPr>
              <w:spacing w:after="0"/>
              <w:rPr>
                <w:rFonts w:ascii="Arial" w:cs="Arial" w:eastAsia="Arial" w:hAnsi="Arial"/>
                <w:sz w:val="16"/>
                <w:szCs w:val="16"/>
                <w:u w:val="single" w:color="auto"/>
                <w:color w:val="0000EE"/>
              </w:rPr>
            </w:pPr>
            <w:hyperlink w:anchor="page191">
              <w:r>
                <w:rPr>
                  <w:rFonts w:ascii="Arial" w:cs="Arial" w:eastAsia="Arial" w:hAnsi="Arial"/>
                  <w:sz w:val="16"/>
                  <w:szCs w:val="16"/>
                  <w:u w:val="single" w:color="auto"/>
                  <w:color w:val="0000EE"/>
                </w:rPr>
                <w:t>12.1</w:t>
              </w:r>
            </w:hyperlink>
          </w:p>
        </w:tc>
        <w:tc>
          <w:tcPr>
            <w:tcW w:w="10100" w:type="dxa"/>
            <w:vAlign w:val="bottom"/>
            <w:gridSpan w:val="16"/>
          </w:tcPr>
          <w:p>
            <w:pPr>
              <w:spacing w:after="0"/>
              <w:rPr>
                <w:rFonts w:ascii="Arial" w:cs="Arial" w:eastAsia="Arial" w:hAnsi="Arial"/>
                <w:sz w:val="16"/>
                <w:szCs w:val="16"/>
                <w:u w:val="single" w:color="auto"/>
                <w:color w:val="0000EE"/>
              </w:rPr>
            </w:pPr>
            <w:hyperlink w:anchor="page191">
              <w:r>
                <w:rPr>
                  <w:rFonts w:ascii="Arial" w:cs="Arial" w:eastAsia="Arial" w:hAnsi="Arial"/>
                  <w:sz w:val="16"/>
                  <w:szCs w:val="16"/>
                  <w:u w:val="single" w:color="auto"/>
                  <w:color w:val="0000EE"/>
                </w:rPr>
                <w:t>Certification by Chief Executive Officer pursuant to Section 302 of the Sarbanes-Oxley Act of 2002.</w:t>
              </w:r>
            </w:hyperlink>
          </w:p>
        </w:tc>
      </w:tr>
      <w:tr>
        <w:trPr>
          <w:trHeight w:val="378"/>
        </w:trPr>
        <w:tc>
          <w:tcPr>
            <w:tcW w:w="1160" w:type="dxa"/>
            <w:vAlign w:val="bottom"/>
          </w:tcPr>
          <w:p>
            <w:pPr>
              <w:spacing w:after="0"/>
              <w:rPr>
                <w:rFonts w:ascii="Arial" w:cs="Arial" w:eastAsia="Arial" w:hAnsi="Arial"/>
                <w:sz w:val="16"/>
                <w:szCs w:val="16"/>
                <w:u w:val="single" w:color="auto"/>
                <w:color w:val="0000EE"/>
              </w:rPr>
            </w:pPr>
            <w:hyperlink w:anchor="page192">
              <w:r>
                <w:rPr>
                  <w:rFonts w:ascii="Arial" w:cs="Arial" w:eastAsia="Arial" w:hAnsi="Arial"/>
                  <w:sz w:val="16"/>
                  <w:szCs w:val="16"/>
                  <w:u w:val="single" w:color="auto"/>
                  <w:color w:val="0000EE"/>
                </w:rPr>
                <w:t>12.2</w:t>
              </w:r>
            </w:hyperlink>
          </w:p>
        </w:tc>
        <w:tc>
          <w:tcPr>
            <w:tcW w:w="10100" w:type="dxa"/>
            <w:vAlign w:val="bottom"/>
            <w:gridSpan w:val="16"/>
          </w:tcPr>
          <w:p>
            <w:pPr>
              <w:spacing w:after="0"/>
              <w:rPr>
                <w:rFonts w:ascii="Arial" w:cs="Arial" w:eastAsia="Arial" w:hAnsi="Arial"/>
                <w:sz w:val="16"/>
                <w:szCs w:val="16"/>
                <w:u w:val="single" w:color="auto"/>
                <w:color w:val="0000EE"/>
              </w:rPr>
            </w:pPr>
            <w:hyperlink w:anchor="page192">
              <w:r>
                <w:rPr>
                  <w:rFonts w:ascii="Arial" w:cs="Arial" w:eastAsia="Arial" w:hAnsi="Arial"/>
                  <w:sz w:val="16"/>
                  <w:szCs w:val="16"/>
                  <w:u w:val="single" w:color="auto"/>
                  <w:color w:val="0000EE"/>
                </w:rPr>
                <w:t>Certification by Chief Financial Officer pursuant to Section 302 of the Sarbanes-Oxley Act of 2002.</w:t>
              </w:r>
            </w:hyperlink>
          </w:p>
        </w:tc>
      </w:tr>
      <w:tr>
        <w:trPr>
          <w:trHeight w:val="378"/>
        </w:trPr>
        <w:tc>
          <w:tcPr>
            <w:tcW w:w="1160" w:type="dxa"/>
            <w:vAlign w:val="bottom"/>
          </w:tcPr>
          <w:p>
            <w:pPr>
              <w:spacing w:after="0"/>
              <w:rPr>
                <w:rFonts w:ascii="Arial" w:cs="Arial" w:eastAsia="Arial" w:hAnsi="Arial"/>
                <w:sz w:val="16"/>
                <w:szCs w:val="16"/>
                <w:u w:val="single" w:color="auto"/>
                <w:color w:val="0000EE"/>
              </w:rPr>
            </w:pPr>
            <w:hyperlink w:anchor="page193">
              <w:r>
                <w:rPr>
                  <w:rFonts w:ascii="Arial" w:cs="Arial" w:eastAsia="Arial" w:hAnsi="Arial"/>
                  <w:sz w:val="16"/>
                  <w:szCs w:val="16"/>
                  <w:u w:val="single" w:color="auto"/>
                  <w:color w:val="0000EE"/>
                </w:rPr>
                <w:t>13</w:t>
              </w:r>
            </w:hyperlink>
          </w:p>
        </w:tc>
        <w:tc>
          <w:tcPr>
            <w:tcW w:w="10100" w:type="dxa"/>
            <w:vAlign w:val="bottom"/>
            <w:gridSpan w:val="16"/>
          </w:tcPr>
          <w:p>
            <w:pPr>
              <w:spacing w:after="0"/>
              <w:rPr>
                <w:rFonts w:ascii="Arial" w:cs="Arial" w:eastAsia="Arial" w:hAnsi="Arial"/>
                <w:sz w:val="16"/>
                <w:szCs w:val="16"/>
                <w:u w:val="single" w:color="auto"/>
                <w:color w:val="0000EE"/>
              </w:rPr>
            </w:pPr>
            <w:hyperlink w:anchor="page193">
              <w:r>
                <w:rPr>
                  <w:rFonts w:ascii="Arial" w:cs="Arial" w:eastAsia="Arial" w:hAnsi="Arial"/>
                  <w:sz w:val="16"/>
                  <w:szCs w:val="16"/>
                  <w:u w:val="single" w:color="auto"/>
                  <w:color w:val="0000EE"/>
                </w:rPr>
                <w:t>Certification by Chief Executive Officer and Chief Financial Officer pursuant to Section 906 of the Sarbanes-Oxley Act of 2002.</w:t>
              </w:r>
            </w:hyperlink>
          </w:p>
        </w:tc>
      </w:tr>
      <w:tr>
        <w:trPr>
          <w:trHeight w:val="378"/>
        </w:trPr>
        <w:tc>
          <w:tcPr>
            <w:tcW w:w="1160" w:type="dxa"/>
            <w:vAlign w:val="bottom"/>
          </w:tcPr>
          <w:p>
            <w:pPr>
              <w:spacing w:after="0"/>
              <w:rPr>
                <w:rFonts w:ascii="Arial" w:cs="Arial" w:eastAsia="Arial" w:hAnsi="Arial"/>
                <w:sz w:val="16"/>
                <w:szCs w:val="16"/>
                <w:u w:val="single" w:color="auto"/>
                <w:color w:val="0000EE"/>
              </w:rPr>
            </w:pPr>
            <w:hyperlink w:anchor="page194">
              <w:r>
                <w:rPr>
                  <w:rFonts w:ascii="Arial" w:cs="Arial" w:eastAsia="Arial" w:hAnsi="Arial"/>
                  <w:sz w:val="16"/>
                  <w:szCs w:val="16"/>
                  <w:u w:val="single" w:color="auto"/>
                  <w:color w:val="0000EE"/>
                </w:rPr>
                <w:t>15.1</w:t>
              </w:r>
            </w:hyperlink>
          </w:p>
        </w:tc>
        <w:tc>
          <w:tcPr>
            <w:tcW w:w="10100" w:type="dxa"/>
            <w:vAlign w:val="bottom"/>
            <w:gridSpan w:val="16"/>
          </w:tcPr>
          <w:p>
            <w:pPr>
              <w:spacing w:after="0"/>
              <w:rPr>
                <w:rFonts w:ascii="Arial" w:cs="Arial" w:eastAsia="Arial" w:hAnsi="Arial"/>
                <w:sz w:val="16"/>
                <w:szCs w:val="16"/>
                <w:u w:val="single" w:color="auto"/>
                <w:color w:val="0000EE"/>
              </w:rPr>
            </w:pPr>
            <w:hyperlink w:anchor="page194">
              <w:r>
                <w:rPr>
                  <w:rFonts w:ascii="Arial" w:cs="Arial" w:eastAsia="Arial" w:hAnsi="Arial"/>
                  <w:sz w:val="16"/>
                  <w:szCs w:val="16"/>
                  <w:u w:val="single" w:color="auto"/>
                  <w:color w:val="0000EE"/>
                </w:rPr>
                <w:t>Consent of Independent Registered Public Accounting Firm</w:t>
              </w:r>
            </w:hyperlink>
          </w:p>
        </w:tc>
      </w:tr>
    </w:tbl>
    <w:p>
      <w:pPr>
        <w:spacing w:after="0" w:line="178" w:lineRule="exact"/>
        <w:rPr>
          <w:sz w:val="20"/>
          <w:szCs w:val="20"/>
          <w:color w:val="auto"/>
        </w:rPr>
      </w:pPr>
    </w:p>
    <w:p>
      <w:pPr>
        <w:jc w:val="both"/>
        <w:ind w:left="1165" w:right="20" w:hanging="1165"/>
        <w:spacing w:after="0" w:line="257" w:lineRule="auto"/>
        <w:tabs>
          <w:tab w:leader="none" w:pos="1165" w:val="left"/>
        </w:tabs>
        <w:numPr>
          <w:ilvl w:val="0"/>
          <w:numId w:val="144"/>
        </w:numPr>
        <w:rPr>
          <w:rFonts w:ascii="Arial" w:cs="Arial" w:eastAsia="Arial" w:hAnsi="Arial"/>
          <w:sz w:val="16"/>
          <w:szCs w:val="16"/>
          <w:color w:val="auto"/>
        </w:rPr>
      </w:pPr>
      <w:r>
        <w:rPr>
          <w:rFonts w:ascii="Arial" w:cs="Arial" w:eastAsia="Arial" w:hAnsi="Arial"/>
          <w:sz w:val="16"/>
          <w:szCs w:val="16"/>
          <w:color w:val="auto"/>
        </w:rPr>
        <w:t>The following financial statements from the Company’s 20-F for the fiscal year ended December 31, 2020 formatted in XBRL: (i) Consolidated Statements of Comprehensive Loss, (ii) Consolidated Statements of Financial Position, (iii) Consolidated Statements of Changes in Equity, (iv) Consolidated Statements of Cash Flows, and (v) Notes to the Consolidated Financial Statements.</w:t>
      </w:r>
    </w:p>
    <w:p>
      <w:pPr>
        <w:spacing w:after="0" w:line="166" w:lineRule="exact"/>
        <w:rPr>
          <w:sz w:val="20"/>
          <w:szCs w:val="20"/>
          <w:color w:val="auto"/>
        </w:rPr>
      </w:pPr>
    </w:p>
    <w:p>
      <w:pPr>
        <w:ind w:left="1165" w:hanging="1165"/>
        <w:spacing w:after="0"/>
        <w:tabs>
          <w:tab w:leader="none" w:pos="1165" w:val="left"/>
        </w:tabs>
        <w:numPr>
          <w:ilvl w:val="0"/>
          <w:numId w:val="145"/>
        </w:numPr>
        <w:rPr>
          <w:rFonts w:ascii="Arial" w:cs="Arial" w:eastAsia="Arial" w:hAnsi="Arial"/>
          <w:sz w:val="16"/>
          <w:szCs w:val="16"/>
          <w:color w:val="auto"/>
        </w:rPr>
      </w:pPr>
      <w:r>
        <w:rPr>
          <w:rFonts w:ascii="Arial" w:cs="Arial" w:eastAsia="Arial" w:hAnsi="Arial"/>
          <w:sz w:val="16"/>
          <w:szCs w:val="16"/>
          <w:color w:val="auto"/>
        </w:rPr>
        <w:t>Confidential treatment granted with respect to certain portions of this Exhibit.</w:t>
      </w:r>
    </w:p>
    <w:p>
      <w:pPr>
        <w:spacing w:after="0" w:line="194" w:lineRule="exact"/>
        <w:rPr>
          <w:sz w:val="20"/>
          <w:szCs w:val="20"/>
          <w:color w:val="auto"/>
        </w:rPr>
      </w:pPr>
    </w:p>
    <w:p>
      <w:pPr>
        <w:ind w:left="1165" w:hanging="1165"/>
        <w:spacing w:after="0"/>
        <w:tabs>
          <w:tab w:leader="none" w:pos="1165" w:val="left"/>
        </w:tabs>
        <w:numPr>
          <w:ilvl w:val="0"/>
          <w:numId w:val="146"/>
        </w:numPr>
        <w:rPr>
          <w:rFonts w:ascii="Arial" w:cs="Arial" w:eastAsia="Arial" w:hAnsi="Arial"/>
          <w:sz w:val="16"/>
          <w:szCs w:val="16"/>
          <w:color w:val="auto"/>
        </w:rPr>
      </w:pPr>
      <w:r>
        <w:rPr>
          <w:rFonts w:ascii="Arial" w:cs="Arial" w:eastAsia="Arial" w:hAnsi="Arial"/>
          <w:sz w:val="16"/>
          <w:szCs w:val="16"/>
          <w:color w:val="auto"/>
        </w:rPr>
        <w:t>Informal translation of the original Hebrew document.</w:t>
      </w:r>
    </w:p>
    <w:p>
      <w:pPr>
        <w:spacing w:after="0" w:line="389"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09" w:right="319" w:bottom="1440" w:gutter="0" w:footer="0" w:header="0"/>
        </w:sectPr>
      </w:pPr>
    </w:p>
    <w:bookmarkStart w:id="148" w:name="page149"/>
    <w:bookmarkEnd w:id="148"/>
    <w:p>
      <w:pPr>
        <w:jc w:val="center"/>
        <w:spacing w:after="0"/>
        <w:rPr>
          <w:sz w:val="20"/>
          <w:szCs w:val="20"/>
          <w:color w:val="auto"/>
        </w:rPr>
      </w:pPr>
      <w:r>
        <w:rPr>
          <w:rFonts w:ascii="Arial" w:cs="Arial" w:eastAsia="Arial" w:hAnsi="Arial"/>
          <w:sz w:val="19"/>
          <w:szCs w:val="19"/>
          <w:u w:val="single" w:color="auto"/>
          <w:color w:val="auto"/>
        </w:rPr>
        <w:t>SIGNATURE</w:t>
      </w:r>
    </w:p>
    <w:p>
      <w:pPr>
        <w:spacing w:after="0" w:line="255" w:lineRule="exact"/>
        <w:rPr>
          <w:sz w:val="20"/>
          <w:szCs w:val="20"/>
          <w:color w:val="auto"/>
        </w:rPr>
      </w:pPr>
    </w:p>
    <w:p>
      <w:pPr>
        <w:spacing w:after="0" w:line="284" w:lineRule="auto"/>
        <w:rPr>
          <w:sz w:val="20"/>
          <w:szCs w:val="20"/>
          <w:color w:val="auto"/>
        </w:rPr>
      </w:pPr>
      <w:r>
        <w:rPr>
          <w:rFonts w:ascii="Arial" w:cs="Arial" w:eastAsia="Arial" w:hAnsi="Arial"/>
          <w:sz w:val="19"/>
          <w:szCs w:val="19"/>
          <w:color w:val="auto"/>
        </w:rPr>
        <w:t>The Registrant hereby certifies that it meets all of the requirements for filing on Form 20-F and that it has duly caused and authorized the undersigned to sign this annual report on its behalf.</w:t>
      </w:r>
    </w:p>
    <w:p>
      <w:pPr>
        <w:spacing w:after="0" w:line="187" w:lineRule="exact"/>
        <w:rPr>
          <w:sz w:val="20"/>
          <w:szCs w:val="20"/>
          <w:color w:val="auto"/>
        </w:rPr>
      </w:pPr>
    </w:p>
    <w:p>
      <w:pPr>
        <w:ind w:left="5640"/>
        <w:spacing w:after="0"/>
        <w:rPr>
          <w:sz w:val="20"/>
          <w:szCs w:val="20"/>
          <w:color w:val="auto"/>
        </w:rPr>
      </w:pPr>
      <w:r>
        <w:rPr>
          <w:rFonts w:ascii="Arial" w:cs="Arial" w:eastAsia="Arial" w:hAnsi="Arial"/>
          <w:sz w:val="16"/>
          <w:szCs w:val="16"/>
          <w:color w:val="auto"/>
        </w:rPr>
        <w:t>SOL-GEL TECHNOLOGIES LTD.</w:t>
      </w:r>
    </w:p>
    <w:p>
      <w:pPr>
        <w:spacing w:after="0" w:line="194" w:lineRule="exact"/>
        <w:rPr>
          <w:sz w:val="20"/>
          <w:szCs w:val="20"/>
          <w:color w:val="auto"/>
        </w:rPr>
      </w:pPr>
    </w:p>
    <w:p>
      <w:pPr>
        <w:ind w:left="5640"/>
        <w:spacing w:after="0"/>
        <w:rPr>
          <w:sz w:val="20"/>
          <w:szCs w:val="20"/>
          <w:color w:val="auto"/>
        </w:rPr>
      </w:pPr>
      <w:r>
        <w:rPr>
          <w:rFonts w:ascii="Arial" w:cs="Arial" w:eastAsia="Arial" w:hAnsi="Arial"/>
          <w:sz w:val="16"/>
          <w:szCs w:val="16"/>
          <w:color w:val="auto"/>
        </w:rPr>
        <w:t>By:  /s/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3789045</wp:posOffset>
            </wp:positionH>
            <wp:positionV relativeFrom="paragraph">
              <wp:posOffset>11430</wp:posOffset>
            </wp:positionV>
            <wp:extent cx="3356610" cy="1524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9">
                      <a:extLst>
                        <a:ext uri="{28A0092B-C50C-407E-A947-70E740481C1C}"/>
                      </a:extLst>
                    </a:blip>
                    <a:srcRect/>
                    <a:stretch>
                      <a:fillRect/>
                    </a:stretch>
                  </pic:blipFill>
                  <pic:spPr bwMode="auto">
                    <a:xfrm>
                      <a:off x="0" y="0"/>
                      <a:ext cx="3356610" cy="15240"/>
                    </a:xfrm>
                    <a:prstGeom prst="rect">
                      <a:avLst/>
                    </a:prstGeom>
                    <a:noFill/>
                  </pic:spPr>
                </pic:pic>
              </a:graphicData>
            </a:graphic>
          </wp:anchor>
        </w:drawing>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6"/>
          <w:szCs w:val="16"/>
          <w:color w:val="auto"/>
        </w:rPr>
        <w:t>Name: Alon Seri-Levy</w:t>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6"/>
          <w:szCs w:val="16"/>
          <w:color w:val="auto"/>
        </w:rPr>
        <w:t>Title:  Chief Executive Officer and Director</w:t>
      </w:r>
    </w:p>
    <w:p>
      <w:pPr>
        <w:spacing w:after="0" w:line="183" w:lineRule="exact"/>
        <w:rPr>
          <w:sz w:val="20"/>
          <w:szCs w:val="20"/>
          <w:color w:val="auto"/>
        </w:rPr>
      </w:pPr>
    </w:p>
    <w:p>
      <w:pPr>
        <w:ind w:left="5640"/>
        <w:spacing w:after="0"/>
        <w:rPr>
          <w:sz w:val="20"/>
          <w:szCs w:val="20"/>
          <w:color w:val="auto"/>
        </w:rPr>
      </w:pPr>
      <w:r>
        <w:rPr>
          <w:rFonts w:ascii="Arial" w:cs="Arial" w:eastAsia="Arial" w:hAnsi="Arial"/>
          <w:sz w:val="16"/>
          <w:szCs w:val="16"/>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3789045</wp:posOffset>
            </wp:positionH>
            <wp:positionV relativeFrom="paragraph">
              <wp:posOffset>11430</wp:posOffset>
            </wp:positionV>
            <wp:extent cx="3356610" cy="1524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0">
                      <a:extLst>
                        <a:ext uri="{28A0092B-C50C-407E-A947-70E740481C1C}"/>
                      </a:extLst>
                    </a:blip>
                    <a:srcRect/>
                    <a:stretch>
                      <a:fillRect/>
                    </a:stretch>
                  </pic:blipFill>
                  <pic:spPr bwMode="auto">
                    <a:xfrm>
                      <a:off x="0" y="0"/>
                      <a:ext cx="3356610" cy="15240"/>
                    </a:xfrm>
                    <a:prstGeom prst="rect">
                      <a:avLst/>
                    </a:prstGeom>
                    <a:noFill/>
                  </pic:spPr>
                </pic:pic>
              </a:graphicData>
            </a:graphic>
          </wp:anchor>
        </w:drawing>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6"/>
          <w:szCs w:val="16"/>
          <w:color w:val="auto"/>
        </w:rPr>
        <w:t>Name: Gilad Mamlok</w:t>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6"/>
          <w:szCs w:val="16"/>
          <w:color w:val="auto"/>
        </w:rPr>
        <w:t>Title:  Chief Financial Officer</w:t>
      </w:r>
    </w:p>
    <w:p>
      <w:pPr>
        <w:spacing w:after="0" w:line="236" w:lineRule="exact"/>
        <w:rPr>
          <w:sz w:val="20"/>
          <w:szCs w:val="20"/>
          <w:color w:val="auto"/>
        </w:rPr>
      </w:pPr>
    </w:p>
    <w:p>
      <w:pPr>
        <w:spacing w:after="0"/>
        <w:rPr>
          <w:sz w:val="20"/>
          <w:szCs w:val="20"/>
          <w:color w:val="auto"/>
        </w:rPr>
      </w:pPr>
      <w:r>
        <w:rPr>
          <w:rFonts w:ascii="Arial" w:cs="Arial" w:eastAsia="Arial" w:hAnsi="Arial"/>
          <w:sz w:val="19"/>
          <w:szCs w:val="19"/>
          <w:color w:val="auto"/>
        </w:rPr>
        <w:t>Date: March 4, 2021</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32" w:right="319" w:bottom="1440" w:gutter="0" w:footer="0" w:header="0"/>
        </w:sectPr>
      </w:pPr>
    </w:p>
    <w:bookmarkStart w:id="149" w:name="page150"/>
    <w:bookmarkEnd w:id="149"/>
    <w:p>
      <w:pPr>
        <w:jc w:val="center"/>
        <w:ind w:right="19"/>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19"/>
          <w:szCs w:val="19"/>
          <w:b w:val="1"/>
          <w:bCs w:val="1"/>
          <w:color w:val="auto"/>
        </w:rPr>
        <w:t>CONSOLIDATED FINANCIAL STATEMENTS</w:t>
      </w:r>
    </w:p>
    <w:p>
      <w:pPr>
        <w:spacing w:after="0" w:line="18" w:lineRule="exact"/>
        <w:rPr>
          <w:sz w:val="20"/>
          <w:szCs w:val="20"/>
          <w:color w:val="auto"/>
        </w:rPr>
      </w:pPr>
    </w:p>
    <w:p>
      <w:pPr>
        <w:jc w:val="center"/>
        <w:ind w:right="19"/>
        <w:spacing w:after="0"/>
        <w:rPr>
          <w:sz w:val="20"/>
          <w:szCs w:val="20"/>
          <w:color w:val="auto"/>
        </w:rPr>
      </w:pPr>
      <w:r>
        <w:rPr>
          <w:rFonts w:ascii="Arial" w:cs="Arial" w:eastAsia="Arial" w:hAnsi="Arial"/>
          <w:sz w:val="19"/>
          <w:szCs w:val="19"/>
          <w:b w:val="1"/>
          <w:bCs w:val="1"/>
          <w:color w:val="auto"/>
        </w:rPr>
        <w:t>AS OF DECEMBER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-713740</wp:posOffset>
            </wp:positionH>
            <wp:positionV relativeFrom="paragraph">
              <wp:posOffset>260985</wp:posOffset>
            </wp:positionV>
            <wp:extent cx="7149465" cy="1524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9019"/>
          </w:cols>
          <w:pgMar w:left="1440" w:top="126" w:right="1440" w:bottom="1440" w:gutter="0" w:footer="0" w:header="0"/>
        </w:sectPr>
      </w:pPr>
    </w:p>
    <w:bookmarkStart w:id="150" w:name="page151"/>
    <w:bookmarkEnd w:id="150"/>
    <w:p>
      <w:pPr>
        <w:jc w:val="center"/>
        <w:ind w:right="20"/>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color w:val="auto"/>
        </w:rPr>
        <w:t>CONSOLIDATED FINANCIAL STATEMENTS</w:t>
      </w:r>
    </w:p>
    <w:p>
      <w:pPr>
        <w:spacing w:after="0" w:line="18"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color w:val="auto"/>
        </w:rPr>
        <w:t>AS OF DECEMBER 31, 2020</w:t>
      </w: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9"/>
          <w:szCs w:val="19"/>
          <w:b w:val="1"/>
          <w:bCs w:val="1"/>
          <w:color w:val="auto"/>
        </w:rPr>
        <w:t>TABLE OF CONTENTS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400" w:type="dxa"/>
            <w:vAlign w:val="bottom"/>
          </w:tcPr>
          <w:p>
            <w:pPr>
              <w:spacing w:after="0"/>
              <w:rPr>
                <w:sz w:val="17"/>
                <w:szCs w:val="17"/>
                <w:color w:val="auto"/>
              </w:rPr>
            </w:pPr>
          </w:p>
        </w:tc>
        <w:tc>
          <w:tcPr>
            <w:tcW w:w="860" w:type="dxa"/>
            <w:vAlign w:val="bottom"/>
          </w:tcPr>
          <w:p>
            <w:pPr>
              <w:jc w:val="center"/>
              <w:spacing w:after="0"/>
              <w:rPr>
                <w:sz w:val="20"/>
                <w:szCs w:val="20"/>
                <w:color w:val="auto"/>
              </w:rPr>
            </w:pPr>
            <w:r>
              <w:rPr>
                <w:rFonts w:ascii="Arial" w:cs="Arial" w:eastAsia="Arial" w:hAnsi="Arial"/>
                <w:sz w:val="16"/>
                <w:szCs w:val="16"/>
                <w:b w:val="1"/>
                <w:bCs w:val="1"/>
                <w:color w:val="auto"/>
                <w:w w:val="83"/>
              </w:rPr>
              <w:t>Page</w:t>
            </w:r>
          </w:p>
        </w:tc>
        <w:tc>
          <w:tcPr>
            <w:tcW w:w="0" w:type="dxa"/>
            <w:vAlign w:val="bottom"/>
          </w:tcPr>
          <w:p>
            <w:pPr>
              <w:spacing w:after="0"/>
              <w:rPr>
                <w:sz w:val="1"/>
                <w:szCs w:val="1"/>
                <w:color w:val="auto"/>
              </w:rPr>
            </w:pPr>
          </w:p>
        </w:tc>
      </w:tr>
      <w:tr>
        <w:trPr>
          <w:trHeight w:val="29"/>
        </w:trPr>
        <w:tc>
          <w:tcPr>
            <w:tcW w:w="10400" w:type="dxa"/>
            <w:vAlign w:val="bottom"/>
            <w:vMerge w:val="restart"/>
          </w:tcPr>
          <w:p>
            <w:pPr>
              <w:ind w:left="20"/>
              <w:spacing w:after="0"/>
              <w:rPr>
                <w:rFonts w:ascii="Arial" w:cs="Arial" w:eastAsia="Arial" w:hAnsi="Arial"/>
                <w:sz w:val="16"/>
                <w:szCs w:val="16"/>
                <w:b w:val="1"/>
                <w:bCs w:val="1"/>
                <w:u w:val="single" w:color="auto"/>
                <w:color w:val="0000EE"/>
              </w:rPr>
            </w:pPr>
            <w:hyperlink w:anchor="page152">
              <w:r>
                <w:rPr>
                  <w:rFonts w:ascii="Arial" w:cs="Arial" w:eastAsia="Arial" w:hAnsi="Arial"/>
                  <w:sz w:val="16"/>
                  <w:szCs w:val="16"/>
                  <w:b w:val="1"/>
                  <w:bCs w:val="1"/>
                  <w:u w:val="single" w:color="auto"/>
                  <w:color w:val="0000EE"/>
                </w:rPr>
                <w:t>REPORT OF INDEPENDENT REGISTERED PUBLIC ACCOUNTING FIRM</w:t>
              </w:r>
            </w:hyperlink>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2"/>
        </w:trPr>
        <w:tc>
          <w:tcPr>
            <w:tcW w:w="10400" w:type="dxa"/>
            <w:vAlign w:val="bottom"/>
            <w:vMerge w:val="continue"/>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91"/>
              </w:rPr>
              <w:t>F-2</w:t>
            </w:r>
          </w:p>
        </w:tc>
        <w:tc>
          <w:tcPr>
            <w:tcW w:w="0" w:type="dxa"/>
            <w:vAlign w:val="bottom"/>
          </w:tcPr>
          <w:p>
            <w:pPr>
              <w:spacing w:after="0"/>
              <w:rPr>
                <w:sz w:val="1"/>
                <w:szCs w:val="1"/>
                <w:color w:val="auto"/>
              </w:rPr>
            </w:pPr>
          </w:p>
        </w:tc>
      </w:tr>
      <w:tr>
        <w:trPr>
          <w:trHeight w:val="237"/>
        </w:trPr>
        <w:tc>
          <w:tcPr>
            <w:tcW w:w="10400" w:type="dxa"/>
            <w:vAlign w:val="bottom"/>
          </w:tcPr>
          <w:p>
            <w:pPr>
              <w:ind w:left="20"/>
              <w:spacing w:after="0"/>
              <w:rPr>
                <w:sz w:val="20"/>
                <w:szCs w:val="20"/>
                <w:color w:val="auto"/>
              </w:rPr>
            </w:pPr>
            <w:r>
              <w:rPr>
                <w:rFonts w:ascii="Arial" w:cs="Arial" w:eastAsia="Arial" w:hAnsi="Arial"/>
                <w:sz w:val="16"/>
                <w:szCs w:val="16"/>
                <w:b w:val="1"/>
                <w:bCs w:val="1"/>
                <w:color w:val="auto"/>
              </w:rPr>
              <w:t>CONSOLIDATED FINANCIAL STATEMENTS:</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10400" w:type="dxa"/>
            <w:vAlign w:val="bottom"/>
          </w:tcPr>
          <w:p>
            <w:pPr>
              <w:ind w:left="160"/>
              <w:spacing w:after="0"/>
              <w:rPr>
                <w:rFonts w:ascii="Arial" w:cs="Arial" w:eastAsia="Arial" w:hAnsi="Arial"/>
                <w:sz w:val="16"/>
                <w:szCs w:val="16"/>
                <w:u w:val="single" w:color="auto"/>
                <w:color w:val="0000EE"/>
              </w:rPr>
            </w:pPr>
            <w:hyperlink w:anchor="page153">
              <w:r>
                <w:rPr>
                  <w:rFonts w:ascii="Arial" w:cs="Arial" w:eastAsia="Arial" w:hAnsi="Arial"/>
                  <w:sz w:val="16"/>
                  <w:szCs w:val="16"/>
                  <w:u w:val="single" w:color="auto"/>
                  <w:color w:val="0000EE"/>
                </w:rPr>
                <w:t>Balance Sheets</w:t>
              </w:r>
            </w:hyperlink>
          </w:p>
        </w:tc>
        <w:tc>
          <w:tcPr>
            <w:tcW w:w="860" w:type="dxa"/>
            <w:vAlign w:val="bottom"/>
          </w:tcPr>
          <w:p>
            <w:pPr>
              <w:jc w:val="center"/>
              <w:spacing w:after="0"/>
              <w:rPr>
                <w:sz w:val="20"/>
                <w:szCs w:val="20"/>
                <w:color w:val="auto"/>
              </w:rPr>
            </w:pPr>
            <w:r>
              <w:rPr>
                <w:rFonts w:ascii="Arial" w:cs="Arial" w:eastAsia="Arial" w:hAnsi="Arial"/>
                <w:sz w:val="16"/>
                <w:szCs w:val="16"/>
                <w:color w:val="auto"/>
                <w:w w:val="91"/>
              </w:rPr>
              <w:t>F-3</w:t>
            </w:r>
          </w:p>
        </w:tc>
        <w:tc>
          <w:tcPr>
            <w:tcW w:w="0" w:type="dxa"/>
            <w:vAlign w:val="bottom"/>
          </w:tcPr>
          <w:p>
            <w:pPr>
              <w:spacing w:after="0"/>
              <w:rPr>
                <w:sz w:val="1"/>
                <w:szCs w:val="1"/>
                <w:color w:val="auto"/>
              </w:rPr>
            </w:pPr>
          </w:p>
        </w:tc>
      </w:tr>
      <w:tr>
        <w:trPr>
          <w:trHeight w:val="237"/>
        </w:trPr>
        <w:tc>
          <w:tcPr>
            <w:tcW w:w="10400" w:type="dxa"/>
            <w:vAlign w:val="bottom"/>
          </w:tcPr>
          <w:p>
            <w:pPr>
              <w:ind w:left="160"/>
              <w:spacing w:after="0"/>
              <w:rPr>
                <w:rFonts w:ascii="Arial" w:cs="Arial" w:eastAsia="Arial" w:hAnsi="Arial"/>
                <w:sz w:val="16"/>
                <w:szCs w:val="16"/>
                <w:u w:val="single" w:color="auto"/>
                <w:color w:val="0000EE"/>
              </w:rPr>
            </w:pPr>
            <w:hyperlink w:anchor="page154">
              <w:r>
                <w:rPr>
                  <w:rFonts w:ascii="Arial" w:cs="Arial" w:eastAsia="Arial" w:hAnsi="Arial"/>
                  <w:sz w:val="16"/>
                  <w:szCs w:val="16"/>
                  <w:u w:val="single" w:color="auto"/>
                  <w:color w:val="0000EE"/>
                </w:rPr>
                <w:t>Statements of Operations</w:t>
              </w:r>
            </w:hyperlink>
          </w:p>
        </w:tc>
        <w:tc>
          <w:tcPr>
            <w:tcW w:w="860" w:type="dxa"/>
            <w:vAlign w:val="bottom"/>
          </w:tcPr>
          <w:p>
            <w:pPr>
              <w:jc w:val="center"/>
              <w:spacing w:after="0"/>
              <w:rPr>
                <w:sz w:val="20"/>
                <w:szCs w:val="20"/>
                <w:color w:val="auto"/>
              </w:rPr>
            </w:pPr>
            <w:r>
              <w:rPr>
                <w:rFonts w:ascii="Arial" w:cs="Arial" w:eastAsia="Arial" w:hAnsi="Arial"/>
                <w:sz w:val="16"/>
                <w:szCs w:val="16"/>
                <w:color w:val="auto"/>
                <w:w w:val="91"/>
              </w:rPr>
              <w:t>F-4</w:t>
            </w:r>
          </w:p>
        </w:tc>
        <w:tc>
          <w:tcPr>
            <w:tcW w:w="0" w:type="dxa"/>
            <w:vAlign w:val="bottom"/>
          </w:tcPr>
          <w:p>
            <w:pPr>
              <w:spacing w:after="0"/>
              <w:rPr>
                <w:sz w:val="1"/>
                <w:szCs w:val="1"/>
                <w:color w:val="auto"/>
              </w:rPr>
            </w:pPr>
          </w:p>
        </w:tc>
      </w:tr>
      <w:tr>
        <w:trPr>
          <w:trHeight w:val="237"/>
        </w:trPr>
        <w:tc>
          <w:tcPr>
            <w:tcW w:w="10400" w:type="dxa"/>
            <w:vAlign w:val="bottom"/>
          </w:tcPr>
          <w:p>
            <w:pPr>
              <w:ind w:left="160"/>
              <w:spacing w:after="0"/>
              <w:rPr>
                <w:rFonts w:ascii="Arial" w:cs="Arial" w:eastAsia="Arial" w:hAnsi="Arial"/>
                <w:sz w:val="16"/>
                <w:szCs w:val="16"/>
                <w:u w:val="single" w:color="auto"/>
                <w:color w:val="0000EE"/>
              </w:rPr>
            </w:pPr>
            <w:hyperlink w:anchor="page155">
              <w:r>
                <w:rPr>
                  <w:rFonts w:ascii="Arial" w:cs="Arial" w:eastAsia="Arial" w:hAnsi="Arial"/>
                  <w:sz w:val="16"/>
                  <w:szCs w:val="16"/>
                  <w:u w:val="single" w:color="auto"/>
                  <w:color w:val="0000EE"/>
                </w:rPr>
                <w:t>Statements of Changes in Shareholders' Equity</w:t>
              </w:r>
            </w:hyperlink>
          </w:p>
        </w:tc>
        <w:tc>
          <w:tcPr>
            <w:tcW w:w="860" w:type="dxa"/>
            <w:vAlign w:val="bottom"/>
          </w:tcPr>
          <w:p>
            <w:pPr>
              <w:jc w:val="center"/>
              <w:spacing w:after="0"/>
              <w:rPr>
                <w:sz w:val="20"/>
                <w:szCs w:val="20"/>
                <w:color w:val="auto"/>
              </w:rPr>
            </w:pPr>
            <w:r>
              <w:rPr>
                <w:rFonts w:ascii="Arial" w:cs="Arial" w:eastAsia="Arial" w:hAnsi="Arial"/>
                <w:sz w:val="16"/>
                <w:szCs w:val="16"/>
                <w:color w:val="auto"/>
                <w:w w:val="91"/>
              </w:rPr>
              <w:t>F-5</w:t>
            </w:r>
          </w:p>
        </w:tc>
        <w:tc>
          <w:tcPr>
            <w:tcW w:w="0" w:type="dxa"/>
            <w:vAlign w:val="bottom"/>
          </w:tcPr>
          <w:p>
            <w:pPr>
              <w:spacing w:after="0"/>
              <w:rPr>
                <w:sz w:val="1"/>
                <w:szCs w:val="1"/>
                <w:color w:val="auto"/>
              </w:rPr>
            </w:pPr>
          </w:p>
        </w:tc>
      </w:tr>
      <w:tr>
        <w:trPr>
          <w:trHeight w:val="237"/>
        </w:trPr>
        <w:tc>
          <w:tcPr>
            <w:tcW w:w="10400" w:type="dxa"/>
            <w:vAlign w:val="bottom"/>
          </w:tcPr>
          <w:p>
            <w:pPr>
              <w:ind w:left="160"/>
              <w:spacing w:after="0"/>
              <w:rPr>
                <w:rFonts w:ascii="Arial" w:cs="Arial" w:eastAsia="Arial" w:hAnsi="Arial"/>
                <w:sz w:val="16"/>
                <w:szCs w:val="16"/>
                <w:u w:val="single" w:color="auto"/>
                <w:color w:val="0000EE"/>
              </w:rPr>
            </w:pPr>
            <w:hyperlink w:anchor="page156">
              <w:r>
                <w:rPr>
                  <w:rFonts w:ascii="Arial" w:cs="Arial" w:eastAsia="Arial" w:hAnsi="Arial"/>
                  <w:sz w:val="16"/>
                  <w:szCs w:val="16"/>
                  <w:u w:val="single" w:color="auto"/>
                  <w:color w:val="0000EE"/>
                </w:rPr>
                <w:t>Statements of Cash Flows</w:t>
              </w:r>
            </w:hyperlink>
          </w:p>
        </w:tc>
        <w:tc>
          <w:tcPr>
            <w:tcW w:w="860" w:type="dxa"/>
            <w:vAlign w:val="bottom"/>
          </w:tcPr>
          <w:p>
            <w:pPr>
              <w:jc w:val="center"/>
              <w:spacing w:after="0"/>
              <w:rPr>
                <w:sz w:val="20"/>
                <w:szCs w:val="20"/>
                <w:color w:val="auto"/>
              </w:rPr>
            </w:pPr>
            <w:r>
              <w:rPr>
                <w:rFonts w:ascii="Arial" w:cs="Arial" w:eastAsia="Arial" w:hAnsi="Arial"/>
                <w:sz w:val="16"/>
                <w:szCs w:val="16"/>
                <w:color w:val="auto"/>
                <w:w w:val="91"/>
              </w:rPr>
              <w:t>F-6</w:t>
            </w:r>
          </w:p>
        </w:tc>
        <w:tc>
          <w:tcPr>
            <w:tcW w:w="0" w:type="dxa"/>
            <w:vAlign w:val="bottom"/>
          </w:tcPr>
          <w:p>
            <w:pPr>
              <w:spacing w:after="0"/>
              <w:rPr>
                <w:sz w:val="1"/>
                <w:szCs w:val="1"/>
                <w:color w:val="auto"/>
              </w:rPr>
            </w:pPr>
          </w:p>
        </w:tc>
      </w:tr>
      <w:tr>
        <w:trPr>
          <w:trHeight w:val="237"/>
        </w:trPr>
        <w:tc>
          <w:tcPr>
            <w:tcW w:w="10400" w:type="dxa"/>
            <w:vAlign w:val="bottom"/>
          </w:tcPr>
          <w:p>
            <w:pPr>
              <w:ind w:left="160"/>
              <w:spacing w:after="0"/>
              <w:rPr>
                <w:rFonts w:ascii="Arial" w:cs="Arial" w:eastAsia="Arial" w:hAnsi="Arial"/>
                <w:sz w:val="16"/>
                <w:szCs w:val="16"/>
                <w:u w:val="single" w:color="auto"/>
                <w:color w:val="0000EE"/>
              </w:rPr>
            </w:pPr>
            <w:hyperlink w:anchor="page157">
              <w:r>
                <w:rPr>
                  <w:rFonts w:ascii="Arial" w:cs="Arial" w:eastAsia="Arial" w:hAnsi="Arial"/>
                  <w:sz w:val="16"/>
                  <w:szCs w:val="16"/>
                  <w:u w:val="single" w:color="auto"/>
                  <w:color w:val="0000EE"/>
                </w:rPr>
                <w:t>Notes to the Financial Statements</w:t>
              </w:r>
            </w:hyperlink>
          </w:p>
        </w:tc>
        <w:tc>
          <w:tcPr>
            <w:tcW w:w="860" w:type="dxa"/>
            <w:vAlign w:val="bottom"/>
          </w:tcPr>
          <w:p>
            <w:pPr>
              <w:jc w:val="center"/>
              <w:spacing w:after="0"/>
              <w:rPr>
                <w:sz w:val="20"/>
                <w:szCs w:val="20"/>
                <w:color w:val="auto"/>
              </w:rPr>
            </w:pPr>
            <w:r>
              <w:rPr>
                <w:rFonts w:ascii="Arial" w:cs="Arial" w:eastAsia="Arial" w:hAnsi="Arial"/>
                <w:sz w:val="16"/>
                <w:szCs w:val="16"/>
                <w:color w:val="auto"/>
                <w:w w:val="91"/>
              </w:rPr>
              <w:t>F-7</w:t>
            </w:r>
          </w:p>
        </w:tc>
        <w:tc>
          <w:tcPr>
            <w:tcW w:w="0" w:type="dxa"/>
            <w:vAlign w:val="bottom"/>
          </w:tcPr>
          <w:p>
            <w:pPr>
              <w:spacing w:after="0"/>
              <w:rPr>
                <w:sz w:val="1"/>
                <w:szCs w:val="1"/>
                <w:color w:val="auto"/>
              </w:rPr>
            </w:pPr>
          </w:p>
        </w:tc>
      </w:tr>
      <w:tr>
        <w:trPr>
          <w:trHeight w:val="419"/>
        </w:trPr>
        <w:tc>
          <w:tcPr>
            <w:tcW w:w="104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320" w:top="363" w:right="319" w:bottom="1440" w:gutter="0" w:footer="0" w:header="0"/>
        </w:sectPr>
      </w:pPr>
    </w:p>
    <w:bookmarkStart w:id="151" w:name="page152"/>
    <w:bookmarkEnd w:id="151"/>
    <w:p>
      <w:pPr>
        <w:spacing w:after="0" w:line="21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200025</wp:posOffset>
            </wp:positionH>
            <wp:positionV relativeFrom="page">
              <wp:posOffset>88900</wp:posOffset>
            </wp:positionV>
            <wp:extent cx="1141730" cy="96901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3">
                      <a:clrChange>
                        <a:clrFrom>
                          <a:srgbClr val="FFFFFF"/>
                        </a:clrFrom>
                        <a:clrTo>
                          <a:srgbClr val="FFFFFF">
                            <a:alpha val="0"/>
                          </a:srgbClr>
                        </a:clrTo>
                      </a:clrChange>
                      <a:extLst>
                        <a:ext uri="{28A0092B-C50C-407E-A947-70E740481C1C}"/>
                      </a:extLst>
                    </a:blip>
                    <a:srcRect/>
                    <a:stretch>
                      <a:fillRect/>
                    </a:stretch>
                  </pic:blipFill>
                  <pic:spPr bwMode="auto">
                    <a:xfrm>
                      <a:off x="0" y="0"/>
                      <a:ext cx="1141730" cy="969010"/>
                    </a:xfrm>
                    <a:prstGeom prst="rect">
                      <a:avLst/>
                    </a:prstGeom>
                    <a:noFill/>
                  </pic:spPr>
                </pic:pic>
              </a:graphicData>
            </a:graphic>
          </wp:anchor>
        </w:drawing>
      </w:r>
    </w:p>
    <w:p>
      <w:pPr>
        <w:ind w:left="3260"/>
        <w:spacing w:after="0"/>
        <w:rPr>
          <w:sz w:val="20"/>
          <w:szCs w:val="20"/>
          <w:color w:val="auto"/>
        </w:rPr>
      </w:pPr>
      <w:r>
        <w:rPr>
          <w:rFonts w:ascii="Arial" w:cs="Arial" w:eastAsia="Arial" w:hAnsi="Arial"/>
          <w:sz w:val="19"/>
          <w:szCs w:val="19"/>
          <w:b w:val="1"/>
          <w:bCs w:val="1"/>
          <w:color w:val="auto"/>
        </w:rPr>
        <w:t>Report of Independent Registered Public Accounting Firm</w:t>
      </w:r>
    </w:p>
    <w:p>
      <w:pPr>
        <w:spacing w:after="0" w:line="261" w:lineRule="exact"/>
        <w:rPr>
          <w:sz w:val="20"/>
          <w:szCs w:val="20"/>
          <w:color w:val="auto"/>
        </w:rPr>
      </w:pPr>
    </w:p>
    <w:p>
      <w:pPr>
        <w:spacing w:after="0"/>
        <w:rPr>
          <w:sz w:val="20"/>
          <w:szCs w:val="20"/>
          <w:color w:val="auto"/>
        </w:rPr>
      </w:pPr>
      <w:r>
        <w:rPr>
          <w:rFonts w:ascii="Arial" w:cs="Arial" w:eastAsia="Arial" w:hAnsi="Arial"/>
          <w:sz w:val="19"/>
          <w:szCs w:val="19"/>
          <w:color w:val="auto"/>
        </w:rPr>
        <w:t>To the board of directors and shareholders of Sol-Gel Technologies Ltd.</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Opinion on the Financial Statements</w:t>
      </w:r>
    </w:p>
    <w:p>
      <w:pPr>
        <w:spacing w:after="0" w:line="249" w:lineRule="exact"/>
        <w:rPr>
          <w:sz w:val="20"/>
          <w:szCs w:val="20"/>
          <w:color w:val="auto"/>
        </w:rPr>
      </w:pPr>
    </w:p>
    <w:p>
      <w:pPr>
        <w:jc w:val="both"/>
        <w:spacing w:after="0" w:line="283" w:lineRule="auto"/>
        <w:rPr>
          <w:sz w:val="20"/>
          <w:szCs w:val="20"/>
          <w:color w:val="auto"/>
        </w:rPr>
      </w:pPr>
      <w:r>
        <w:rPr>
          <w:rFonts w:ascii="Arial" w:cs="Arial" w:eastAsia="Arial" w:hAnsi="Arial"/>
          <w:sz w:val="18"/>
          <w:szCs w:val="18"/>
          <w:color w:val="auto"/>
        </w:rPr>
        <w:t>We have audited the accompanying consolidated balance sheets of Sol-Gel Technologies Ltd</w:t>
      </w:r>
      <w:r>
        <w:rPr>
          <w:rFonts w:ascii="Arial" w:cs="Arial" w:eastAsia="Arial" w:hAnsi="Arial"/>
          <w:sz w:val="18"/>
          <w:szCs w:val="18"/>
          <w:b w:val="1"/>
          <w:bCs w:val="1"/>
          <w:color w:val="auto"/>
        </w:rPr>
        <w:t>.</w:t>
      </w:r>
      <w:r>
        <w:rPr>
          <w:rFonts w:ascii="Arial" w:cs="Arial" w:eastAsia="Arial" w:hAnsi="Arial"/>
          <w:sz w:val="18"/>
          <w:szCs w:val="18"/>
          <w:color w:val="auto"/>
        </w:rPr>
        <w:t xml:space="preserve"> and its subsidiary (the “Company”) as of December 31, 2020 and 2019, and the related consolidated statements of operations, of changes in shareholders' equity and of cash flows for each of the three years in the period ended December 31, 2020, including the related notes (collectively referred to as the “consolidated financial statements”). In our opinion, the consolidated financial statements present fairly, in all material respects, the financial position of the Company as of December 31, 2020 and 2019, and the results of its operations and its cash flows for each of the three years in the period ended December 31, 2020 in conformity with accounting principles generally accepted in the United States of America.</w:t>
      </w:r>
    </w:p>
    <w:p>
      <w:pPr>
        <w:spacing w:after="0" w:line="197"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Change in Accounting Principle</w: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color w:val="auto"/>
        </w:rPr>
        <w:t>As discussed in Note 2(o) to the consolidated financial statements, the Company changed the manner in which it accounts for leases in 2019.</w:t>
      </w:r>
    </w:p>
    <w:p>
      <w:pPr>
        <w:spacing w:after="0" w:line="26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Basis for Opinion</w:t>
      </w:r>
    </w:p>
    <w:p>
      <w:pPr>
        <w:spacing w:after="0" w:line="255" w:lineRule="exact"/>
        <w:rPr>
          <w:sz w:val="20"/>
          <w:szCs w:val="20"/>
          <w:color w:val="auto"/>
        </w:rPr>
      </w:pPr>
    </w:p>
    <w:p>
      <w:pPr>
        <w:jc w:val="both"/>
        <w:spacing w:after="0" w:line="287" w:lineRule="auto"/>
        <w:rPr>
          <w:sz w:val="20"/>
          <w:szCs w:val="20"/>
          <w:color w:val="auto"/>
        </w:rPr>
      </w:pPr>
      <w:r>
        <w:rPr>
          <w:rFonts w:ascii="Arial" w:cs="Arial" w:eastAsia="Arial" w:hAnsi="Arial"/>
          <w:sz w:val="18"/>
          <w:szCs w:val="18"/>
          <w:color w:val="auto"/>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93" w:lineRule="exact"/>
        <w:rPr>
          <w:sz w:val="20"/>
          <w:szCs w:val="20"/>
          <w:color w:val="auto"/>
        </w:rPr>
      </w:pPr>
    </w:p>
    <w:p>
      <w:pPr>
        <w:jc w:val="both"/>
        <w:spacing w:after="0" w:line="304" w:lineRule="auto"/>
        <w:rPr>
          <w:sz w:val="20"/>
          <w:szCs w:val="20"/>
          <w:color w:val="auto"/>
        </w:rPr>
      </w:pPr>
      <w:r>
        <w:rPr>
          <w:rFonts w:ascii="Arial" w:cs="Arial" w:eastAsia="Arial" w:hAnsi="Arial"/>
          <w:sz w:val="17"/>
          <w:szCs w:val="17"/>
          <w:color w:val="auto"/>
        </w:rPr>
        <w:t>We conducted our audits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1" w:lineRule="exact"/>
        <w:rPr>
          <w:sz w:val="20"/>
          <w:szCs w:val="20"/>
          <w:color w:val="auto"/>
        </w:rPr>
      </w:pPr>
    </w:p>
    <w:p>
      <w:pPr>
        <w:jc w:val="both"/>
        <w:spacing w:after="0" w:line="265" w:lineRule="auto"/>
        <w:rPr>
          <w:sz w:val="20"/>
          <w:szCs w:val="20"/>
          <w:color w:val="auto"/>
        </w:rPr>
      </w:pPr>
      <w:r>
        <w:rPr>
          <w:rFonts w:ascii="Arial" w:cs="Arial" w:eastAsia="Arial" w:hAnsi="Arial"/>
          <w:sz w:val="19"/>
          <w:szCs w:val="19"/>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ectPr>
          <w:pgSz w:w="11900" w:h="16838" w:orient="portrait"/>
          <w:cols w:equalWidth="0" w:num="1">
            <w:col w:w="11260"/>
          </w:cols>
          <w:pgMar w:left="320" w:top="1440" w:right="319" w:bottom="1440" w:gutter="0" w:footer="0" w:header="0"/>
        </w:sectPr>
      </w:pPr>
    </w:p>
    <w:p>
      <w:pPr>
        <w:spacing w:after="0" w:line="208" w:lineRule="exact"/>
        <w:rPr>
          <w:sz w:val="20"/>
          <w:szCs w:val="20"/>
          <w:color w:val="auto"/>
        </w:rPr>
      </w:pPr>
    </w:p>
    <w:p>
      <w:pPr>
        <w:spacing w:after="0"/>
        <w:rPr>
          <w:sz w:val="20"/>
          <w:szCs w:val="20"/>
          <w:color w:val="auto"/>
        </w:rPr>
      </w:pPr>
      <w:r>
        <w:rPr>
          <w:rFonts w:ascii="Arial" w:cs="Arial" w:eastAsia="Arial" w:hAnsi="Arial"/>
          <w:sz w:val="14"/>
          <w:szCs w:val="14"/>
          <w:color w:val="auto"/>
        </w:rPr>
        <w:t>Tel-Aviv, Israel</w:t>
      </w:r>
    </w:p>
    <w:p>
      <w:pPr>
        <w:spacing w:after="0" w:line="39" w:lineRule="exact"/>
        <w:rPr>
          <w:sz w:val="20"/>
          <w:szCs w:val="20"/>
          <w:color w:val="auto"/>
        </w:rPr>
      </w:pPr>
    </w:p>
    <w:p>
      <w:pPr>
        <w:spacing w:after="0"/>
        <w:rPr>
          <w:sz w:val="20"/>
          <w:szCs w:val="20"/>
          <w:color w:val="auto"/>
        </w:rPr>
      </w:pPr>
      <w:r>
        <w:rPr>
          <w:rFonts w:ascii="Arial" w:cs="Arial" w:eastAsia="Arial" w:hAnsi="Arial"/>
          <w:sz w:val="15"/>
          <w:szCs w:val="15"/>
          <w:color w:val="auto"/>
        </w:rPr>
        <w:t>March 4, 2021</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color w:val="auto"/>
        </w:rPr>
        <w:t>/s/ Kesselman &amp; Kesselman</w:t>
      </w:r>
    </w:p>
    <w:p>
      <w:pPr>
        <w:spacing w:after="0" w:line="16" w:lineRule="exact"/>
        <w:rPr>
          <w:sz w:val="20"/>
          <w:szCs w:val="20"/>
          <w:color w:val="auto"/>
        </w:rPr>
      </w:pPr>
    </w:p>
    <w:p>
      <w:pPr>
        <w:spacing w:after="0"/>
        <w:rPr>
          <w:sz w:val="20"/>
          <w:szCs w:val="20"/>
          <w:color w:val="auto"/>
        </w:rPr>
      </w:pPr>
      <w:r>
        <w:rPr>
          <w:rFonts w:ascii="Arial" w:cs="Arial" w:eastAsia="Arial" w:hAnsi="Arial"/>
          <w:sz w:val="16"/>
          <w:szCs w:val="16"/>
          <w:color w:val="auto"/>
        </w:rPr>
        <w:t>Certified Public Accountants (Isr.)</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A member firm of PricewaterhouseCoopers International Limited</w:t>
      </w:r>
    </w:p>
    <w:p>
      <w:pPr>
        <w:spacing w:after="0" w:line="200" w:lineRule="exact"/>
        <w:rPr>
          <w:sz w:val="20"/>
          <w:szCs w:val="20"/>
          <w:color w:val="auto"/>
        </w:rPr>
      </w:pPr>
    </w:p>
    <w:p>
      <w:pPr>
        <w:sectPr>
          <w:pgSz w:w="11900" w:h="16838" w:orient="portrait"/>
          <w:cols w:equalWidth="0" w:num="2">
            <w:col w:w="4900" w:space="720"/>
            <w:col w:w="5640"/>
          </w:cols>
          <w:pgMar w:left="320" w:top="1440" w:right="319" w:bottom="1440" w:gutter="0" w:footer="0" w:header="0"/>
          <w:type w:val="continuous"/>
        </w:sectPr>
      </w:pPr>
    </w:p>
    <w:p>
      <w:pPr>
        <w:spacing w:after="0" w:line="59" w:lineRule="exact"/>
        <w:rPr>
          <w:sz w:val="20"/>
          <w:szCs w:val="20"/>
          <w:color w:val="auto"/>
        </w:rPr>
      </w:pPr>
    </w:p>
    <w:p>
      <w:pPr>
        <w:spacing w:after="0"/>
        <w:rPr>
          <w:sz w:val="20"/>
          <w:szCs w:val="20"/>
          <w:color w:val="auto"/>
        </w:rPr>
      </w:pPr>
      <w:r>
        <w:rPr>
          <w:rFonts w:ascii="Arial" w:cs="Arial" w:eastAsia="Arial" w:hAnsi="Arial"/>
          <w:sz w:val="19"/>
          <w:szCs w:val="19"/>
          <w:color w:val="auto"/>
        </w:rPr>
        <w:t>We have served as the Company's auditor since 2000.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226060</wp:posOffset>
            </wp:positionV>
            <wp:extent cx="7149465" cy="762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4">
                      <a:extLst>
                        <a:ext uri="{28A0092B-C50C-407E-A947-70E740481C1C}"/>
                      </a:extLst>
                    </a:blip>
                    <a:srcRect/>
                    <a:stretch>
                      <a:fillRect/>
                    </a:stretch>
                  </pic:blipFill>
                  <pic:spPr bwMode="auto">
                    <a:xfrm>
                      <a:off x="0" y="0"/>
                      <a:ext cx="7149465" cy="762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Kesselman &amp; Kesselman, 146 Derech Menachem Begin, Tel-Aviv 6492103, Israel,</w:t>
      </w:r>
    </w:p>
    <w:p>
      <w:pPr>
        <w:spacing w:after="0" w:line="2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P.O Box 7187 Tel-Aviv 6107120, Telephone: +972 -3- 7954555, Fax:+972 -3- 7954556, www.pwc.com/il</w:t>
      </w:r>
    </w:p>
    <w:p>
      <w:pPr>
        <w:spacing w:after="0" w:line="200" w:lineRule="exact"/>
        <w:rPr>
          <w:sz w:val="20"/>
          <w:szCs w:val="20"/>
          <w:color w:val="auto"/>
        </w:rPr>
      </w:pPr>
    </w:p>
    <w:p>
      <w:pPr>
        <w:spacing w:after="0" w:line="227"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440" w:right="319" w:bottom="1440" w:gutter="0" w:footer="0" w:header="0"/>
          <w:type w:val="continuous"/>
        </w:sectPr>
      </w:pPr>
    </w:p>
    <w:bookmarkStart w:id="152" w:name="page153"/>
    <w:bookmarkEnd w:id="152"/>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BALANCE SHEETS</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data)</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8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gridSpan w:val="4"/>
          </w:tcPr>
          <w:p>
            <w:pPr>
              <w:jc w:val="right"/>
              <w:spacing w:after="0"/>
              <w:rPr>
                <w:sz w:val="20"/>
                <w:szCs w:val="20"/>
                <w:color w:val="auto"/>
              </w:rPr>
            </w:pPr>
            <w:r>
              <w:rPr>
                <w:rFonts w:ascii="Arial" w:cs="Arial" w:eastAsia="Arial" w:hAnsi="Arial"/>
                <w:sz w:val="16"/>
                <w:szCs w:val="16"/>
                <w:b w:val="1"/>
                <w:bCs w:val="1"/>
                <w:color w:val="auto"/>
              </w:rPr>
              <w:t>December 31</w:t>
            </w:r>
          </w:p>
        </w:tc>
        <w:tc>
          <w:tcPr>
            <w:tcW w:w="74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41"/>
              <w:spacing w:after="0"/>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w w:val="89"/>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4040"/>
              <w:spacing w:after="0"/>
              <w:rPr>
                <w:sz w:val="20"/>
                <w:szCs w:val="20"/>
                <w:color w:val="auto"/>
              </w:rPr>
            </w:pPr>
            <w:r>
              <w:rPr>
                <w:rFonts w:ascii="Arial" w:cs="Arial" w:eastAsia="Arial" w:hAnsi="Arial"/>
                <w:sz w:val="16"/>
                <w:szCs w:val="16"/>
                <w:b w:val="1"/>
                <w:bCs w:val="1"/>
                <w:color w:val="auto"/>
              </w:rPr>
              <w:t>Assets</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spacing w:after="0"/>
              <w:rPr>
                <w:sz w:val="20"/>
                <w:szCs w:val="20"/>
                <w:color w:val="auto"/>
              </w:rPr>
            </w:pPr>
            <w:r>
              <w:rPr>
                <w:rFonts w:ascii="Arial" w:cs="Arial" w:eastAsia="Arial" w:hAnsi="Arial"/>
                <w:sz w:val="16"/>
                <w:szCs w:val="16"/>
                <w:b w:val="1"/>
                <w:bCs w:val="1"/>
                <w:color w:val="auto"/>
              </w:rPr>
              <w:t>CURRENT ASSETS: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Cash and cash equivalents</w:t>
            </w:r>
          </w:p>
        </w:tc>
        <w:tc>
          <w:tcPr>
            <w:tcW w:w="700" w:type="dxa"/>
            <w:vAlign w:val="bottom"/>
            <w:gridSpan w:val="2"/>
            <w:shd w:val="clear" w:color="auto" w:fill="CCEEFF"/>
          </w:tcPr>
          <w:p>
            <w:pPr>
              <w:jc w:val="right"/>
              <w:ind w:right="87"/>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9,412</w:t>
            </w:r>
          </w:p>
        </w:tc>
        <w:tc>
          <w:tcPr>
            <w:tcW w:w="120" w:type="dxa"/>
            <w:vAlign w:val="bottom"/>
            <w:shd w:val="clear" w:color="auto" w:fill="CCEEFF"/>
          </w:tcPr>
          <w:p>
            <w:pPr>
              <w:spacing w:after="0"/>
              <w:rPr>
                <w:sz w:val="16"/>
                <w:szCs w:val="16"/>
                <w:color w:val="auto"/>
              </w:rPr>
            </w:pPr>
          </w:p>
        </w:tc>
        <w:tc>
          <w:tcPr>
            <w:tcW w:w="460" w:type="dxa"/>
            <w:vAlign w:val="bottom"/>
            <w:gridSpan w:val="2"/>
            <w:shd w:val="clear" w:color="auto" w:fill="CCEEFF"/>
          </w:tcPr>
          <w:p>
            <w:pPr>
              <w:jc w:val="right"/>
              <w:ind w:right="207"/>
              <w:spacing w:after="0"/>
              <w:rPr>
                <w:sz w:val="20"/>
                <w:szCs w:val="20"/>
                <w:color w:val="auto"/>
              </w:rPr>
            </w:pPr>
            <w:r>
              <w:rPr>
                <w:rFonts w:ascii="Arial" w:cs="Arial" w:eastAsia="Arial" w:hAnsi="Arial"/>
                <w:sz w:val="16"/>
                <w:szCs w:val="16"/>
                <w:color w:val="auto"/>
              </w:rPr>
              <w:t>$</w:t>
            </w: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7,122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Bank deposits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21,400</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Marketable securities</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40,966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21,652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Receivables from collaborative arrangements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4,120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2,153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Prepaid expenses and other current assets</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1,293</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1,074</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820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3"/>
        </w:trPr>
        <w:tc>
          <w:tcPr>
            <w:tcW w:w="20" w:type="dxa"/>
            <w:vAlign w:val="bottom"/>
            <w:vMerge w:val="continue"/>
          </w:tcPr>
          <w:p>
            <w:pPr>
              <w:spacing w:after="0"/>
              <w:rPr>
                <w:sz w:val="16"/>
                <w:szCs w:val="16"/>
                <w:color w:val="auto"/>
              </w:rPr>
            </w:pPr>
          </w:p>
        </w:tc>
        <w:tc>
          <w:tcPr>
            <w:tcW w:w="8200" w:type="dxa"/>
            <w:vAlign w:val="bottom"/>
          </w:tcPr>
          <w:p>
            <w:pPr>
              <w:spacing w:after="0"/>
              <w:rPr>
                <w:sz w:val="20"/>
                <w:szCs w:val="20"/>
                <w:color w:val="auto"/>
              </w:rPr>
            </w:pPr>
            <w:r>
              <w:rPr>
                <w:rFonts w:ascii="Arial" w:cs="Arial" w:eastAsia="Arial" w:hAnsi="Arial"/>
                <w:sz w:val="16"/>
                <w:szCs w:val="16"/>
                <w:b w:val="1"/>
                <w:bCs w:val="1"/>
                <w:color w:val="auto"/>
              </w:rPr>
              <w:t>TOTAL CURRENT ASSETS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55,791</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53,401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NON-CURRENT ASSETS:</w:t>
            </w:r>
          </w:p>
        </w:tc>
        <w:tc>
          <w:tcPr>
            <w:tcW w:w="46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Restricted long-term deposits and cash</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472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1,293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Property and equipment, net</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2,314</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1,817</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Operating lease right-of-use assets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2,040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1,896</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Funds in respect of employee rights upon retirement</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684</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754</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820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3"/>
        </w:trPr>
        <w:tc>
          <w:tcPr>
            <w:tcW w:w="20" w:type="dxa"/>
            <w:vAlign w:val="bottom"/>
            <w:vMerge w:val="continue"/>
          </w:tcPr>
          <w:p>
            <w:pPr>
              <w:spacing w:after="0"/>
              <w:rPr>
                <w:sz w:val="16"/>
                <w:szCs w:val="16"/>
                <w:color w:val="auto"/>
              </w:rPr>
            </w:pPr>
          </w:p>
        </w:tc>
        <w:tc>
          <w:tcPr>
            <w:tcW w:w="8200" w:type="dxa"/>
            <w:vAlign w:val="bottom"/>
          </w:tcPr>
          <w:p>
            <w:pPr>
              <w:spacing w:after="0"/>
              <w:rPr>
                <w:sz w:val="20"/>
                <w:szCs w:val="20"/>
                <w:color w:val="auto"/>
              </w:rPr>
            </w:pPr>
            <w:r>
              <w:rPr>
                <w:rFonts w:ascii="Arial" w:cs="Arial" w:eastAsia="Arial" w:hAnsi="Arial"/>
                <w:sz w:val="16"/>
                <w:szCs w:val="16"/>
                <w:b w:val="1"/>
                <w:bCs w:val="1"/>
                <w:color w:val="auto"/>
              </w:rPr>
              <w:t>TOTAL NON-CURRENT ASSETS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5,510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5,760</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TOTAL ASSETS</w:t>
            </w:r>
          </w:p>
        </w:tc>
        <w:tc>
          <w:tcPr>
            <w:tcW w:w="4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61,301</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59,161</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8200" w:type="dxa"/>
            <w:vAlign w:val="bottom"/>
          </w:tcPr>
          <w:p>
            <w:pPr>
              <w:ind w:left="3060"/>
              <w:spacing w:after="0" w:line="177" w:lineRule="exact"/>
              <w:rPr>
                <w:sz w:val="20"/>
                <w:szCs w:val="20"/>
                <w:color w:val="auto"/>
              </w:rPr>
            </w:pPr>
            <w:r>
              <w:rPr>
                <w:rFonts w:ascii="Arial" w:cs="Arial" w:eastAsia="Arial" w:hAnsi="Arial"/>
                <w:sz w:val="16"/>
                <w:szCs w:val="16"/>
                <w:b w:val="1"/>
                <w:bCs w:val="1"/>
                <w:color w:val="auto"/>
              </w:rPr>
              <w:t>Liabilities and shareholders' equity</w:t>
            </w: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CURRENT LIABILITIES:</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Accounts payable</w:t>
            </w:r>
          </w:p>
        </w:tc>
        <w:tc>
          <w:tcPr>
            <w:tcW w:w="700" w:type="dxa"/>
            <w:vAlign w:val="bottom"/>
            <w:gridSpan w:val="2"/>
          </w:tcPr>
          <w:p>
            <w:pPr>
              <w:jc w:val="right"/>
              <w:ind w:right="87"/>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1,710</w:t>
            </w:r>
          </w:p>
        </w:tc>
        <w:tc>
          <w:tcPr>
            <w:tcW w:w="120" w:type="dxa"/>
            <w:vAlign w:val="bottom"/>
          </w:tcPr>
          <w:p>
            <w:pPr>
              <w:spacing w:after="0"/>
              <w:rPr>
                <w:sz w:val="16"/>
                <w:szCs w:val="16"/>
                <w:color w:val="auto"/>
              </w:rPr>
            </w:pPr>
          </w:p>
        </w:tc>
        <w:tc>
          <w:tcPr>
            <w:tcW w:w="460" w:type="dxa"/>
            <w:vAlign w:val="bottom"/>
            <w:gridSpan w:val="2"/>
          </w:tcPr>
          <w:p>
            <w:pPr>
              <w:jc w:val="right"/>
              <w:ind w:right="207"/>
              <w:spacing w:after="0"/>
              <w:rPr>
                <w:sz w:val="20"/>
                <w:szCs w:val="20"/>
                <w:color w:val="auto"/>
              </w:rPr>
            </w:pPr>
            <w:r>
              <w:rPr>
                <w:rFonts w:ascii="Arial" w:cs="Arial" w:eastAsia="Arial" w:hAnsi="Arial"/>
                <w:sz w:val="16"/>
                <w:szCs w:val="16"/>
                <w:color w:val="auto"/>
              </w:rPr>
              <w:t>$</w:t>
            </w: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1,203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Other accounts payable</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4,123</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4,088</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Current maturities of operating leases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672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673</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TOTAL CURRENT LIABILITIES</w:t>
            </w:r>
          </w:p>
        </w:tc>
        <w:tc>
          <w:tcPr>
            <w:tcW w:w="46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6,505</w:t>
            </w:r>
          </w:p>
        </w:tc>
        <w:tc>
          <w:tcPr>
            <w:tcW w:w="12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36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5,964</w:t>
            </w:r>
          </w:p>
        </w:tc>
        <w:tc>
          <w:tcPr>
            <w:tcW w:w="1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spacing w:after="0"/>
              <w:rPr>
                <w:sz w:val="20"/>
                <w:szCs w:val="20"/>
                <w:color w:val="auto"/>
              </w:rPr>
            </w:pPr>
            <w:r>
              <w:rPr>
                <w:rFonts w:ascii="Arial" w:cs="Arial" w:eastAsia="Arial" w:hAnsi="Arial"/>
                <w:sz w:val="16"/>
                <w:szCs w:val="16"/>
                <w:b w:val="1"/>
                <w:bCs w:val="1"/>
                <w:color w:val="auto"/>
              </w:rPr>
              <w:t>LONG-TERM LIABILITIES:</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00"/>
              <w:spacing w:after="0"/>
              <w:rPr>
                <w:sz w:val="20"/>
                <w:szCs w:val="20"/>
                <w:color w:val="auto"/>
              </w:rPr>
            </w:pPr>
            <w:r>
              <w:rPr>
                <w:rFonts w:ascii="Arial" w:cs="Arial" w:eastAsia="Arial" w:hAnsi="Arial"/>
                <w:sz w:val="16"/>
                <w:szCs w:val="16"/>
                <w:color w:val="auto"/>
              </w:rPr>
              <w:t>Operating leases liabilities</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1,373</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1,299</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Liability for employee rights upon retirement</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958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1,049</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TOTAL LONG-TERM LIABILITIES</w:t>
            </w:r>
          </w:p>
        </w:tc>
        <w:tc>
          <w:tcPr>
            <w:tcW w:w="4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2,331</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spacing w:after="0"/>
              <w:rPr>
                <w:sz w:val="19"/>
                <w:szCs w:val="19"/>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2,348</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8200" w:type="dxa"/>
            <w:vAlign w:val="bottom"/>
          </w:tcPr>
          <w:p>
            <w:pPr>
              <w:spacing w:after="0" w:line="177" w:lineRule="exact"/>
              <w:rPr>
                <w:sz w:val="20"/>
                <w:szCs w:val="20"/>
                <w:color w:val="auto"/>
              </w:rPr>
            </w:pPr>
            <w:r>
              <w:rPr>
                <w:rFonts w:ascii="Arial" w:cs="Arial" w:eastAsia="Arial" w:hAnsi="Arial"/>
                <w:sz w:val="16"/>
                <w:szCs w:val="16"/>
                <w:b w:val="1"/>
                <w:bCs w:val="1"/>
                <w:color w:val="auto"/>
              </w:rPr>
              <w:t>COMMITMENTS</w:t>
            </w: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TOTAL LIABILITIES</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8,836</w:t>
            </w: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8,312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Borders>
              <w:top w:val="single" w:sz="8" w:color="CCEEFF"/>
            </w:tcBorders>
          </w:tcPr>
          <w:p>
            <w:pPr>
              <w:spacing w:after="0"/>
              <w:rPr>
                <w:sz w:val="20"/>
                <w:szCs w:val="20"/>
                <w:color w:val="auto"/>
              </w:rPr>
            </w:pPr>
            <w:r>
              <w:rPr>
                <w:rFonts w:ascii="Arial" w:cs="Arial" w:eastAsia="Arial" w:hAnsi="Arial"/>
                <w:sz w:val="16"/>
                <w:szCs w:val="16"/>
                <w:b w:val="1"/>
                <w:bCs w:val="1"/>
                <w:color w:val="auto"/>
              </w:rPr>
              <w:t>SHAREHOLDERS' EQUITY:</w:t>
            </w:r>
          </w:p>
        </w:tc>
        <w:tc>
          <w:tcPr>
            <w:tcW w:w="460" w:type="dxa"/>
            <w:vAlign w:val="bottom"/>
            <w:tcBorders>
              <w:top w:val="single" w:sz="8" w:color="CCEEFF"/>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20" w:type="dxa"/>
            <w:vAlign w:val="bottom"/>
            <w:tcBorders>
              <w:top w:val="single" w:sz="8" w:color="CCEEFF"/>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740" w:type="dxa"/>
            <w:vAlign w:val="bottom"/>
            <w:tcBorders>
              <w:top w:val="single" w:sz="8" w:color="auto"/>
            </w:tcBorders>
          </w:tcPr>
          <w:p>
            <w:pPr>
              <w:spacing w:after="0"/>
              <w:rPr>
                <w:sz w:val="16"/>
                <w:szCs w:val="16"/>
                <w:color w:val="auto"/>
              </w:rPr>
            </w:pPr>
          </w:p>
        </w:tc>
        <w:tc>
          <w:tcPr>
            <w:tcW w:w="12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8200" w:type="dxa"/>
            <w:vAlign w:val="bottom"/>
            <w:shd w:val="clear" w:color="auto" w:fill="CCEEFF"/>
          </w:tcPr>
          <w:p>
            <w:pPr>
              <w:ind w:left="120"/>
              <w:spacing w:after="0" w:line="177" w:lineRule="exact"/>
              <w:rPr>
                <w:sz w:val="20"/>
                <w:szCs w:val="20"/>
                <w:color w:val="auto"/>
              </w:rPr>
            </w:pPr>
            <w:r>
              <w:rPr>
                <w:rFonts w:ascii="Arial" w:cs="Arial" w:eastAsia="Arial" w:hAnsi="Arial"/>
                <w:sz w:val="16"/>
                <w:szCs w:val="16"/>
                <w:color w:val="auto"/>
                <w:w w:val="93"/>
              </w:rPr>
              <w:t>Ordinary shares, NIS 0.1 par value – authorized: 50,000,000 as of December 31, 2019 and 2020, respectively; issued and</w:t>
            </w:r>
          </w:p>
        </w:tc>
        <w:tc>
          <w:tcPr>
            <w:tcW w:w="4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200" w:type="dxa"/>
            <w:vAlign w:val="bottom"/>
            <w:shd w:val="clear" w:color="auto" w:fill="CCEEFF"/>
          </w:tcPr>
          <w:p>
            <w:pPr>
              <w:ind w:left="540"/>
              <w:spacing w:after="0"/>
              <w:rPr>
                <w:sz w:val="20"/>
                <w:szCs w:val="20"/>
                <w:color w:val="auto"/>
              </w:rPr>
            </w:pPr>
            <w:r>
              <w:rPr>
                <w:rFonts w:ascii="Arial" w:cs="Arial" w:eastAsia="Arial" w:hAnsi="Arial"/>
                <w:sz w:val="16"/>
                <w:szCs w:val="16"/>
                <w:color w:val="auto"/>
              </w:rPr>
              <w:t>outstanding: 20,402,800 and 23,000,782 as of December 31, 2019 and December 31, 2020, respectively</w:t>
            </w:r>
          </w:p>
        </w:tc>
        <w:tc>
          <w:tcPr>
            <w:tcW w:w="4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561</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635</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tcPr>
          <w:p>
            <w:pPr>
              <w:ind w:left="120"/>
              <w:spacing w:after="0"/>
              <w:rPr>
                <w:sz w:val="20"/>
                <w:szCs w:val="20"/>
                <w:color w:val="auto"/>
              </w:rPr>
            </w:pPr>
            <w:r>
              <w:rPr>
                <w:rFonts w:ascii="Arial" w:cs="Arial" w:eastAsia="Arial" w:hAnsi="Arial"/>
                <w:sz w:val="16"/>
                <w:szCs w:val="16"/>
                <w:color w:val="auto"/>
              </w:rPr>
              <w:t>Additional paid-in capital</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203,977</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231,577</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00" w:type="dxa"/>
            <w:vAlign w:val="bottom"/>
            <w:shd w:val="clear" w:color="auto" w:fill="CCEEFF"/>
          </w:tcPr>
          <w:p>
            <w:pPr>
              <w:ind w:left="120"/>
              <w:spacing w:after="0"/>
              <w:rPr>
                <w:sz w:val="20"/>
                <w:szCs w:val="20"/>
                <w:color w:val="auto"/>
              </w:rPr>
            </w:pPr>
            <w:r>
              <w:rPr>
                <w:rFonts w:ascii="Arial" w:cs="Arial" w:eastAsia="Arial" w:hAnsi="Arial"/>
                <w:sz w:val="16"/>
                <w:szCs w:val="16"/>
                <w:color w:val="auto"/>
              </w:rPr>
              <w:t>Accumulated deficit</w:t>
            </w:r>
          </w:p>
        </w:tc>
        <w:tc>
          <w:tcPr>
            <w:tcW w:w="4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(152,073)</w:t>
            </w: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(181,363)</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820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3"/>
        </w:trPr>
        <w:tc>
          <w:tcPr>
            <w:tcW w:w="20" w:type="dxa"/>
            <w:vAlign w:val="bottom"/>
            <w:vMerge w:val="continue"/>
          </w:tcPr>
          <w:p>
            <w:pPr>
              <w:spacing w:after="0"/>
              <w:rPr>
                <w:sz w:val="16"/>
                <w:szCs w:val="16"/>
                <w:color w:val="auto"/>
              </w:rPr>
            </w:pPr>
          </w:p>
        </w:tc>
        <w:tc>
          <w:tcPr>
            <w:tcW w:w="8200" w:type="dxa"/>
            <w:vAlign w:val="bottom"/>
          </w:tcPr>
          <w:p>
            <w:pPr>
              <w:spacing w:after="0"/>
              <w:rPr>
                <w:sz w:val="20"/>
                <w:szCs w:val="20"/>
                <w:color w:val="auto"/>
              </w:rPr>
            </w:pPr>
            <w:r>
              <w:rPr>
                <w:rFonts w:ascii="Arial" w:cs="Arial" w:eastAsia="Arial" w:hAnsi="Arial"/>
                <w:sz w:val="16"/>
                <w:szCs w:val="16"/>
                <w:b w:val="1"/>
                <w:bCs w:val="1"/>
                <w:color w:val="auto"/>
              </w:rPr>
              <w:t>TOTAL SHAREHOLDERS' EQUITY</w:t>
            </w:r>
          </w:p>
        </w:tc>
        <w:tc>
          <w:tcPr>
            <w:tcW w:w="4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52,465</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6"/>
                <w:szCs w:val="16"/>
                <w:color w:val="auto"/>
              </w:rPr>
              <w:t>50,849</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TOTAL LIABILITIES AND SHAREHOLDERS' EQUITY</w:t>
            </w:r>
          </w:p>
        </w:tc>
        <w:tc>
          <w:tcPr>
            <w:tcW w:w="4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61,301</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59,161</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9"/>
          <w:szCs w:val="19"/>
          <w:color w:val="auto"/>
        </w:rPr>
        <w:t>The accompanying notes are an integral part of these consolidated financial statements.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53" w:name="page154"/>
    <w:bookmarkEnd w:id="153"/>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ind w:left="3400"/>
        <w:spacing w:after="0"/>
        <w:rPr>
          <w:sz w:val="20"/>
          <w:szCs w:val="20"/>
          <w:color w:val="auto"/>
        </w:rPr>
      </w:pPr>
      <w:r>
        <w:rPr>
          <w:rFonts w:ascii="Arial" w:cs="Arial" w:eastAsia="Arial" w:hAnsi="Arial"/>
          <w:sz w:val="19"/>
          <w:szCs w:val="19"/>
          <w:b w:val="1"/>
          <w:bCs w:val="1"/>
          <w:color w:val="auto"/>
        </w:rPr>
        <w:t>CONSOLIDATED STATEMENTS OF OPERATIONS</w:t>
      </w:r>
    </w:p>
    <w:p>
      <w:pPr>
        <w:spacing w:after="0" w:line="18" w:lineRule="exact"/>
        <w:rPr>
          <w:sz w:val="20"/>
          <w:szCs w:val="20"/>
          <w:color w:val="auto"/>
        </w:rPr>
      </w:pPr>
    </w:p>
    <w:p>
      <w:pPr>
        <w:ind w:left="3380"/>
        <w:spacing w:after="0"/>
        <w:rPr>
          <w:sz w:val="20"/>
          <w:szCs w:val="20"/>
          <w:color w:val="auto"/>
        </w:rPr>
      </w:pPr>
      <w:r>
        <w:rPr>
          <w:rFonts w:ascii="Arial" w:cs="Arial" w:eastAsia="Arial" w:hAnsi="Arial"/>
          <w:sz w:val="19"/>
          <w:szCs w:val="19"/>
          <w:color w:val="auto"/>
        </w:rPr>
        <w:t>(U.S. dollars in thousands, except share and per share data)</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7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700" w:type="dxa"/>
            <w:vAlign w:val="bottom"/>
            <w:tcBorders>
              <w:bottom w:val="single" w:sz="8" w:color="auto"/>
            </w:tcBorders>
            <w:gridSpan w:val="8"/>
          </w:tcPr>
          <w:p>
            <w:pPr>
              <w:jc w:val="right"/>
              <w:ind w:right="107"/>
              <w:spacing w:after="0"/>
              <w:rPr>
                <w:sz w:val="20"/>
                <w:szCs w:val="20"/>
                <w:color w:val="auto"/>
              </w:rPr>
            </w:pPr>
            <w:r>
              <w:rPr>
                <w:rFonts w:ascii="Arial" w:cs="Arial" w:eastAsia="Arial" w:hAnsi="Arial"/>
                <w:sz w:val="16"/>
                <w:szCs w:val="16"/>
                <w:b w:val="1"/>
                <w:bCs w:val="1"/>
                <w:color w:val="auto"/>
              </w:rPr>
              <w:t>Year ended December 31,</w:t>
            </w:r>
          </w:p>
        </w:tc>
        <w:tc>
          <w:tcPr>
            <w:tcW w:w="86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color w:val="auto"/>
              </w:rPr>
              <w:t>2018</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2019</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7000" w:type="dxa"/>
            <w:vAlign w:val="bottom"/>
          </w:tcPr>
          <w:p>
            <w:pPr>
              <w:spacing w:after="0"/>
              <w:rPr>
                <w:sz w:val="16"/>
                <w:szCs w:val="16"/>
                <w:color w:val="auto"/>
              </w:rPr>
            </w:pPr>
          </w:p>
        </w:tc>
        <w:tc>
          <w:tcPr>
            <w:tcW w:w="560" w:type="dxa"/>
            <w:vAlign w:val="bottom"/>
            <w:gridSpan w:val="2"/>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gridSpan w:val="2"/>
          </w:tcPr>
          <w:p>
            <w:pPr>
              <w:spacing w:after="0"/>
              <w:rPr>
                <w:sz w:val="16"/>
                <w:szCs w:val="16"/>
                <w:color w:val="auto"/>
              </w:rPr>
            </w:pPr>
          </w:p>
        </w:tc>
        <w:tc>
          <w:tcPr>
            <w:tcW w:w="1020" w:type="dxa"/>
            <w:vAlign w:val="bottom"/>
            <w:gridSpan w:val="2"/>
          </w:tcPr>
          <w:p>
            <w:pPr>
              <w:spacing w:after="0"/>
              <w:rPr>
                <w:sz w:val="16"/>
                <w:szCs w:val="16"/>
                <w:color w:val="auto"/>
              </w:rPr>
            </w:pPr>
          </w:p>
        </w:tc>
        <w:tc>
          <w:tcPr>
            <w:tcW w:w="320" w:type="dxa"/>
            <w:vAlign w:val="bottom"/>
            <w:gridSpan w:val="2"/>
          </w:tcPr>
          <w:p>
            <w:pPr>
              <w:spacing w:after="0"/>
              <w:rPr>
                <w:sz w:val="16"/>
                <w:szCs w:val="16"/>
                <w:color w:val="auto"/>
              </w:rPr>
            </w:pPr>
          </w:p>
        </w:tc>
        <w:tc>
          <w:tcPr>
            <w:tcW w:w="98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70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COLLABORATION REVENUES</w:t>
            </w:r>
          </w:p>
        </w:tc>
        <w:tc>
          <w:tcPr>
            <w:tcW w:w="560" w:type="dxa"/>
            <w:vAlign w:val="bottom"/>
            <w:gridSpan w:val="2"/>
            <w:shd w:val="clear" w:color="auto" w:fill="CCEEFF"/>
          </w:tcPr>
          <w:p>
            <w:pPr>
              <w:jc w:val="right"/>
              <w:ind w:right="107"/>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w:t>
            </w:r>
          </w:p>
        </w:tc>
        <w:tc>
          <w:tcPr>
            <w:tcW w:w="140" w:type="dxa"/>
            <w:vAlign w:val="bottom"/>
            <w:shd w:val="clear" w:color="auto" w:fill="CCEEFF"/>
          </w:tcPr>
          <w:p>
            <w:pPr>
              <w:spacing w:after="0"/>
              <w:rPr>
                <w:sz w:val="16"/>
                <w:szCs w:val="16"/>
                <w:color w:val="auto"/>
              </w:rPr>
            </w:pPr>
          </w:p>
        </w:tc>
        <w:tc>
          <w:tcPr>
            <w:tcW w:w="340" w:type="dxa"/>
            <w:vAlign w:val="bottom"/>
            <w:gridSpan w:val="2"/>
            <w:shd w:val="clear" w:color="auto" w:fill="CCEEFF"/>
          </w:tcPr>
          <w:p>
            <w:pPr>
              <w:jc w:val="right"/>
              <w:ind w:right="87"/>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22,904</w:t>
            </w:r>
          </w:p>
        </w:tc>
        <w:tc>
          <w:tcPr>
            <w:tcW w:w="320" w:type="dxa"/>
            <w:vAlign w:val="bottom"/>
            <w:gridSpan w:val="2"/>
            <w:shd w:val="clear" w:color="auto" w:fill="CCEEFF"/>
          </w:tcPr>
          <w:p>
            <w:pPr>
              <w:jc w:val="right"/>
              <w:ind w:right="87"/>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8,771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0" w:type="dxa"/>
            <w:vAlign w:val="bottom"/>
          </w:tcPr>
          <w:p>
            <w:pPr>
              <w:spacing w:after="0"/>
              <w:rPr>
                <w:sz w:val="20"/>
                <w:szCs w:val="20"/>
                <w:color w:val="auto"/>
              </w:rPr>
            </w:pPr>
            <w:r>
              <w:rPr>
                <w:rFonts w:ascii="Arial" w:cs="Arial" w:eastAsia="Arial" w:hAnsi="Arial"/>
                <w:sz w:val="16"/>
                <w:szCs w:val="16"/>
                <w:b w:val="1"/>
                <w:bCs w:val="1"/>
                <w:color w:val="auto"/>
              </w:rPr>
              <w:t>OPERATING EXPENSES</w:t>
            </w: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Research and Development</w:t>
            </w:r>
          </w:p>
        </w:tc>
        <w:tc>
          <w:tcPr>
            <w:tcW w:w="3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28,146</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40,578</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27,913</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00" w:type="dxa"/>
            <w:vAlign w:val="bottom"/>
          </w:tcPr>
          <w:p>
            <w:pPr>
              <w:ind w:left="140"/>
              <w:spacing w:after="0"/>
              <w:rPr>
                <w:sz w:val="20"/>
                <w:szCs w:val="20"/>
                <w:color w:val="auto"/>
              </w:rPr>
            </w:pPr>
            <w:r>
              <w:rPr>
                <w:rFonts w:ascii="Arial" w:cs="Arial" w:eastAsia="Arial" w:hAnsi="Arial"/>
                <w:sz w:val="16"/>
                <w:szCs w:val="16"/>
                <w:color w:val="auto"/>
              </w:rPr>
              <w:t>General and Administrative</w:t>
            </w: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5,504</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8,276</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11,091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TOTAL OPERATING LOSS</w:t>
            </w:r>
          </w:p>
        </w:tc>
        <w:tc>
          <w:tcPr>
            <w:tcW w:w="300" w:type="dxa"/>
            <w:vAlign w:val="bottom"/>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33,521</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25,950</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30,233</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00" w:type="dxa"/>
            <w:vAlign w:val="bottom"/>
          </w:tcPr>
          <w:p>
            <w:pPr>
              <w:spacing w:after="0"/>
              <w:rPr>
                <w:sz w:val="20"/>
                <w:szCs w:val="20"/>
                <w:color w:val="auto"/>
              </w:rPr>
            </w:pPr>
            <w:r>
              <w:rPr>
                <w:rFonts w:ascii="Arial" w:cs="Arial" w:eastAsia="Arial" w:hAnsi="Arial"/>
                <w:sz w:val="16"/>
                <w:szCs w:val="16"/>
                <w:b w:val="1"/>
                <w:bCs w:val="1"/>
                <w:color w:val="auto"/>
              </w:rPr>
              <w:t>FINANCIAL INCOME, net</w:t>
            </w: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(1,318)</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(1,374)</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(943)</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LOSS BEFORE INCOME TAXES</w:t>
            </w:r>
          </w:p>
        </w:tc>
        <w:tc>
          <w:tcPr>
            <w:tcW w:w="300" w:type="dxa"/>
            <w:vAlign w:val="bottom"/>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32,203</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24,576</w:t>
            </w: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29,290</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000" w:type="dxa"/>
            <w:vAlign w:val="bottom"/>
          </w:tcPr>
          <w:p>
            <w:pPr>
              <w:spacing w:after="0"/>
              <w:rPr>
                <w:sz w:val="20"/>
                <w:szCs w:val="20"/>
                <w:color w:val="auto"/>
              </w:rPr>
            </w:pPr>
            <w:r>
              <w:rPr>
                <w:rFonts w:ascii="Arial" w:cs="Arial" w:eastAsia="Arial" w:hAnsi="Arial"/>
                <w:sz w:val="16"/>
                <w:szCs w:val="16"/>
                <w:b w:val="1"/>
                <w:bCs w:val="1"/>
                <w:color w:val="auto"/>
              </w:rPr>
              <w:t>INCOME TAXES</w:t>
            </w:r>
          </w:p>
        </w:tc>
        <w:tc>
          <w:tcPr>
            <w:tcW w:w="3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33</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70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LOSS FOR THE YEAR</w:t>
            </w:r>
          </w:p>
        </w:tc>
        <w:tc>
          <w:tcPr>
            <w:tcW w:w="3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32,203</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24,609</w:t>
            </w:r>
          </w:p>
        </w:tc>
        <w:tc>
          <w:tcPr>
            <w:tcW w:w="1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29,290</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7000" w:type="dxa"/>
            <w:vAlign w:val="bottom"/>
          </w:tcPr>
          <w:p>
            <w:pPr>
              <w:spacing w:after="0" w:line="177" w:lineRule="exact"/>
              <w:rPr>
                <w:sz w:val="20"/>
                <w:szCs w:val="20"/>
                <w:color w:val="auto"/>
              </w:rPr>
            </w:pPr>
            <w:r>
              <w:rPr>
                <w:rFonts w:ascii="Arial" w:cs="Arial" w:eastAsia="Arial" w:hAnsi="Arial"/>
                <w:sz w:val="16"/>
                <w:szCs w:val="16"/>
                <w:b w:val="1"/>
                <w:bCs w:val="1"/>
                <w:color w:val="auto"/>
              </w:rPr>
              <w:t>BASIC AND DILUTED LOSS PER ORDINARY SHARE</w:t>
            </w:r>
          </w:p>
        </w:tc>
        <w:tc>
          <w:tcPr>
            <w:tcW w:w="560" w:type="dxa"/>
            <w:vAlign w:val="bottom"/>
            <w:gridSpan w:val="2"/>
          </w:tcPr>
          <w:p>
            <w:pPr>
              <w:jc w:val="right"/>
              <w:ind w:right="107"/>
              <w:spacing w:after="0" w:line="177" w:lineRule="exact"/>
              <w:rPr>
                <w:sz w:val="20"/>
                <w:szCs w:val="20"/>
                <w:color w:val="auto"/>
              </w:rPr>
            </w:pPr>
            <w:r>
              <w:rPr>
                <w:rFonts w:ascii="Arial" w:cs="Arial" w:eastAsia="Arial" w:hAnsi="Arial"/>
                <w:sz w:val="16"/>
                <w:szCs w:val="16"/>
                <w:color w:val="auto"/>
              </w:rPr>
              <w:t>$</w:t>
            </w:r>
          </w:p>
        </w:tc>
        <w:tc>
          <w:tcPr>
            <w:tcW w:w="880" w:type="dxa"/>
            <w:vAlign w:val="bottom"/>
          </w:tcPr>
          <w:p>
            <w:pPr>
              <w:jc w:val="right"/>
              <w:spacing w:after="0" w:line="177" w:lineRule="exact"/>
              <w:rPr>
                <w:sz w:val="20"/>
                <w:szCs w:val="20"/>
                <w:color w:val="auto"/>
              </w:rPr>
            </w:pPr>
            <w:r>
              <w:rPr>
                <w:rFonts w:ascii="Arial" w:cs="Arial" w:eastAsia="Arial" w:hAnsi="Arial"/>
                <w:sz w:val="16"/>
                <w:szCs w:val="16"/>
                <w:color w:val="auto"/>
              </w:rPr>
              <w:t>1.80</w:t>
            </w:r>
          </w:p>
        </w:tc>
        <w:tc>
          <w:tcPr>
            <w:tcW w:w="140" w:type="dxa"/>
            <w:vAlign w:val="bottom"/>
          </w:tcPr>
          <w:p>
            <w:pPr>
              <w:spacing w:after="0"/>
              <w:rPr>
                <w:sz w:val="15"/>
                <w:szCs w:val="15"/>
                <w:color w:val="auto"/>
              </w:rPr>
            </w:pPr>
          </w:p>
        </w:tc>
        <w:tc>
          <w:tcPr>
            <w:tcW w:w="340" w:type="dxa"/>
            <w:vAlign w:val="bottom"/>
            <w:gridSpan w:val="2"/>
          </w:tcPr>
          <w:p>
            <w:pPr>
              <w:jc w:val="right"/>
              <w:ind w:right="87"/>
              <w:spacing w:after="0" w:line="177" w:lineRule="exact"/>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140"/>
              <w:spacing w:after="0" w:line="177" w:lineRule="exact"/>
              <w:rPr>
                <w:sz w:val="20"/>
                <w:szCs w:val="20"/>
                <w:color w:val="auto"/>
              </w:rPr>
            </w:pPr>
            <w:r>
              <w:rPr>
                <w:rFonts w:ascii="Arial" w:cs="Arial" w:eastAsia="Arial" w:hAnsi="Arial"/>
                <w:sz w:val="16"/>
                <w:szCs w:val="16"/>
                <w:color w:val="auto"/>
              </w:rPr>
              <w:t>1.26</w:t>
            </w:r>
          </w:p>
        </w:tc>
        <w:tc>
          <w:tcPr>
            <w:tcW w:w="320" w:type="dxa"/>
            <w:vAlign w:val="bottom"/>
            <w:gridSpan w:val="2"/>
          </w:tcPr>
          <w:p>
            <w:pPr>
              <w:jc w:val="right"/>
              <w:ind w:right="87"/>
              <w:spacing w:after="0" w:line="177" w:lineRule="exact"/>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120"/>
              <w:spacing w:after="0" w:line="177" w:lineRule="exact"/>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20" w:type="dxa"/>
            <w:vAlign w:val="bottom"/>
            <w:vMerge w:val="continue"/>
          </w:tcPr>
          <w:p>
            <w:pPr>
              <w:spacing w:after="0"/>
              <w:rPr>
                <w:sz w:val="13"/>
                <w:szCs w:val="13"/>
                <w:color w:val="auto"/>
              </w:rPr>
            </w:pPr>
          </w:p>
        </w:tc>
        <w:tc>
          <w:tcPr>
            <w:tcW w:w="7000" w:type="dxa"/>
            <w:vAlign w:val="bottom"/>
            <w:shd w:val="clear" w:color="auto" w:fill="CCEEFF"/>
          </w:tcPr>
          <w:p>
            <w:pPr>
              <w:spacing w:after="0" w:line="160" w:lineRule="exact"/>
              <w:rPr>
                <w:sz w:val="20"/>
                <w:szCs w:val="20"/>
                <w:color w:val="auto"/>
              </w:rPr>
            </w:pPr>
            <w:r>
              <w:rPr>
                <w:rFonts w:ascii="Arial" w:cs="Arial" w:eastAsia="Arial" w:hAnsi="Arial"/>
                <w:sz w:val="16"/>
                <w:szCs w:val="16"/>
                <w:b w:val="1"/>
                <w:bCs w:val="1"/>
                <w:color w:val="auto"/>
              </w:rPr>
              <w:t>WEIGHTED AVERAGE NUMBER OF SHARES OUTSTANDING USED IN COMPUTATION OF</w:t>
            </w:r>
          </w:p>
        </w:tc>
        <w:tc>
          <w:tcPr>
            <w:tcW w:w="30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0" w:type="dxa"/>
            <w:vAlign w:val="bottom"/>
            <w:shd w:val="clear" w:color="auto" w:fill="CCEEFF"/>
          </w:tcPr>
          <w:p>
            <w:pPr>
              <w:ind w:left="200"/>
              <w:spacing w:after="0"/>
              <w:rPr>
                <w:sz w:val="20"/>
                <w:szCs w:val="20"/>
                <w:color w:val="auto"/>
              </w:rPr>
            </w:pPr>
            <w:r>
              <w:rPr>
                <w:rFonts w:ascii="Arial" w:cs="Arial" w:eastAsia="Arial" w:hAnsi="Arial"/>
                <w:sz w:val="16"/>
                <w:szCs w:val="16"/>
                <w:b w:val="1"/>
                <w:bCs w:val="1"/>
                <w:color w:val="auto"/>
              </w:rPr>
              <w:t>BASIC AND DILUTED LOSS PER SHARE</w:t>
            </w:r>
          </w:p>
        </w:tc>
        <w:tc>
          <w:tcPr>
            <w:tcW w:w="3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17,867,589</w:t>
            </w:r>
          </w:p>
        </w:tc>
        <w:tc>
          <w:tcPr>
            <w:tcW w:w="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19,534,562</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22,574,688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9"/>
          <w:szCs w:val="19"/>
          <w:color w:val="auto"/>
        </w:rPr>
        <w:t>The accompanying notes are an integral part of these consolidated financial statement.</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54" w:name="page155"/>
    <w:bookmarkEnd w:id="154"/>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STATEMENTS OF CHANGES IN SHAREHOLDERS' EQUITY</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data)</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20" w:type="dxa"/>
            <w:vAlign w:val="bottom"/>
          </w:tcPr>
          <w:p>
            <w:pPr>
              <w:spacing w:after="0"/>
              <w:rPr>
                <w:sz w:val="16"/>
                <w:szCs w:val="16"/>
                <w:color w:val="auto"/>
              </w:rPr>
            </w:pPr>
          </w:p>
        </w:tc>
        <w:tc>
          <w:tcPr>
            <w:tcW w:w="46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0"/>
              </w:rPr>
              <w:t>Additional paid-</w:t>
            </w: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46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8"/>
              </w:rPr>
              <w:t>in</w:t>
            </w:r>
          </w:p>
        </w:tc>
        <w:tc>
          <w:tcPr>
            <w:tcW w:w="132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9"/>
              </w:rPr>
              <w:t>Accumulated</w:t>
            </w: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209"/>
        </w:trPr>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2260" w:type="dxa"/>
            <w:vAlign w:val="bottom"/>
            <w:gridSpan w:val="3"/>
          </w:tcPr>
          <w:p>
            <w:pPr>
              <w:ind w:left="700"/>
              <w:spacing w:after="0"/>
              <w:rPr>
                <w:sz w:val="20"/>
                <w:szCs w:val="20"/>
                <w:color w:val="auto"/>
              </w:rPr>
            </w:pPr>
            <w:r>
              <w:rPr>
                <w:rFonts w:ascii="Arial" w:cs="Arial" w:eastAsia="Arial" w:hAnsi="Arial"/>
                <w:sz w:val="16"/>
                <w:szCs w:val="16"/>
                <w:b w:val="1"/>
                <w:bCs w:val="1"/>
                <w:color w:val="auto"/>
              </w:rPr>
              <w:t>Ordinary shares</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0"/>
              </w:rPr>
              <w:t>capital</w:t>
            </w:r>
          </w:p>
        </w:tc>
        <w:tc>
          <w:tcPr>
            <w:tcW w:w="132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9"/>
              </w:rPr>
              <w:t>deficit</w:t>
            </w:r>
          </w:p>
        </w:tc>
        <w:tc>
          <w:tcPr>
            <w:tcW w:w="122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Total</w:t>
            </w:r>
          </w:p>
        </w:tc>
      </w:tr>
      <w:tr>
        <w:trPr>
          <w:trHeight w:val="173"/>
        </w:trPr>
        <w:tc>
          <w:tcPr>
            <w:tcW w:w="20" w:type="dxa"/>
            <w:vAlign w:val="bottom"/>
          </w:tcPr>
          <w:p>
            <w:pPr>
              <w:spacing w:after="0"/>
              <w:rPr>
                <w:sz w:val="15"/>
                <w:szCs w:val="15"/>
                <w:color w:val="auto"/>
              </w:rPr>
            </w:pPr>
          </w:p>
        </w:tc>
        <w:tc>
          <w:tcPr>
            <w:tcW w:w="4600" w:type="dxa"/>
            <w:vAlign w:val="bottom"/>
          </w:tcPr>
          <w:p>
            <w:pPr>
              <w:spacing w:after="0"/>
              <w:rPr>
                <w:sz w:val="15"/>
                <w:szCs w:val="15"/>
                <w:color w:val="auto"/>
              </w:rPr>
            </w:pPr>
          </w:p>
        </w:tc>
        <w:tc>
          <w:tcPr>
            <w:tcW w:w="1380" w:type="dxa"/>
            <w:vAlign w:val="bottom"/>
            <w:tcBorders>
              <w:top w:val="single" w:sz="8" w:color="auto"/>
            </w:tcBorders>
            <w:gridSpan w:val="2"/>
          </w:tcPr>
          <w:p>
            <w:pPr>
              <w:ind w:left="280"/>
              <w:spacing w:after="0" w:line="173" w:lineRule="exact"/>
              <w:rPr>
                <w:sz w:val="20"/>
                <w:szCs w:val="20"/>
                <w:color w:val="auto"/>
              </w:rPr>
            </w:pPr>
            <w:r>
              <w:rPr>
                <w:rFonts w:ascii="Arial" w:cs="Arial" w:eastAsia="Arial" w:hAnsi="Arial"/>
                <w:sz w:val="16"/>
                <w:szCs w:val="16"/>
                <w:b w:val="1"/>
                <w:bCs w:val="1"/>
                <w:color w:val="auto"/>
              </w:rPr>
              <w:t>Number</w:t>
            </w:r>
          </w:p>
        </w:tc>
        <w:tc>
          <w:tcPr>
            <w:tcW w:w="880" w:type="dxa"/>
            <w:vAlign w:val="bottom"/>
            <w:tcBorders>
              <w:top w:val="single" w:sz="8" w:color="auto"/>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r>
      <w:tr>
        <w:trPr>
          <w:trHeight w:val="209"/>
        </w:trPr>
        <w:tc>
          <w:tcPr>
            <w:tcW w:w="2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1380" w:type="dxa"/>
            <w:vAlign w:val="bottom"/>
            <w:gridSpan w:val="2"/>
          </w:tcPr>
          <w:p>
            <w:pPr>
              <w:ind w:left="260"/>
              <w:spacing w:after="0"/>
              <w:rPr>
                <w:sz w:val="20"/>
                <w:szCs w:val="20"/>
                <w:color w:val="auto"/>
              </w:rPr>
            </w:pPr>
            <w:r>
              <w:rPr>
                <w:rFonts w:ascii="Arial" w:cs="Arial" w:eastAsia="Arial" w:hAnsi="Arial"/>
                <w:sz w:val="16"/>
                <w:szCs w:val="16"/>
                <w:b w:val="1"/>
                <w:bCs w:val="1"/>
                <w:color w:val="auto"/>
              </w:rPr>
              <w:t>of shares</w:t>
            </w:r>
          </w:p>
        </w:tc>
        <w:tc>
          <w:tcPr>
            <w:tcW w:w="880" w:type="dxa"/>
            <w:vAlign w:val="bottom"/>
          </w:tcPr>
          <w:p>
            <w:pPr>
              <w:ind w:left="260"/>
              <w:spacing w:after="0"/>
              <w:rPr>
                <w:sz w:val="20"/>
                <w:szCs w:val="20"/>
                <w:color w:val="auto"/>
              </w:rPr>
            </w:pPr>
            <w:r>
              <w:rPr>
                <w:rFonts w:ascii="Arial" w:cs="Arial" w:eastAsia="Arial" w:hAnsi="Arial"/>
                <w:sz w:val="16"/>
                <w:szCs w:val="16"/>
                <w:b w:val="1"/>
                <w:bCs w:val="1"/>
                <w:color w:val="auto"/>
                <w:w w:val="86"/>
              </w:rPr>
              <w:t>Amounts</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9"/>
              </w:rPr>
              <w:t>Amounts</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 AS OF JANUARY 1, 2018</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6,290,244</w:t>
            </w:r>
          </w:p>
        </w:tc>
        <w:tc>
          <w:tcPr>
            <w:tcW w:w="240" w:type="dxa"/>
            <w:vAlign w:val="bottom"/>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82</w:t>
            </w:r>
          </w:p>
        </w:tc>
        <w:tc>
          <w:tcPr>
            <w:tcW w:w="240" w:type="dxa"/>
            <w:vAlign w:val="bottom"/>
            <w:shd w:val="clear" w:color="auto" w:fill="CCEEFF"/>
          </w:tcPr>
          <w:p>
            <w:pPr>
              <w:spacing w:after="0"/>
              <w:rPr>
                <w:sz w:val="16"/>
                <w:szCs w:val="16"/>
                <w:color w:val="auto"/>
              </w:rPr>
            </w:pPr>
          </w:p>
        </w:tc>
        <w:tc>
          <w:tcPr>
            <w:tcW w:w="1360" w:type="dxa"/>
            <w:vAlign w:val="bottom"/>
            <w:tcBorders>
              <w:top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42,480</w:t>
            </w:r>
          </w:p>
        </w:tc>
        <w:tc>
          <w:tcPr>
            <w:tcW w:w="1320" w:type="dxa"/>
            <w:vAlign w:val="bottom"/>
            <w:tcBorders>
              <w:top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(95,261)</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(52,699)</w:t>
            </w:r>
          </w:p>
        </w:tc>
        <w:tc>
          <w:tcPr>
            <w:tcW w:w="120" w:type="dxa"/>
            <w:vAlign w:val="bottom"/>
            <w:shd w:val="clear" w:color="auto" w:fill="CCEEFF"/>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4600" w:type="dxa"/>
            <w:vAlign w:val="bottom"/>
          </w:tcPr>
          <w:p>
            <w:pPr>
              <w:spacing w:after="0"/>
              <w:rPr>
                <w:sz w:val="20"/>
                <w:szCs w:val="20"/>
                <w:color w:val="auto"/>
              </w:rPr>
            </w:pPr>
            <w:r>
              <w:rPr>
                <w:rFonts w:ascii="Arial" w:cs="Arial" w:eastAsia="Arial" w:hAnsi="Arial"/>
                <w:sz w:val="16"/>
                <w:szCs w:val="16"/>
                <w:b w:val="1"/>
                <w:bCs w:val="1"/>
                <w:color w:val="auto"/>
              </w:rPr>
              <w:t>CHANGES DURING 2018:</w:t>
            </w: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Loss for the year</w:t>
            </w:r>
          </w:p>
        </w:tc>
        <w:tc>
          <w:tcPr>
            <w:tcW w:w="1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(32,203)</w:t>
            </w:r>
          </w:p>
        </w:tc>
        <w:tc>
          <w:tcPr>
            <w:tcW w:w="12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(32,203)</w:t>
            </w:r>
          </w:p>
        </w:tc>
      </w:tr>
      <w:tr>
        <w:trPr>
          <w:trHeight w:val="189"/>
        </w:trPr>
        <w:tc>
          <w:tcPr>
            <w:tcW w:w="20" w:type="dxa"/>
            <w:vAlign w:val="bottom"/>
          </w:tcPr>
          <w:p>
            <w:pPr>
              <w:spacing w:after="0"/>
              <w:rPr>
                <w:sz w:val="16"/>
                <w:szCs w:val="16"/>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Stock split</w:t>
            </w:r>
          </w:p>
        </w:tc>
        <w:tc>
          <w:tcPr>
            <w:tcW w:w="13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880" w:type="dxa"/>
            <w:vAlign w:val="bottom"/>
          </w:tcPr>
          <w:p>
            <w:pPr>
              <w:spacing w:after="0"/>
              <w:rPr>
                <w:sz w:val="16"/>
                <w:szCs w:val="16"/>
                <w:color w:val="auto"/>
              </w:rPr>
            </w:pP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66</w:t>
            </w:r>
          </w:p>
        </w:tc>
        <w:tc>
          <w:tcPr>
            <w:tcW w:w="1360" w:type="dxa"/>
            <w:vAlign w:val="bottom"/>
            <w:gridSpan w:val="2"/>
          </w:tcPr>
          <w:p>
            <w:pPr>
              <w:jc w:val="right"/>
              <w:ind w:right="160"/>
              <w:spacing w:after="0"/>
              <w:rPr>
                <w:sz w:val="20"/>
                <w:szCs w:val="20"/>
                <w:color w:val="auto"/>
              </w:rPr>
            </w:pPr>
            <w:r>
              <w:rPr>
                <w:rFonts w:ascii="Arial" w:cs="Arial" w:eastAsia="Arial" w:hAnsi="Arial"/>
                <w:sz w:val="16"/>
                <w:szCs w:val="16"/>
                <w:color w:val="auto"/>
              </w:rPr>
              <w:t>(66)</w:t>
            </w: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Conversion of loans from the Controlling shareholder</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5,444,825</w:t>
            </w:r>
          </w:p>
        </w:tc>
        <w:tc>
          <w:tcPr>
            <w:tcW w:w="880" w:type="dxa"/>
            <w:vAlign w:val="bottom"/>
            <w:shd w:val="clear" w:color="auto" w:fill="CCEEFF"/>
          </w:tcPr>
          <w:p>
            <w:pPr>
              <w:spacing w:after="0"/>
              <w:rPr>
                <w:sz w:val="16"/>
                <w:szCs w:val="16"/>
                <w:color w:val="auto"/>
              </w:rPr>
            </w:pP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w w:val="82"/>
              </w:rPr>
              <w:t>160</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65,178</w:t>
            </w:r>
          </w:p>
        </w:tc>
        <w:tc>
          <w:tcPr>
            <w:tcW w:w="1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65,338</w:t>
            </w:r>
          </w:p>
        </w:tc>
      </w:tr>
      <w:tr>
        <w:trPr>
          <w:trHeight w:val="177"/>
        </w:trPr>
        <w:tc>
          <w:tcPr>
            <w:tcW w:w="20" w:type="dxa"/>
            <w:vAlign w:val="bottom"/>
          </w:tcPr>
          <w:p>
            <w:pPr>
              <w:spacing w:after="0"/>
              <w:rPr>
                <w:sz w:val="15"/>
                <w:szCs w:val="15"/>
                <w:color w:val="auto"/>
              </w:rPr>
            </w:pPr>
          </w:p>
        </w:tc>
        <w:tc>
          <w:tcPr>
            <w:tcW w:w="4600" w:type="dxa"/>
            <w:vAlign w:val="bottom"/>
          </w:tcPr>
          <w:p>
            <w:pPr>
              <w:ind w:left="180"/>
              <w:spacing w:after="0" w:line="177" w:lineRule="exact"/>
              <w:rPr>
                <w:sz w:val="20"/>
                <w:szCs w:val="20"/>
                <w:color w:val="auto"/>
              </w:rPr>
            </w:pPr>
            <w:r>
              <w:rPr>
                <w:rFonts w:ascii="Arial" w:cs="Arial" w:eastAsia="Arial" w:hAnsi="Arial"/>
                <w:sz w:val="16"/>
                <w:szCs w:val="16"/>
                <w:color w:val="auto"/>
                <w:w w:val="92"/>
              </w:rPr>
              <w:t>Issuance of shares through an initial public offering, net of issuance</w:t>
            </w: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01"/>
        </w:trPr>
        <w:tc>
          <w:tcPr>
            <w:tcW w:w="20" w:type="dxa"/>
            <w:vAlign w:val="bottom"/>
          </w:tcPr>
          <w:p>
            <w:pPr>
              <w:spacing w:after="0"/>
              <w:rPr>
                <w:sz w:val="17"/>
                <w:szCs w:val="17"/>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costs</w:t>
            </w:r>
          </w:p>
        </w:tc>
        <w:tc>
          <w:tcPr>
            <w:tcW w:w="1380" w:type="dxa"/>
            <w:vAlign w:val="bottom"/>
            <w:gridSpan w:val="2"/>
          </w:tcPr>
          <w:p>
            <w:pPr>
              <w:jc w:val="right"/>
              <w:ind w:right="240"/>
              <w:spacing w:after="0"/>
              <w:rPr>
                <w:sz w:val="20"/>
                <w:szCs w:val="20"/>
                <w:color w:val="auto"/>
              </w:rPr>
            </w:pPr>
            <w:r>
              <w:rPr>
                <w:rFonts w:ascii="Arial" w:cs="Arial" w:eastAsia="Arial" w:hAnsi="Arial"/>
                <w:sz w:val="16"/>
                <w:szCs w:val="16"/>
                <w:color w:val="auto"/>
              </w:rPr>
              <w:t>7,187,500</w:t>
            </w:r>
          </w:p>
        </w:tc>
        <w:tc>
          <w:tcPr>
            <w:tcW w:w="880" w:type="dxa"/>
            <w:vAlign w:val="bottom"/>
          </w:tcPr>
          <w:p>
            <w:pPr>
              <w:spacing w:after="0"/>
              <w:rPr>
                <w:sz w:val="17"/>
                <w:szCs w:val="17"/>
                <w:color w:val="auto"/>
              </w:rPr>
            </w:pP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w w:val="82"/>
              </w:rPr>
              <w:t>211</w:t>
            </w: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78,564</w:t>
            </w: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78,775</w:t>
            </w:r>
          </w:p>
        </w:tc>
      </w:tr>
      <w:tr>
        <w:trPr>
          <w:trHeight w:val="190"/>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Exercise of options granted to employee</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27,399</w:t>
            </w:r>
          </w:p>
        </w:tc>
        <w:tc>
          <w:tcPr>
            <w:tcW w:w="880" w:type="dxa"/>
            <w:vAlign w:val="bottom"/>
            <w:shd w:val="clear" w:color="auto" w:fill="CCEEFF"/>
          </w:tcPr>
          <w:p>
            <w:pPr>
              <w:spacing w:after="0"/>
              <w:rPr>
                <w:sz w:val="16"/>
                <w:szCs w:val="16"/>
                <w:color w:val="auto"/>
              </w:rPr>
            </w:pP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1</w:t>
            </w: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w:t>
            </w:r>
          </w:p>
        </w:tc>
        <w:tc>
          <w:tcPr>
            <w:tcW w:w="2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44</w:t>
            </w:r>
          </w:p>
        </w:tc>
      </w:tr>
      <w:tr>
        <w:trPr>
          <w:trHeight w:val="193"/>
        </w:trPr>
        <w:tc>
          <w:tcPr>
            <w:tcW w:w="20" w:type="dxa"/>
            <w:vAlign w:val="bottom"/>
          </w:tcPr>
          <w:p>
            <w:pPr>
              <w:spacing w:after="0"/>
              <w:rPr>
                <w:sz w:val="16"/>
                <w:szCs w:val="16"/>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Share-based compensation</w:t>
            </w: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4,654</w:t>
            </w: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4,654</w:t>
            </w: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BALANCE AS OF DECEMBER 31, 2018</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18,949,968</w:t>
            </w:r>
          </w:p>
        </w:tc>
        <w:tc>
          <w:tcPr>
            <w:tcW w:w="240" w:type="dxa"/>
            <w:vAlign w:val="bottom"/>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2"/>
              </w:rPr>
              <w:t>520</w:t>
            </w:r>
          </w:p>
        </w:tc>
        <w:tc>
          <w:tcPr>
            <w:tcW w:w="240" w:type="dxa"/>
            <w:vAlign w:val="bottom"/>
            <w:shd w:val="clear" w:color="auto" w:fill="CCEEFF"/>
          </w:tcPr>
          <w:p>
            <w:pPr>
              <w:spacing w:after="0"/>
              <w:rPr>
                <w:sz w:val="16"/>
                <w:szCs w:val="16"/>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190,853</w:t>
            </w:r>
          </w:p>
        </w:tc>
        <w:tc>
          <w:tcPr>
            <w:tcW w:w="220" w:type="dxa"/>
            <w:vAlign w:val="bottom"/>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(127,464)</w:t>
            </w:r>
          </w:p>
        </w:tc>
        <w:tc>
          <w:tcPr>
            <w:tcW w:w="220" w:type="dxa"/>
            <w:vAlign w:val="bottom"/>
            <w:shd w:val="clear" w:color="auto" w:fill="CCEEFF"/>
          </w:tcPr>
          <w:p>
            <w:pPr>
              <w:spacing w:after="0"/>
              <w:rPr>
                <w:sz w:val="16"/>
                <w:szCs w:val="16"/>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63,909</w:t>
            </w:r>
          </w:p>
        </w:tc>
        <w:tc>
          <w:tcPr>
            <w:tcW w:w="120" w:type="dxa"/>
            <w:vAlign w:val="bottom"/>
            <w:shd w:val="clear" w:color="auto" w:fill="CCEEFF"/>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4600" w:type="dxa"/>
            <w:vAlign w:val="bottom"/>
          </w:tcPr>
          <w:p>
            <w:pPr>
              <w:spacing w:after="0"/>
              <w:rPr>
                <w:sz w:val="20"/>
                <w:szCs w:val="20"/>
                <w:color w:val="auto"/>
              </w:rPr>
            </w:pPr>
            <w:r>
              <w:rPr>
                <w:rFonts w:ascii="Arial" w:cs="Arial" w:eastAsia="Arial" w:hAnsi="Arial"/>
                <w:sz w:val="16"/>
                <w:szCs w:val="16"/>
                <w:b w:val="1"/>
                <w:bCs w:val="1"/>
                <w:color w:val="auto"/>
              </w:rPr>
              <w:t>CHANGES DURING 2019:</w:t>
            </w: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Loss for the year</w:t>
            </w:r>
          </w:p>
        </w:tc>
        <w:tc>
          <w:tcPr>
            <w:tcW w:w="1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(24,609)</w:t>
            </w:r>
          </w:p>
        </w:tc>
        <w:tc>
          <w:tcPr>
            <w:tcW w:w="12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(24,609)</w:t>
            </w:r>
          </w:p>
        </w:tc>
      </w:tr>
      <w:tr>
        <w:trPr>
          <w:trHeight w:val="189"/>
        </w:trPr>
        <w:tc>
          <w:tcPr>
            <w:tcW w:w="20" w:type="dxa"/>
            <w:vAlign w:val="bottom"/>
          </w:tcPr>
          <w:p>
            <w:pPr>
              <w:spacing w:after="0"/>
              <w:rPr>
                <w:sz w:val="16"/>
                <w:szCs w:val="16"/>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Vesting of restricted share units</w:t>
            </w:r>
          </w:p>
        </w:tc>
        <w:tc>
          <w:tcPr>
            <w:tcW w:w="1380" w:type="dxa"/>
            <w:vAlign w:val="bottom"/>
            <w:gridSpan w:val="2"/>
          </w:tcPr>
          <w:p>
            <w:pPr>
              <w:jc w:val="right"/>
              <w:ind w:right="240"/>
              <w:spacing w:after="0"/>
              <w:rPr>
                <w:sz w:val="20"/>
                <w:szCs w:val="20"/>
                <w:color w:val="auto"/>
              </w:rPr>
            </w:pPr>
            <w:r>
              <w:rPr>
                <w:rFonts w:ascii="Arial" w:cs="Arial" w:eastAsia="Arial" w:hAnsi="Arial"/>
                <w:sz w:val="16"/>
                <w:szCs w:val="16"/>
                <w:color w:val="auto"/>
              </w:rPr>
              <w:t>15,332</w:t>
            </w:r>
          </w:p>
        </w:tc>
        <w:tc>
          <w:tcPr>
            <w:tcW w:w="880" w:type="dxa"/>
            <w:vAlign w:val="bottom"/>
          </w:tcPr>
          <w:p>
            <w:pPr>
              <w:spacing w:after="0"/>
              <w:rPr>
                <w:sz w:val="16"/>
                <w:szCs w:val="16"/>
                <w:color w:val="auto"/>
              </w:rPr>
            </w:pP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w w:val="96"/>
              </w:rPr>
              <w:t>Issuance of shares through public offering, net of issuance costs</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1,437,500</w:t>
            </w:r>
          </w:p>
        </w:tc>
        <w:tc>
          <w:tcPr>
            <w:tcW w:w="880" w:type="dxa"/>
            <w:vAlign w:val="bottom"/>
            <w:shd w:val="clear" w:color="auto" w:fill="CCEEFF"/>
          </w:tcPr>
          <w:p>
            <w:pPr>
              <w:spacing w:after="0"/>
              <w:rPr>
                <w:sz w:val="16"/>
                <w:szCs w:val="16"/>
                <w:color w:val="auto"/>
              </w:rPr>
            </w:pP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41</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10,572</w:t>
            </w:r>
          </w:p>
        </w:tc>
        <w:tc>
          <w:tcPr>
            <w:tcW w:w="1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10,613</w:t>
            </w:r>
          </w:p>
        </w:tc>
      </w:tr>
      <w:tr>
        <w:trPr>
          <w:trHeight w:val="193"/>
        </w:trPr>
        <w:tc>
          <w:tcPr>
            <w:tcW w:w="20" w:type="dxa"/>
            <w:vAlign w:val="bottom"/>
          </w:tcPr>
          <w:p>
            <w:pPr>
              <w:spacing w:after="0"/>
              <w:rPr>
                <w:sz w:val="16"/>
                <w:szCs w:val="16"/>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Share-based compensation</w:t>
            </w: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2,552</w:t>
            </w: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2,552</w:t>
            </w:r>
          </w:p>
        </w:tc>
      </w:tr>
      <w:tr>
        <w:trPr>
          <w:trHeight w:val="229"/>
        </w:trPr>
        <w:tc>
          <w:tcPr>
            <w:tcW w:w="20" w:type="dxa"/>
            <w:vAlign w:val="bottom"/>
          </w:tcPr>
          <w:p>
            <w:pPr>
              <w:spacing w:after="0"/>
              <w:rPr>
                <w:sz w:val="19"/>
                <w:szCs w:val="19"/>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BALANCE AS OF DECEMBER 31, 2019</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20,402,800</w:t>
            </w:r>
          </w:p>
        </w:tc>
        <w:tc>
          <w:tcPr>
            <w:tcW w:w="24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2"/>
              </w:rPr>
              <w:t>561</w:t>
            </w:r>
          </w:p>
        </w:tc>
        <w:tc>
          <w:tcPr>
            <w:tcW w:w="24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203,977</w:t>
            </w:r>
          </w:p>
        </w:tc>
        <w:tc>
          <w:tcPr>
            <w:tcW w:w="22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(152,073)</w:t>
            </w:r>
          </w:p>
        </w:tc>
        <w:tc>
          <w:tcPr>
            <w:tcW w:w="22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52,465</w:t>
            </w:r>
          </w:p>
        </w:tc>
        <w:tc>
          <w:tcPr>
            <w:tcW w:w="120" w:type="dxa"/>
            <w:vAlign w:val="bottom"/>
            <w:tcBorders>
              <w:bottom w:val="single" w:sz="8" w:color="CCEEFF"/>
            </w:tcBorders>
            <w:shd w:val="clear" w:color="auto" w:fill="CCEEFF"/>
          </w:tcPr>
          <w:p>
            <w:pPr>
              <w:spacing w:after="0"/>
              <w:rPr>
                <w:sz w:val="19"/>
                <w:szCs w:val="19"/>
                <w:color w:val="auto"/>
              </w:rPr>
            </w:pPr>
          </w:p>
        </w:tc>
      </w:tr>
      <w:tr>
        <w:trPr>
          <w:trHeight w:val="177"/>
        </w:trPr>
        <w:tc>
          <w:tcPr>
            <w:tcW w:w="20" w:type="dxa"/>
            <w:vAlign w:val="bottom"/>
          </w:tcPr>
          <w:p>
            <w:pPr>
              <w:spacing w:after="0"/>
              <w:rPr>
                <w:sz w:val="15"/>
                <w:szCs w:val="15"/>
                <w:color w:val="auto"/>
              </w:rPr>
            </w:pPr>
          </w:p>
        </w:tc>
        <w:tc>
          <w:tcPr>
            <w:tcW w:w="4600" w:type="dxa"/>
            <w:vAlign w:val="bottom"/>
          </w:tcPr>
          <w:p>
            <w:pPr>
              <w:spacing w:after="0" w:line="177" w:lineRule="exact"/>
              <w:rPr>
                <w:sz w:val="20"/>
                <w:szCs w:val="20"/>
                <w:color w:val="auto"/>
              </w:rPr>
            </w:pPr>
            <w:r>
              <w:rPr>
                <w:rFonts w:ascii="Arial" w:cs="Arial" w:eastAsia="Arial" w:hAnsi="Arial"/>
                <w:sz w:val="16"/>
                <w:szCs w:val="16"/>
                <w:b w:val="1"/>
                <w:bCs w:val="1"/>
                <w:color w:val="auto"/>
              </w:rPr>
              <w:t>CHANGES DURING 2020:</w:t>
            </w: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Loss for the year</w:t>
            </w:r>
          </w:p>
        </w:tc>
        <w:tc>
          <w:tcPr>
            <w:tcW w:w="11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(29,290)</w:t>
            </w:r>
          </w:p>
        </w:tc>
        <w:tc>
          <w:tcPr>
            <w:tcW w:w="12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(29,290)</w:t>
            </w:r>
          </w:p>
        </w:tc>
      </w:tr>
      <w:tr>
        <w:trPr>
          <w:trHeight w:val="177"/>
        </w:trPr>
        <w:tc>
          <w:tcPr>
            <w:tcW w:w="20" w:type="dxa"/>
            <w:vAlign w:val="bottom"/>
          </w:tcPr>
          <w:p>
            <w:pPr>
              <w:spacing w:after="0"/>
              <w:rPr>
                <w:sz w:val="15"/>
                <w:szCs w:val="15"/>
                <w:color w:val="auto"/>
              </w:rPr>
            </w:pPr>
          </w:p>
        </w:tc>
        <w:tc>
          <w:tcPr>
            <w:tcW w:w="4600" w:type="dxa"/>
            <w:vAlign w:val="bottom"/>
          </w:tcPr>
          <w:p>
            <w:pPr>
              <w:ind w:left="180"/>
              <w:spacing w:after="0" w:line="177" w:lineRule="exact"/>
              <w:rPr>
                <w:sz w:val="20"/>
                <w:szCs w:val="20"/>
                <w:color w:val="auto"/>
              </w:rPr>
            </w:pPr>
            <w:r>
              <w:rPr>
                <w:rFonts w:ascii="Arial" w:cs="Arial" w:eastAsia="Arial" w:hAnsi="Arial"/>
                <w:sz w:val="16"/>
                <w:szCs w:val="16"/>
                <w:color w:val="auto"/>
                <w:w w:val="99"/>
              </w:rPr>
              <w:t>Issuance of shares and warrants through public offering, net of</w:t>
            </w: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201"/>
        </w:trPr>
        <w:tc>
          <w:tcPr>
            <w:tcW w:w="20" w:type="dxa"/>
            <w:vAlign w:val="bottom"/>
          </w:tcPr>
          <w:p>
            <w:pPr>
              <w:spacing w:after="0"/>
              <w:rPr>
                <w:sz w:val="17"/>
                <w:szCs w:val="17"/>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issuance costs</w:t>
            </w:r>
          </w:p>
        </w:tc>
        <w:tc>
          <w:tcPr>
            <w:tcW w:w="1380" w:type="dxa"/>
            <w:vAlign w:val="bottom"/>
            <w:gridSpan w:val="2"/>
          </w:tcPr>
          <w:p>
            <w:pPr>
              <w:jc w:val="right"/>
              <w:ind w:right="240"/>
              <w:spacing w:after="0"/>
              <w:rPr>
                <w:sz w:val="20"/>
                <w:szCs w:val="20"/>
                <w:color w:val="auto"/>
              </w:rPr>
            </w:pPr>
            <w:r>
              <w:rPr>
                <w:rFonts w:ascii="Arial" w:cs="Arial" w:eastAsia="Arial" w:hAnsi="Arial"/>
                <w:sz w:val="16"/>
                <w:szCs w:val="16"/>
                <w:color w:val="auto"/>
              </w:rPr>
              <w:t>2,091,907</w:t>
            </w:r>
          </w:p>
        </w:tc>
        <w:tc>
          <w:tcPr>
            <w:tcW w:w="880" w:type="dxa"/>
            <w:vAlign w:val="bottom"/>
          </w:tcPr>
          <w:p>
            <w:pPr>
              <w:spacing w:after="0"/>
              <w:rPr>
                <w:sz w:val="17"/>
                <w:szCs w:val="17"/>
                <w:color w:val="auto"/>
              </w:rPr>
            </w:pP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61</w:t>
            </w:r>
          </w:p>
        </w:tc>
        <w:tc>
          <w:tcPr>
            <w:tcW w:w="1360" w:type="dxa"/>
            <w:vAlign w:val="bottom"/>
            <w:gridSpan w:val="2"/>
          </w:tcPr>
          <w:p>
            <w:pPr>
              <w:jc w:val="right"/>
              <w:ind w:right="220"/>
              <w:spacing w:after="0"/>
              <w:rPr>
                <w:sz w:val="20"/>
                <w:szCs w:val="20"/>
                <w:color w:val="auto"/>
              </w:rPr>
            </w:pPr>
            <w:r>
              <w:rPr>
                <w:rFonts w:ascii="Arial" w:cs="Arial" w:eastAsia="Arial" w:hAnsi="Arial"/>
                <w:sz w:val="16"/>
                <w:szCs w:val="16"/>
                <w:color w:val="auto"/>
              </w:rPr>
              <w:t>21,245</w:t>
            </w: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21,306</w:t>
            </w:r>
          </w:p>
        </w:tc>
      </w:tr>
      <w:tr>
        <w:trPr>
          <w:trHeight w:val="177"/>
        </w:trPr>
        <w:tc>
          <w:tcPr>
            <w:tcW w:w="20" w:type="dxa"/>
            <w:vAlign w:val="bottom"/>
          </w:tcPr>
          <w:p>
            <w:pPr>
              <w:spacing w:after="0"/>
              <w:rPr>
                <w:sz w:val="15"/>
                <w:szCs w:val="15"/>
                <w:color w:val="auto"/>
              </w:rPr>
            </w:pPr>
          </w:p>
        </w:tc>
        <w:tc>
          <w:tcPr>
            <w:tcW w:w="4600" w:type="dxa"/>
            <w:vAlign w:val="bottom"/>
            <w:shd w:val="clear" w:color="auto" w:fill="CCEEFF"/>
          </w:tcPr>
          <w:p>
            <w:pPr>
              <w:ind w:left="180"/>
              <w:spacing w:after="0" w:line="178" w:lineRule="exact"/>
              <w:rPr>
                <w:sz w:val="20"/>
                <w:szCs w:val="20"/>
                <w:color w:val="auto"/>
              </w:rPr>
            </w:pPr>
            <w:r>
              <w:rPr>
                <w:rFonts w:ascii="Arial" w:cs="Arial" w:eastAsia="Arial" w:hAnsi="Arial"/>
                <w:sz w:val="16"/>
                <w:szCs w:val="16"/>
                <w:color w:val="auto"/>
                <w:w w:val="90"/>
              </w:rPr>
              <w:t>Issuance of shares and warrants through private placement from the</w:t>
            </w:r>
          </w:p>
        </w:tc>
        <w:tc>
          <w:tcPr>
            <w:tcW w:w="1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r>
      <w:tr>
        <w:trPr>
          <w:trHeight w:val="202"/>
        </w:trPr>
        <w:tc>
          <w:tcPr>
            <w:tcW w:w="20" w:type="dxa"/>
            <w:vAlign w:val="bottom"/>
          </w:tcPr>
          <w:p>
            <w:pPr>
              <w:spacing w:after="0"/>
              <w:rPr>
                <w:sz w:val="17"/>
                <w:szCs w:val="17"/>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controlling shareholder</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454,628</w:t>
            </w:r>
          </w:p>
        </w:tc>
        <w:tc>
          <w:tcPr>
            <w:tcW w:w="88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13</w:t>
            </w: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4,987</w:t>
            </w: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5,000</w:t>
            </w:r>
          </w:p>
        </w:tc>
      </w:tr>
      <w:tr>
        <w:trPr>
          <w:trHeight w:val="189"/>
        </w:trPr>
        <w:tc>
          <w:tcPr>
            <w:tcW w:w="20" w:type="dxa"/>
            <w:vAlign w:val="bottom"/>
          </w:tcPr>
          <w:p>
            <w:pPr>
              <w:spacing w:after="0"/>
              <w:rPr>
                <w:sz w:val="16"/>
                <w:szCs w:val="16"/>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Vesting of restricted share units</w:t>
            </w:r>
          </w:p>
        </w:tc>
        <w:tc>
          <w:tcPr>
            <w:tcW w:w="1380" w:type="dxa"/>
            <w:vAlign w:val="bottom"/>
            <w:gridSpan w:val="2"/>
          </w:tcPr>
          <w:p>
            <w:pPr>
              <w:jc w:val="right"/>
              <w:ind w:right="240"/>
              <w:spacing w:after="0"/>
              <w:rPr>
                <w:sz w:val="20"/>
                <w:szCs w:val="20"/>
                <w:color w:val="auto"/>
              </w:rPr>
            </w:pPr>
            <w:r>
              <w:rPr>
                <w:rFonts w:ascii="Arial" w:cs="Arial" w:eastAsia="Arial" w:hAnsi="Arial"/>
                <w:sz w:val="16"/>
                <w:szCs w:val="16"/>
                <w:color w:val="auto"/>
              </w:rPr>
              <w:t>23,000</w:t>
            </w:r>
          </w:p>
        </w:tc>
        <w:tc>
          <w:tcPr>
            <w:tcW w:w="880" w:type="dxa"/>
            <w:vAlign w:val="bottom"/>
          </w:tcPr>
          <w:p>
            <w:pPr>
              <w:spacing w:after="0"/>
              <w:rPr>
                <w:sz w:val="16"/>
                <w:szCs w:val="16"/>
                <w:color w:val="auto"/>
              </w:rPr>
            </w:pPr>
          </w:p>
        </w:tc>
        <w:tc>
          <w:tcPr>
            <w:tcW w:w="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4600" w:type="dxa"/>
            <w:vAlign w:val="bottom"/>
            <w:shd w:val="clear" w:color="auto" w:fill="CCEEFF"/>
          </w:tcPr>
          <w:p>
            <w:pPr>
              <w:ind w:left="180"/>
              <w:spacing w:after="0"/>
              <w:rPr>
                <w:sz w:val="20"/>
                <w:szCs w:val="20"/>
                <w:color w:val="auto"/>
              </w:rPr>
            </w:pPr>
            <w:r>
              <w:rPr>
                <w:rFonts w:ascii="Arial" w:cs="Arial" w:eastAsia="Arial" w:hAnsi="Arial"/>
                <w:sz w:val="16"/>
                <w:szCs w:val="16"/>
                <w:color w:val="auto"/>
              </w:rPr>
              <w:t>Exercise of options</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28,447</w:t>
            </w:r>
          </w:p>
        </w:tc>
        <w:tc>
          <w:tcPr>
            <w:tcW w:w="880" w:type="dxa"/>
            <w:vAlign w:val="bottom"/>
            <w:shd w:val="clear" w:color="auto" w:fill="CCEEFF"/>
          </w:tcPr>
          <w:p>
            <w:pPr>
              <w:spacing w:after="0"/>
              <w:rPr>
                <w:sz w:val="16"/>
                <w:szCs w:val="16"/>
                <w:color w:val="auto"/>
              </w:rPr>
            </w:pPr>
          </w:p>
        </w:tc>
        <w:tc>
          <w:tcPr>
            <w:tcW w:w="4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151</w:t>
            </w:r>
          </w:p>
        </w:tc>
        <w:tc>
          <w:tcPr>
            <w:tcW w:w="1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151</w:t>
            </w:r>
          </w:p>
        </w:tc>
      </w:tr>
      <w:tr>
        <w:trPr>
          <w:trHeight w:val="193"/>
        </w:trPr>
        <w:tc>
          <w:tcPr>
            <w:tcW w:w="20" w:type="dxa"/>
            <w:vAlign w:val="bottom"/>
          </w:tcPr>
          <w:p>
            <w:pPr>
              <w:spacing w:after="0"/>
              <w:rPr>
                <w:sz w:val="16"/>
                <w:szCs w:val="16"/>
                <w:color w:val="auto"/>
              </w:rPr>
            </w:pPr>
          </w:p>
        </w:tc>
        <w:tc>
          <w:tcPr>
            <w:tcW w:w="4600" w:type="dxa"/>
            <w:vAlign w:val="bottom"/>
          </w:tcPr>
          <w:p>
            <w:pPr>
              <w:ind w:left="180"/>
              <w:spacing w:after="0"/>
              <w:rPr>
                <w:sz w:val="20"/>
                <w:szCs w:val="20"/>
                <w:color w:val="auto"/>
              </w:rPr>
            </w:pPr>
            <w:r>
              <w:rPr>
                <w:rFonts w:ascii="Arial" w:cs="Arial" w:eastAsia="Arial" w:hAnsi="Arial"/>
                <w:sz w:val="16"/>
                <w:szCs w:val="16"/>
                <w:color w:val="auto"/>
              </w:rPr>
              <w:t>Share-based compensation</w:t>
            </w:r>
          </w:p>
        </w:tc>
        <w:tc>
          <w:tcPr>
            <w:tcW w:w="11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1,217</w:t>
            </w:r>
          </w:p>
        </w:tc>
        <w:tc>
          <w:tcPr>
            <w:tcW w:w="2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6"/>
                <w:szCs w:val="16"/>
                <w:color w:val="auto"/>
              </w:rPr>
              <w:t>1,217</w:t>
            </w:r>
          </w:p>
        </w:tc>
      </w:tr>
      <w:tr>
        <w:trPr>
          <w:trHeight w:val="229"/>
        </w:trPr>
        <w:tc>
          <w:tcPr>
            <w:tcW w:w="20" w:type="dxa"/>
            <w:vAlign w:val="bottom"/>
          </w:tcPr>
          <w:p>
            <w:pPr>
              <w:spacing w:after="0"/>
              <w:rPr>
                <w:sz w:val="19"/>
                <w:szCs w:val="19"/>
                <w:color w:val="auto"/>
              </w:rPr>
            </w:pPr>
          </w:p>
        </w:tc>
        <w:tc>
          <w:tcPr>
            <w:tcW w:w="46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b w:val="1"/>
                <w:bCs w:val="1"/>
                <w:color w:val="auto"/>
              </w:rPr>
              <w:t>BALANCE AS OF DECEMBER 31, 2020</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23,000,782</w:t>
            </w:r>
          </w:p>
        </w:tc>
        <w:tc>
          <w:tcPr>
            <w:tcW w:w="240" w:type="dxa"/>
            <w:vAlign w:val="bottom"/>
            <w:tcBorders>
              <w:bottom w:val="single" w:sz="8" w:color="CCEEFF"/>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2"/>
              </w:rPr>
              <w:t>635</w:t>
            </w:r>
          </w:p>
        </w:tc>
        <w:tc>
          <w:tcPr>
            <w:tcW w:w="24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231,577</w:t>
            </w:r>
          </w:p>
        </w:tc>
        <w:tc>
          <w:tcPr>
            <w:tcW w:w="22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(181,363)</w:t>
            </w:r>
          </w:p>
        </w:tc>
        <w:tc>
          <w:tcPr>
            <w:tcW w:w="22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50,849</w:t>
            </w:r>
          </w:p>
        </w:tc>
        <w:tc>
          <w:tcPr>
            <w:tcW w:w="120" w:type="dxa"/>
            <w:vAlign w:val="bottom"/>
            <w:tcBorders>
              <w:bottom w:val="single" w:sz="8" w:color="CCEEFF"/>
            </w:tcBorders>
            <w:shd w:val="clear" w:color="auto" w:fill="CCEEFF"/>
          </w:tcPr>
          <w:p>
            <w:pPr>
              <w:spacing w:after="0"/>
              <w:rPr>
                <w:sz w:val="19"/>
                <w:szCs w:val="19"/>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9"/>
          <w:szCs w:val="19"/>
          <w:color w:val="auto"/>
        </w:rPr>
        <w:t>* Less than 1,000.</w:t>
      </w:r>
    </w:p>
    <w:p>
      <w:pPr>
        <w:spacing w:after="0" w:line="255" w:lineRule="exact"/>
        <w:rPr>
          <w:sz w:val="20"/>
          <w:szCs w:val="20"/>
          <w:color w:val="auto"/>
        </w:rPr>
      </w:pPr>
    </w:p>
    <w:p>
      <w:pPr>
        <w:spacing w:after="0"/>
        <w:rPr>
          <w:sz w:val="20"/>
          <w:szCs w:val="20"/>
          <w:color w:val="auto"/>
        </w:rPr>
      </w:pPr>
      <w:r>
        <w:rPr>
          <w:rFonts w:ascii="Arial" w:cs="Arial" w:eastAsia="Arial" w:hAnsi="Arial"/>
          <w:sz w:val="19"/>
          <w:szCs w:val="19"/>
          <w:color w:val="auto"/>
        </w:rPr>
        <w:t>The accompanying notes are an integral part of these consolidated financial statements.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55" w:name="page156"/>
    <w:bookmarkEnd w:id="155"/>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STATEMENTS OF CASH FLOWS</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w:t>
      </w: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7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700" w:type="dxa"/>
            <w:vAlign w:val="bottom"/>
            <w:tcBorders>
              <w:bottom w:val="single" w:sz="8" w:color="auto"/>
            </w:tcBorders>
            <w:gridSpan w:val="8"/>
          </w:tcPr>
          <w:p>
            <w:pPr>
              <w:jc w:val="right"/>
              <w:ind w:right="180"/>
              <w:spacing w:after="0"/>
              <w:rPr>
                <w:sz w:val="20"/>
                <w:szCs w:val="20"/>
                <w:color w:val="auto"/>
              </w:rPr>
            </w:pPr>
            <w:r>
              <w:rPr>
                <w:rFonts w:ascii="Arial" w:cs="Arial" w:eastAsia="Arial" w:hAnsi="Arial"/>
                <w:sz w:val="16"/>
                <w:szCs w:val="16"/>
                <w:b w:val="1"/>
                <w:bCs w:val="1"/>
                <w:color w:val="auto"/>
              </w:rPr>
              <w:t>Year ended December 31,</w:t>
            </w:r>
          </w:p>
        </w:tc>
        <w:tc>
          <w:tcPr>
            <w:tcW w:w="86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2018</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2019</w:t>
            </w: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21"/>
              <w:spacing w:after="0"/>
              <w:rPr>
                <w:sz w:val="20"/>
                <w:szCs w:val="20"/>
                <w:color w:val="auto"/>
              </w:rPr>
            </w:pPr>
            <w:r>
              <w:rPr>
                <w:rFonts w:ascii="Arial" w:cs="Arial" w:eastAsia="Arial" w:hAnsi="Arial"/>
                <w:sz w:val="16"/>
                <w:szCs w:val="16"/>
                <w:b w:val="1"/>
                <w:bCs w:val="1"/>
                <w:color w:val="auto"/>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7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CASH FLOWS FROM OPERATING ACTIVITIES: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rPr>
              <w:t>Loss</w:t>
            </w:r>
          </w:p>
        </w:tc>
        <w:tc>
          <w:tcPr>
            <w:tcW w:w="420" w:type="dxa"/>
            <w:vAlign w:val="bottom"/>
            <w:gridSpan w:val="2"/>
          </w:tcPr>
          <w:p>
            <w:pPr>
              <w:jc w:val="right"/>
              <w:ind w:right="107"/>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(32,203)</w:t>
            </w:r>
          </w:p>
        </w:tc>
        <w:tc>
          <w:tcPr>
            <w:tcW w:w="3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(24,609)</w:t>
            </w:r>
          </w:p>
        </w:tc>
        <w:tc>
          <w:tcPr>
            <w:tcW w:w="3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(29,290)</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Adjustments required to reconcile loss to net cash used in operating activities: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260"/>
              <w:spacing w:after="0"/>
              <w:rPr>
                <w:sz w:val="20"/>
                <w:szCs w:val="20"/>
                <w:color w:val="auto"/>
              </w:rPr>
            </w:pPr>
            <w:r>
              <w:rPr>
                <w:rFonts w:ascii="Arial" w:cs="Arial" w:eastAsia="Arial" w:hAnsi="Arial"/>
                <w:sz w:val="16"/>
                <w:szCs w:val="16"/>
                <w:color w:val="auto"/>
              </w:rPr>
              <w:t>Depreciation</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762</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887</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946</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Changes in accrued liability for employee rights upon retirement</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38</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260"/>
              <w:spacing w:after="0"/>
              <w:rPr>
                <w:sz w:val="20"/>
                <w:szCs w:val="20"/>
                <w:color w:val="auto"/>
              </w:rPr>
            </w:pPr>
            <w:r>
              <w:rPr>
                <w:rFonts w:ascii="Arial" w:cs="Arial" w:eastAsia="Arial" w:hAnsi="Arial"/>
                <w:sz w:val="16"/>
                <w:szCs w:val="16"/>
                <w:color w:val="auto"/>
              </w:rPr>
              <w:t>Share-based compensation expenses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4,654</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2,552</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1,217</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Net changes in operating leases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5</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260"/>
              <w:spacing w:after="0"/>
              <w:rPr>
                <w:sz w:val="20"/>
                <w:szCs w:val="20"/>
                <w:color w:val="auto"/>
              </w:rPr>
            </w:pPr>
            <w:r>
              <w:rPr>
                <w:rFonts w:ascii="Arial" w:cs="Arial" w:eastAsia="Arial" w:hAnsi="Arial"/>
                <w:sz w:val="16"/>
                <w:szCs w:val="16"/>
                <w:color w:val="auto"/>
              </w:rPr>
              <w:t>Changes in fair value of marketable securities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29</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65</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138</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Finance expenses, net</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(34)</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50</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rPr>
              <w:t>Changes in operating asset and liabilities: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Receivables from collaborative arrangements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(4,120)</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1,967</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260"/>
              <w:spacing w:after="0"/>
              <w:rPr>
                <w:sz w:val="20"/>
                <w:szCs w:val="20"/>
                <w:color w:val="auto"/>
              </w:rPr>
            </w:pPr>
            <w:r>
              <w:rPr>
                <w:rFonts w:ascii="Arial" w:cs="Arial" w:eastAsia="Arial" w:hAnsi="Arial"/>
                <w:sz w:val="16"/>
                <w:szCs w:val="16"/>
                <w:color w:val="auto"/>
              </w:rPr>
              <w:t>Prepaid expenses and other current assets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(1,463)</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1,694</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219</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260"/>
              <w:spacing w:after="0"/>
              <w:rPr>
                <w:sz w:val="20"/>
                <w:szCs w:val="20"/>
                <w:color w:val="auto"/>
              </w:rPr>
            </w:pPr>
            <w:r>
              <w:rPr>
                <w:rFonts w:ascii="Arial" w:cs="Arial" w:eastAsia="Arial" w:hAnsi="Arial"/>
                <w:sz w:val="16"/>
                <w:szCs w:val="16"/>
                <w:color w:val="auto"/>
              </w:rPr>
              <w:t>Accounts payable, accrued expenses and other</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3,029</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938</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(542)</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Pr>
          <w:p>
            <w:pPr>
              <w:ind w:left="260"/>
              <w:spacing w:after="0"/>
              <w:rPr>
                <w:sz w:val="20"/>
                <w:szCs w:val="20"/>
                <w:color w:val="auto"/>
              </w:rPr>
            </w:pPr>
            <w:r>
              <w:rPr>
                <w:rFonts w:ascii="Arial" w:cs="Arial" w:eastAsia="Arial" w:hAnsi="Arial"/>
                <w:sz w:val="16"/>
                <w:szCs w:val="16"/>
                <w:color w:val="auto"/>
              </w:rPr>
              <w:t>Long term receivables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1,653</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Net cash used in operating activities</w:t>
            </w:r>
          </w:p>
        </w:tc>
        <w:tc>
          <w:tcPr>
            <w:tcW w:w="16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top w:val="single" w:sz="8" w:color="auto"/>
              <w:bottom w:val="single" w:sz="8" w:color="auto"/>
            </w:tcBorders>
            <w:shd w:val="clear" w:color="auto" w:fill="CCEEFF"/>
          </w:tcPr>
          <w:p>
            <w:pPr>
              <w:spacing w:after="0"/>
              <w:rPr>
                <w:sz w:val="16"/>
                <w:szCs w:val="16"/>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(23,467)</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(22,500)</w:t>
            </w:r>
          </w:p>
        </w:tc>
        <w:tc>
          <w:tcPr>
            <w:tcW w:w="1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(25,241)</w:t>
            </w:r>
          </w:p>
        </w:tc>
        <w:tc>
          <w:tcPr>
            <w:tcW w:w="1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spacing w:after="0"/>
              <w:rPr>
                <w:sz w:val="20"/>
                <w:szCs w:val="20"/>
                <w:color w:val="auto"/>
              </w:rPr>
            </w:pPr>
            <w:r>
              <w:rPr>
                <w:rFonts w:ascii="Arial" w:cs="Arial" w:eastAsia="Arial" w:hAnsi="Arial"/>
                <w:sz w:val="16"/>
                <w:szCs w:val="16"/>
                <w:b w:val="1"/>
                <w:bCs w:val="1"/>
                <w:color w:val="auto"/>
              </w:rPr>
              <w:t>CASH FLOWS FROM INVESTING ACTIVITIES: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Purchase of property and equipment</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(1,052)</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(597)</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(449)</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rPr>
              <w:t>Bank deposits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3,000</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1,000</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(21,400)</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Restricted long-term deposits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(10)</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rPr>
              <w:t>Investments in marketable securities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(71,783)</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(38,702)</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(32,322)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Proceeds from sales and maturity of marketable securities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15,092</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54,333</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51,498</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714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rPr>
              <w:t>Net cash provided by (used in) investing activities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(54,735)</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16,024</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(2,694)</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CASH FLOWS FROM FINANCING ACTIVITIES:</w:t>
            </w:r>
          </w:p>
        </w:tc>
        <w:tc>
          <w:tcPr>
            <w:tcW w:w="160" w:type="dxa"/>
            <w:vAlign w:val="bottom"/>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rPr>
              <w:t>Proceeds from exercise of options granted to employees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44</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151</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Proceeds from issuance of shares and warrants through public offering, net of issuance costs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78,775</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10,613</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21,306</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Pr>
          <w:p>
            <w:pPr>
              <w:ind w:left="100"/>
              <w:spacing w:after="0"/>
              <w:rPr>
                <w:sz w:val="20"/>
                <w:szCs w:val="20"/>
                <w:color w:val="auto"/>
              </w:rPr>
            </w:pPr>
            <w:r>
              <w:rPr>
                <w:rFonts w:ascii="Arial" w:cs="Arial" w:eastAsia="Arial" w:hAnsi="Arial"/>
                <w:sz w:val="16"/>
                <w:szCs w:val="16"/>
                <w:color w:val="auto"/>
                <w:w w:val="91"/>
              </w:rPr>
              <w:t>Net proceeds from issuance of shares and warrants to the controlling shareholder through private placement</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5,000</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6"/>
                <w:szCs w:val="16"/>
                <w:color w:val="auto"/>
              </w:rPr>
              <w:t>Net cash provided by financing activities</w:t>
            </w:r>
          </w:p>
        </w:tc>
        <w:tc>
          <w:tcPr>
            <w:tcW w:w="160" w:type="dxa"/>
            <w:vAlign w:val="bottom"/>
            <w:tcBorders>
              <w:bottom w:val="single" w:sz="8" w:color="CCEEFF"/>
            </w:tcBorders>
            <w:shd w:val="clear" w:color="auto" w:fill="CCEEFF"/>
          </w:tcPr>
          <w:p>
            <w:pPr>
              <w:spacing w:after="0"/>
              <w:rPr>
                <w:sz w:val="16"/>
                <w:szCs w:val="16"/>
                <w:color w:val="auto"/>
              </w:rPr>
            </w:pPr>
          </w:p>
        </w:tc>
        <w:tc>
          <w:tcPr>
            <w:tcW w:w="260" w:type="dxa"/>
            <w:vAlign w:val="bottom"/>
            <w:tcBorders>
              <w:top w:val="single" w:sz="8" w:color="auto"/>
              <w:bottom w:val="single" w:sz="8" w:color="auto"/>
            </w:tcBorders>
            <w:shd w:val="clear" w:color="auto" w:fill="CCEEFF"/>
          </w:tcPr>
          <w:p>
            <w:pPr>
              <w:spacing w:after="0"/>
              <w:rPr>
                <w:sz w:val="16"/>
                <w:szCs w:val="16"/>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78,819</w:t>
            </w:r>
          </w:p>
        </w:tc>
        <w:tc>
          <w:tcPr>
            <w:tcW w:w="140" w:type="dxa"/>
            <w:vAlign w:val="bottom"/>
            <w:tcBorders>
              <w:bottom w:val="single" w:sz="8" w:color="CCEEFF"/>
            </w:tcBorders>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10,613</w:t>
            </w:r>
          </w:p>
        </w:tc>
        <w:tc>
          <w:tcPr>
            <w:tcW w:w="140" w:type="dxa"/>
            <w:vAlign w:val="bottom"/>
            <w:tcBorders>
              <w:bottom w:val="single" w:sz="8" w:color="CCEEFF"/>
            </w:tcBorders>
            <w:shd w:val="clear" w:color="auto" w:fill="CCEEFF"/>
          </w:tcPr>
          <w:p>
            <w:pPr>
              <w:spacing w:after="0"/>
              <w:rPr>
                <w:sz w:val="16"/>
                <w:szCs w:val="16"/>
                <w:color w:val="auto"/>
              </w:rPr>
            </w:pPr>
          </w:p>
        </w:tc>
        <w:tc>
          <w:tcPr>
            <w:tcW w:w="80" w:type="dxa"/>
            <w:vAlign w:val="bottom"/>
            <w:tcBorders>
              <w:bottom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26,457</w:t>
            </w:r>
          </w:p>
        </w:tc>
        <w:tc>
          <w:tcPr>
            <w:tcW w:w="1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spacing w:after="0"/>
              <w:rPr>
                <w:sz w:val="20"/>
                <w:szCs w:val="20"/>
                <w:color w:val="auto"/>
              </w:rPr>
            </w:pPr>
            <w:r>
              <w:rPr>
                <w:rFonts w:ascii="Arial" w:cs="Arial" w:eastAsia="Arial" w:hAnsi="Arial"/>
                <w:sz w:val="16"/>
                <w:szCs w:val="16"/>
                <w:b w:val="1"/>
                <w:bCs w:val="1"/>
                <w:color w:val="auto"/>
              </w:rPr>
              <w:t>EFFECT OF EXCHANGE RATE ON CASH AND CASH EQUIVALENTS</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34</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(50)</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INCREASE (DECREASE) IN CASH AND CASH EQUIVALENTS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651</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4,087</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(1,490)</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714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vMerge w:val="continue"/>
          </w:tcPr>
          <w:p>
            <w:pPr>
              <w:spacing w:after="0"/>
              <w:rPr>
                <w:sz w:val="16"/>
                <w:szCs w:val="16"/>
                <w:color w:val="auto"/>
              </w:rPr>
            </w:pPr>
          </w:p>
        </w:tc>
        <w:tc>
          <w:tcPr>
            <w:tcW w:w="7140" w:type="dxa"/>
            <w:vAlign w:val="bottom"/>
          </w:tcPr>
          <w:p>
            <w:pPr>
              <w:spacing w:after="0"/>
              <w:rPr>
                <w:sz w:val="20"/>
                <w:szCs w:val="20"/>
                <w:color w:val="auto"/>
              </w:rPr>
            </w:pPr>
            <w:r>
              <w:rPr>
                <w:rFonts w:ascii="Arial" w:cs="Arial" w:eastAsia="Arial" w:hAnsi="Arial"/>
                <w:sz w:val="16"/>
                <w:szCs w:val="16"/>
                <w:b w:val="1"/>
                <w:bCs w:val="1"/>
                <w:color w:val="auto"/>
              </w:rPr>
              <w:t>CASH AND CASH EQUIVALENTS AND RESRICTED CASH AT BEGINNING OF THE YEAR</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5,024</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5,675</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9,762</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CASH AND CASH EQUIVALENTS AND RESTRICTED CASH AT END OF THE YEAR</w:t>
            </w:r>
          </w:p>
        </w:tc>
        <w:tc>
          <w:tcPr>
            <w:tcW w:w="16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5,675</w:t>
            </w:r>
          </w:p>
        </w:tc>
        <w:tc>
          <w:tcPr>
            <w:tcW w:w="140" w:type="dxa"/>
            <w:vAlign w:val="bottom"/>
            <w:shd w:val="clear" w:color="auto" w:fill="CCEEFF"/>
          </w:tcPr>
          <w:p>
            <w:pPr>
              <w:spacing w:after="0"/>
              <w:rPr>
                <w:sz w:val="19"/>
                <w:szCs w:val="19"/>
                <w:color w:val="auto"/>
              </w:rPr>
            </w:pP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9,762</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8,272</w:t>
            </w:r>
          </w:p>
        </w:tc>
        <w:tc>
          <w:tcPr>
            <w:tcW w:w="0" w:type="dxa"/>
            <w:vAlign w:val="bottom"/>
          </w:tcPr>
          <w:p>
            <w:pPr>
              <w:spacing w:after="0"/>
              <w:rPr>
                <w:sz w:val="1"/>
                <w:szCs w:val="1"/>
                <w:color w:val="auto"/>
              </w:rPr>
            </w:pPr>
          </w:p>
        </w:tc>
      </w:tr>
      <w:tr>
        <w:trPr>
          <w:trHeight w:val="177"/>
        </w:trPr>
        <w:tc>
          <w:tcPr>
            <w:tcW w:w="20" w:type="dxa"/>
            <w:vAlign w:val="bottom"/>
            <w:vMerge w:val="restart"/>
          </w:tcPr>
          <w:p>
            <w:pPr>
              <w:spacing w:after="0"/>
              <w:rPr>
                <w:sz w:val="15"/>
                <w:szCs w:val="15"/>
                <w:color w:val="auto"/>
              </w:rPr>
            </w:pPr>
          </w:p>
        </w:tc>
        <w:tc>
          <w:tcPr>
            <w:tcW w:w="7140" w:type="dxa"/>
            <w:vAlign w:val="bottom"/>
            <w:tcBorders>
              <w:top w:val="single" w:sz="8" w:color="CCEEFF"/>
            </w:tcBorders>
          </w:tcPr>
          <w:p>
            <w:pPr>
              <w:spacing w:after="0"/>
              <w:rPr>
                <w:sz w:val="15"/>
                <w:szCs w:val="15"/>
                <w:color w:val="auto"/>
              </w:rPr>
            </w:pPr>
          </w:p>
        </w:tc>
        <w:tc>
          <w:tcPr>
            <w:tcW w:w="160" w:type="dxa"/>
            <w:vAlign w:val="bottom"/>
            <w:tcBorders>
              <w:top w:val="single" w:sz="8" w:color="CCEEFF"/>
            </w:tcBorders>
          </w:tcPr>
          <w:p>
            <w:pPr>
              <w:spacing w:after="0"/>
              <w:rPr>
                <w:sz w:val="15"/>
                <w:szCs w:val="15"/>
                <w:color w:val="auto"/>
              </w:rPr>
            </w:pPr>
          </w:p>
        </w:tc>
        <w:tc>
          <w:tcPr>
            <w:tcW w:w="26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40" w:type="dxa"/>
            <w:vAlign w:val="bottom"/>
            <w:tcBorders>
              <w:top w:val="single" w:sz="8" w:color="CCEEFF"/>
            </w:tcBorders>
          </w:tcPr>
          <w:p>
            <w:pPr>
              <w:spacing w:after="0"/>
              <w:rPr>
                <w:sz w:val="15"/>
                <w:szCs w:val="15"/>
                <w:color w:val="auto"/>
              </w:rPr>
            </w:pPr>
          </w:p>
        </w:tc>
        <w:tc>
          <w:tcPr>
            <w:tcW w:w="100" w:type="dxa"/>
            <w:vAlign w:val="bottom"/>
            <w:tcBorders>
              <w:top w:val="single" w:sz="8" w:color="CCEEFF"/>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40" w:type="dxa"/>
            <w:vAlign w:val="bottom"/>
            <w:tcBorders>
              <w:top w:val="single" w:sz="8" w:color="CCEEFF"/>
            </w:tcBorders>
          </w:tcPr>
          <w:p>
            <w:pPr>
              <w:spacing w:after="0"/>
              <w:rPr>
                <w:sz w:val="15"/>
                <w:szCs w:val="15"/>
                <w:color w:val="auto"/>
              </w:rPr>
            </w:pPr>
          </w:p>
        </w:tc>
        <w:tc>
          <w:tcPr>
            <w:tcW w:w="80" w:type="dxa"/>
            <w:vAlign w:val="bottom"/>
            <w:tcBorders>
              <w:top w:val="single" w:sz="8" w:color="CCEEFF"/>
            </w:tcBorders>
          </w:tcPr>
          <w:p>
            <w:pPr>
              <w:spacing w:after="0"/>
              <w:rPr>
                <w:sz w:val="15"/>
                <w:szCs w:val="15"/>
                <w:color w:val="auto"/>
              </w:rPr>
            </w:pPr>
          </w:p>
        </w:tc>
        <w:tc>
          <w:tcPr>
            <w:tcW w:w="240" w:type="dxa"/>
            <w:vAlign w:val="bottom"/>
            <w:tcBorders>
              <w:top w:val="single" w:sz="8" w:color="auto"/>
            </w:tcBorders>
          </w:tcPr>
          <w:p>
            <w:pPr>
              <w:spacing w:after="0"/>
              <w:rPr>
                <w:sz w:val="15"/>
                <w:szCs w:val="15"/>
                <w:color w:val="auto"/>
              </w:rPr>
            </w:pPr>
          </w:p>
        </w:tc>
        <w:tc>
          <w:tcPr>
            <w:tcW w:w="860" w:type="dxa"/>
            <w:vAlign w:val="bottom"/>
            <w:tcBorders>
              <w:top w:val="single" w:sz="8" w:color="auto"/>
            </w:tcBorders>
          </w:tcPr>
          <w:p>
            <w:pPr>
              <w:spacing w:after="0"/>
              <w:rPr>
                <w:sz w:val="15"/>
                <w:szCs w:val="15"/>
                <w:color w:val="auto"/>
              </w:rPr>
            </w:pPr>
          </w:p>
        </w:tc>
        <w:tc>
          <w:tcPr>
            <w:tcW w:w="120" w:type="dxa"/>
            <w:vAlign w:val="bottom"/>
            <w:tcBorders>
              <w:top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7140" w:type="dxa"/>
            <w:vAlign w:val="bottom"/>
            <w:shd w:val="clear" w:color="auto" w:fill="CCEEFF"/>
          </w:tcPr>
          <w:p>
            <w:pPr>
              <w:spacing w:after="0"/>
              <w:rPr>
                <w:sz w:val="20"/>
                <w:szCs w:val="20"/>
                <w:color w:val="auto"/>
              </w:rPr>
            </w:pPr>
            <w:r>
              <w:rPr>
                <w:rFonts w:ascii="Arial" w:cs="Arial" w:eastAsia="Arial" w:hAnsi="Arial"/>
                <w:sz w:val="16"/>
                <w:szCs w:val="16"/>
                <w:color w:val="auto"/>
              </w:rPr>
              <w:t>Cash and Cash equivalents</w:t>
            </w:r>
          </w:p>
        </w:tc>
        <w:tc>
          <w:tcPr>
            <w:tcW w:w="1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5,325</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9,412</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7,122</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7140" w:type="dxa"/>
            <w:vAlign w:val="bottom"/>
          </w:tcPr>
          <w:p>
            <w:pPr>
              <w:spacing w:after="0"/>
              <w:rPr>
                <w:sz w:val="20"/>
                <w:szCs w:val="20"/>
                <w:color w:val="auto"/>
              </w:rPr>
            </w:pPr>
            <w:r>
              <w:rPr>
                <w:rFonts w:ascii="Arial" w:cs="Arial" w:eastAsia="Arial" w:hAnsi="Arial"/>
                <w:sz w:val="16"/>
                <w:szCs w:val="16"/>
                <w:color w:val="auto"/>
              </w:rPr>
              <w:t>Restricted cash</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350</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350</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1,150</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140" w:type="dxa"/>
            <w:vAlign w:val="bottom"/>
            <w:shd w:val="clear" w:color="auto" w:fill="CCEEFF"/>
          </w:tcPr>
          <w:p>
            <w:pPr>
              <w:spacing w:after="0" w:line="173" w:lineRule="exact"/>
              <w:rPr>
                <w:sz w:val="20"/>
                <w:szCs w:val="20"/>
                <w:color w:val="auto"/>
              </w:rPr>
            </w:pPr>
            <w:r>
              <w:rPr>
                <w:rFonts w:ascii="Arial" w:cs="Arial" w:eastAsia="Arial" w:hAnsi="Arial"/>
                <w:sz w:val="16"/>
                <w:szCs w:val="16"/>
                <w:b w:val="1"/>
                <w:bCs w:val="1"/>
                <w:color w:val="auto"/>
                <w:w w:val="99"/>
              </w:rPr>
              <w:t>CASH AND CASH EQUIVALENTS AND RESTRICTED CASH SHOWN IN STATEMENT OF CASH</w:t>
            </w:r>
          </w:p>
        </w:tc>
        <w:tc>
          <w:tcPr>
            <w:tcW w:w="160" w:type="dxa"/>
            <w:vAlign w:val="bottom"/>
            <w:shd w:val="clear" w:color="auto" w:fill="CCEEFF"/>
          </w:tcPr>
          <w:p>
            <w:pPr>
              <w:spacing w:after="0"/>
              <w:rPr>
                <w:sz w:val="15"/>
                <w:szCs w:val="15"/>
                <w:color w:val="auto"/>
              </w:rPr>
            </w:pPr>
          </w:p>
        </w:tc>
        <w:tc>
          <w:tcPr>
            <w:tcW w:w="26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tcBorders>
              <w:top w:val="single" w:sz="8" w:color="auto"/>
            </w:tcBorders>
            <w:shd w:val="clear" w:color="auto" w:fill="CCEEFF"/>
          </w:tcPr>
          <w:p>
            <w:pPr>
              <w:spacing w:after="0"/>
              <w:rPr>
                <w:sz w:val="15"/>
                <w:szCs w:val="15"/>
                <w:color w:val="auto"/>
              </w:rPr>
            </w:pPr>
          </w:p>
        </w:tc>
        <w:tc>
          <w:tcPr>
            <w:tcW w:w="860" w:type="dxa"/>
            <w:vAlign w:val="bottom"/>
            <w:tcBorders>
              <w:top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b w:val="1"/>
                <w:bCs w:val="1"/>
                <w:color w:val="auto"/>
              </w:rPr>
              <w:t>FLOWS</w:t>
            </w:r>
          </w:p>
        </w:tc>
        <w:tc>
          <w:tcPr>
            <w:tcW w:w="420" w:type="dxa"/>
            <w:vAlign w:val="bottom"/>
            <w:gridSpan w:val="2"/>
            <w:shd w:val="clear" w:color="auto" w:fill="CCEEFF"/>
          </w:tcPr>
          <w:p>
            <w:pPr>
              <w:jc w:val="right"/>
              <w:ind w:right="107"/>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5,675</w:t>
            </w:r>
          </w:p>
        </w:tc>
        <w:tc>
          <w:tcPr>
            <w:tcW w:w="140" w:type="dxa"/>
            <w:vAlign w:val="bottom"/>
            <w:shd w:val="clear" w:color="auto" w:fill="CCEEFF"/>
          </w:tcPr>
          <w:p>
            <w:pPr>
              <w:spacing w:after="0"/>
              <w:rPr>
                <w:sz w:val="21"/>
                <w:szCs w:val="21"/>
                <w:color w:val="auto"/>
              </w:rPr>
            </w:pP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9,762</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8,272</w:t>
            </w: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7140" w:type="dxa"/>
            <w:vAlign w:val="bottom"/>
            <w:tcBorders>
              <w:top w:val="single" w:sz="8" w:color="CCEEFF"/>
            </w:tcBorders>
          </w:tcPr>
          <w:p>
            <w:pPr>
              <w:spacing w:after="0"/>
              <w:rPr>
                <w:sz w:val="19"/>
                <w:szCs w:val="19"/>
                <w:color w:val="auto"/>
              </w:rPr>
            </w:pPr>
          </w:p>
        </w:tc>
        <w:tc>
          <w:tcPr>
            <w:tcW w:w="160" w:type="dxa"/>
            <w:vAlign w:val="bottom"/>
            <w:tcBorders>
              <w:top w:val="single" w:sz="8" w:color="CCEEFF"/>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40" w:type="dxa"/>
            <w:vAlign w:val="bottom"/>
            <w:tcBorders>
              <w:top w:val="single" w:sz="8" w:color="CCEEFF"/>
            </w:tcBorders>
          </w:tcPr>
          <w:p>
            <w:pPr>
              <w:spacing w:after="0"/>
              <w:rPr>
                <w:sz w:val="19"/>
                <w:szCs w:val="19"/>
                <w:color w:val="auto"/>
              </w:rPr>
            </w:pPr>
          </w:p>
        </w:tc>
        <w:tc>
          <w:tcPr>
            <w:tcW w:w="100" w:type="dxa"/>
            <w:vAlign w:val="bottom"/>
            <w:tcBorders>
              <w:top w:val="single" w:sz="8" w:color="CCEEFF"/>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40" w:type="dxa"/>
            <w:vAlign w:val="bottom"/>
            <w:tcBorders>
              <w:top w:val="single" w:sz="8" w:color="CCEEFF"/>
            </w:tcBorders>
          </w:tcPr>
          <w:p>
            <w:pPr>
              <w:spacing w:after="0"/>
              <w:rPr>
                <w:sz w:val="19"/>
                <w:szCs w:val="19"/>
                <w:color w:val="auto"/>
              </w:rPr>
            </w:pPr>
          </w:p>
        </w:tc>
        <w:tc>
          <w:tcPr>
            <w:tcW w:w="80" w:type="dxa"/>
            <w:vAlign w:val="bottom"/>
            <w:tcBorders>
              <w:top w:val="single" w:sz="8" w:color="CCEEFF"/>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120" w:type="dxa"/>
            <w:vAlign w:val="bottom"/>
            <w:tcBorders>
              <w:top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vMerge w:val="continue"/>
          </w:tcPr>
          <w:p>
            <w:pPr>
              <w:spacing w:after="0"/>
              <w:rPr>
                <w:sz w:val="15"/>
                <w:szCs w:val="15"/>
                <w:color w:val="auto"/>
              </w:rPr>
            </w:pPr>
          </w:p>
        </w:tc>
        <w:tc>
          <w:tcPr>
            <w:tcW w:w="7140" w:type="dxa"/>
            <w:vAlign w:val="bottom"/>
            <w:shd w:val="clear" w:color="auto" w:fill="CCEEFF"/>
          </w:tcPr>
          <w:p>
            <w:pPr>
              <w:spacing w:after="0" w:line="173" w:lineRule="exact"/>
              <w:rPr>
                <w:sz w:val="20"/>
                <w:szCs w:val="20"/>
                <w:color w:val="auto"/>
              </w:rPr>
            </w:pPr>
            <w:r>
              <w:rPr>
                <w:rFonts w:ascii="Arial" w:cs="Arial" w:eastAsia="Arial" w:hAnsi="Arial"/>
                <w:sz w:val="16"/>
                <w:szCs w:val="16"/>
                <w:b w:val="1"/>
                <w:bCs w:val="1"/>
                <w:color w:val="auto"/>
              </w:rPr>
              <w:t>SUPPLEMENTARY INFORMATION ON INVESTING AND FINANCING ACTIVITIES NOT</w:t>
            </w:r>
          </w:p>
        </w:tc>
        <w:tc>
          <w:tcPr>
            <w:tcW w:w="16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7140" w:type="dxa"/>
            <w:vAlign w:val="bottom"/>
            <w:shd w:val="clear" w:color="auto" w:fill="CCEEFF"/>
          </w:tcPr>
          <w:p>
            <w:pPr>
              <w:ind w:left="100"/>
              <w:spacing w:after="0"/>
              <w:rPr>
                <w:sz w:val="20"/>
                <w:szCs w:val="20"/>
                <w:color w:val="auto"/>
              </w:rPr>
            </w:pPr>
            <w:r>
              <w:rPr>
                <w:rFonts w:ascii="Arial" w:cs="Arial" w:eastAsia="Arial" w:hAnsi="Arial"/>
                <w:sz w:val="16"/>
                <w:szCs w:val="16"/>
                <w:b w:val="1"/>
                <w:bCs w:val="1"/>
                <w:color w:val="auto"/>
              </w:rPr>
              <w:t>INVOLVING CASH FLOWS:</w:t>
            </w: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spacing w:after="0"/>
              <w:rPr>
                <w:sz w:val="16"/>
                <w:szCs w:val="16"/>
                <w:color w:val="auto"/>
              </w:rPr>
            </w:pPr>
          </w:p>
        </w:tc>
        <w:tc>
          <w:tcPr>
            <w:tcW w:w="420" w:type="dxa"/>
            <w:vAlign w:val="bottom"/>
            <w:gridSpan w:val="2"/>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40" w:type="dxa"/>
            <w:vAlign w:val="bottom"/>
            <w:gridSpan w:val="2"/>
          </w:tcPr>
          <w:p>
            <w:pPr>
              <w:spacing w:after="0"/>
              <w:rPr>
                <w:sz w:val="16"/>
                <w:szCs w:val="16"/>
                <w:color w:val="auto"/>
              </w:rPr>
            </w:pPr>
          </w:p>
        </w:tc>
        <w:tc>
          <w:tcPr>
            <w:tcW w:w="1020" w:type="dxa"/>
            <w:vAlign w:val="bottom"/>
            <w:gridSpan w:val="2"/>
          </w:tcPr>
          <w:p>
            <w:pPr>
              <w:spacing w:after="0"/>
              <w:rPr>
                <w:sz w:val="16"/>
                <w:szCs w:val="16"/>
                <w:color w:val="auto"/>
              </w:rPr>
            </w:pPr>
          </w:p>
        </w:tc>
        <w:tc>
          <w:tcPr>
            <w:tcW w:w="320" w:type="dxa"/>
            <w:vAlign w:val="bottom"/>
            <w:gridSpan w:val="2"/>
          </w:tcPr>
          <w:p>
            <w:pPr>
              <w:spacing w:after="0"/>
              <w:rPr>
                <w:sz w:val="16"/>
                <w:szCs w:val="16"/>
                <w:color w:val="auto"/>
              </w:rPr>
            </w:pPr>
          </w:p>
        </w:tc>
        <w:tc>
          <w:tcPr>
            <w:tcW w:w="98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40" w:type="dxa"/>
            <w:vAlign w:val="bottom"/>
            <w:shd w:val="clear" w:color="auto" w:fill="CCEEFF"/>
          </w:tcPr>
          <w:p>
            <w:pPr>
              <w:ind w:left="120"/>
              <w:spacing w:after="0"/>
              <w:rPr>
                <w:sz w:val="20"/>
                <w:szCs w:val="20"/>
                <w:color w:val="auto"/>
              </w:rPr>
            </w:pPr>
            <w:r>
              <w:rPr>
                <w:rFonts w:ascii="Arial" w:cs="Arial" w:eastAsia="Arial" w:hAnsi="Arial"/>
                <w:sz w:val="16"/>
                <w:szCs w:val="16"/>
                <w:color w:val="auto"/>
              </w:rPr>
              <w:t>Recognition of new operating lease ROU and liabilities</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1,329</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378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20" w:type="dxa"/>
            <w:vAlign w:val="bottom"/>
          </w:tcPr>
          <w:p>
            <w:pPr>
              <w:spacing w:after="0"/>
              <w:rPr>
                <w:sz w:val="15"/>
                <w:szCs w:val="15"/>
                <w:color w:val="auto"/>
              </w:rPr>
            </w:pPr>
          </w:p>
        </w:tc>
        <w:tc>
          <w:tcPr>
            <w:tcW w:w="7140" w:type="dxa"/>
            <w:vAlign w:val="bottom"/>
          </w:tcPr>
          <w:p>
            <w:pPr>
              <w:ind w:left="120"/>
              <w:spacing w:after="0" w:line="177" w:lineRule="exact"/>
              <w:rPr>
                <w:sz w:val="20"/>
                <w:szCs w:val="20"/>
                <w:color w:val="auto"/>
              </w:rPr>
            </w:pPr>
            <w:r>
              <w:rPr>
                <w:rFonts w:ascii="Arial" w:cs="Arial" w:eastAsia="Arial" w:hAnsi="Arial"/>
                <w:sz w:val="16"/>
                <w:szCs w:val="16"/>
                <w:color w:val="auto"/>
              </w:rPr>
              <w:t>Conversion of loans from the controlling shareholder</w:t>
            </w:r>
          </w:p>
        </w:tc>
        <w:tc>
          <w:tcPr>
            <w:tcW w:w="160" w:type="dxa"/>
            <w:vAlign w:val="bottom"/>
          </w:tcPr>
          <w:p>
            <w:pPr>
              <w:spacing w:after="0"/>
              <w:rPr>
                <w:sz w:val="15"/>
                <w:szCs w:val="15"/>
                <w:color w:val="auto"/>
              </w:rPr>
            </w:pPr>
          </w:p>
        </w:tc>
        <w:tc>
          <w:tcPr>
            <w:tcW w:w="260" w:type="dxa"/>
            <w:vAlign w:val="bottom"/>
          </w:tcPr>
          <w:p>
            <w:pPr>
              <w:jc w:val="right"/>
              <w:ind w:right="107"/>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line="177" w:lineRule="exact"/>
              <w:rPr>
                <w:sz w:val="20"/>
                <w:szCs w:val="20"/>
                <w:color w:val="auto"/>
              </w:rPr>
            </w:pPr>
            <w:r>
              <w:rPr>
                <w:rFonts w:ascii="Arial" w:cs="Arial" w:eastAsia="Arial" w:hAnsi="Arial"/>
                <w:sz w:val="16"/>
                <w:szCs w:val="16"/>
                <w:color w:val="auto"/>
              </w:rPr>
              <w:t>65,338</w:t>
            </w:r>
          </w:p>
        </w:tc>
        <w:tc>
          <w:tcPr>
            <w:tcW w:w="140" w:type="dxa"/>
            <w:vAlign w:val="bottom"/>
          </w:tcPr>
          <w:p>
            <w:pPr>
              <w:spacing w:after="0"/>
              <w:rPr>
                <w:sz w:val="15"/>
                <w:szCs w:val="15"/>
                <w:color w:val="auto"/>
              </w:rPr>
            </w:pPr>
          </w:p>
        </w:tc>
        <w:tc>
          <w:tcPr>
            <w:tcW w:w="340" w:type="dxa"/>
            <w:vAlign w:val="bottom"/>
            <w:gridSpan w:val="2"/>
          </w:tcPr>
          <w:p>
            <w:pPr>
              <w:jc w:val="right"/>
              <w:ind w:right="160"/>
              <w:spacing w:after="0" w:line="177" w:lineRule="exact"/>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140"/>
              <w:spacing w:after="0" w:line="177" w:lineRule="exact"/>
              <w:rPr>
                <w:sz w:val="20"/>
                <w:szCs w:val="20"/>
                <w:color w:val="auto"/>
              </w:rPr>
            </w:pPr>
            <w:r>
              <w:rPr>
                <w:rFonts w:ascii="Arial" w:cs="Arial" w:eastAsia="Arial" w:hAnsi="Arial"/>
                <w:sz w:val="16"/>
                <w:szCs w:val="16"/>
                <w:color w:val="auto"/>
              </w:rPr>
              <w:t>-</w:t>
            </w:r>
          </w:p>
        </w:tc>
        <w:tc>
          <w:tcPr>
            <w:tcW w:w="320" w:type="dxa"/>
            <w:vAlign w:val="bottom"/>
            <w:gridSpan w:val="2"/>
          </w:tcPr>
          <w:p>
            <w:pPr>
              <w:jc w:val="right"/>
              <w:ind w:right="160"/>
              <w:spacing w:after="0" w:line="177" w:lineRule="exact"/>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120"/>
              <w:spacing w:after="0" w:line="177"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20" w:type="dxa"/>
            <w:vAlign w:val="bottom"/>
            <w:vMerge w:val="continue"/>
          </w:tcPr>
          <w:p>
            <w:pPr>
              <w:spacing w:after="0"/>
              <w:rPr>
                <w:sz w:val="15"/>
                <w:szCs w:val="15"/>
                <w:color w:val="auto"/>
              </w:rPr>
            </w:pPr>
          </w:p>
        </w:tc>
        <w:tc>
          <w:tcPr>
            <w:tcW w:w="7140" w:type="dxa"/>
            <w:vAlign w:val="bottom"/>
            <w:shd w:val="clear" w:color="auto" w:fill="CCEEFF"/>
          </w:tcPr>
          <w:p>
            <w:pPr>
              <w:spacing w:after="0" w:line="177" w:lineRule="exact"/>
              <w:rPr>
                <w:sz w:val="20"/>
                <w:szCs w:val="20"/>
                <w:color w:val="auto"/>
              </w:rPr>
            </w:pPr>
            <w:r>
              <w:rPr>
                <w:rFonts w:ascii="Arial" w:cs="Arial" w:eastAsia="Arial" w:hAnsi="Arial"/>
                <w:sz w:val="16"/>
                <w:szCs w:val="16"/>
                <w:b w:val="1"/>
                <w:bCs w:val="1"/>
                <w:color w:val="auto"/>
              </w:rPr>
              <w:t>SUPPLEMENTARY INFORMATION:</w:t>
            </w:r>
          </w:p>
        </w:tc>
        <w:tc>
          <w:tcPr>
            <w:tcW w:w="16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140" w:type="dxa"/>
            <w:vAlign w:val="bottom"/>
          </w:tcPr>
          <w:p>
            <w:pPr>
              <w:ind w:left="140"/>
              <w:spacing w:after="0"/>
              <w:rPr>
                <w:sz w:val="20"/>
                <w:szCs w:val="20"/>
                <w:color w:val="auto"/>
              </w:rPr>
            </w:pPr>
            <w:r>
              <w:rPr>
                <w:rFonts w:ascii="Arial" w:cs="Arial" w:eastAsia="Arial" w:hAnsi="Arial"/>
                <w:sz w:val="16"/>
                <w:szCs w:val="16"/>
                <w:color w:val="auto"/>
              </w:rPr>
              <w:t>Income taxes paid</w:t>
            </w:r>
          </w:p>
        </w:tc>
        <w:tc>
          <w:tcPr>
            <w:tcW w:w="420" w:type="dxa"/>
            <w:vAlign w:val="bottom"/>
            <w:gridSpan w:val="2"/>
          </w:tcPr>
          <w:p>
            <w:pPr>
              <w:jc w:val="right"/>
              <w:ind w:right="107"/>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6"/>
                <w:szCs w:val="16"/>
                <w:color w:val="auto"/>
              </w:rPr>
            </w:pPr>
          </w:p>
        </w:tc>
        <w:tc>
          <w:tcPr>
            <w:tcW w:w="3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3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40" w:type="dxa"/>
            <w:vAlign w:val="bottom"/>
            <w:shd w:val="clear" w:color="auto" w:fill="CCEEFF"/>
          </w:tcPr>
          <w:p>
            <w:pPr>
              <w:ind w:left="120"/>
              <w:spacing w:after="0"/>
              <w:rPr>
                <w:sz w:val="20"/>
                <w:szCs w:val="20"/>
                <w:color w:val="auto"/>
              </w:rPr>
            </w:pPr>
            <w:r>
              <w:rPr>
                <w:rFonts w:ascii="Arial" w:cs="Arial" w:eastAsia="Arial" w:hAnsi="Arial"/>
                <w:sz w:val="16"/>
                <w:szCs w:val="16"/>
                <w:color w:val="auto"/>
              </w:rPr>
              <w:t>Interest received</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1,477</w:t>
            </w:r>
          </w:p>
        </w:tc>
        <w:tc>
          <w:tcPr>
            <w:tcW w:w="14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0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1,600</w:t>
            </w: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9"/>
          <w:szCs w:val="19"/>
          <w:color w:val="auto"/>
        </w:rPr>
        <w:t>The accompanying notes are an integral part of these consolidated financial statements.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56" w:name="page157"/>
    <w:bookmarkEnd w:id="156"/>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NOTES TO THE CONSOLIDATED FINANCIAL STATEMENTS</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1 — NATURE OF OPERATIONS</w:t>
      </w:r>
    </w:p>
    <w:p>
      <w:pPr>
        <w:spacing w:after="0" w:line="261" w:lineRule="exact"/>
        <w:rPr>
          <w:sz w:val="20"/>
          <w:szCs w:val="20"/>
          <w:color w:val="auto"/>
        </w:rPr>
      </w:pPr>
    </w:p>
    <w:p>
      <w:pPr>
        <w:ind w:left="300"/>
        <w:spacing w:after="0"/>
        <w:rPr>
          <w:sz w:val="20"/>
          <w:szCs w:val="20"/>
          <w:color w:val="auto"/>
        </w:rPr>
      </w:pPr>
      <w:r>
        <w:rPr>
          <w:rFonts w:ascii="Arial" w:cs="Arial" w:eastAsia="Arial" w:hAnsi="Arial"/>
          <w:sz w:val="19"/>
          <w:szCs w:val="19"/>
          <w:color w:val="auto"/>
        </w:rPr>
        <w:t>Sol-Gel Technologies Ltd. (collectively with its subsidiary, the Company) is an Israeli Company incorporated in 1997.</w:t>
      </w:r>
    </w:p>
    <w:p>
      <w:pPr>
        <w:spacing w:after="0" w:line="255" w:lineRule="exact"/>
        <w:rPr>
          <w:sz w:val="20"/>
          <w:szCs w:val="20"/>
          <w:color w:val="auto"/>
        </w:rPr>
      </w:pPr>
    </w:p>
    <w:p>
      <w:pPr>
        <w:ind w:left="300" w:right="60"/>
        <w:spacing w:after="0" w:line="224" w:lineRule="auto"/>
        <w:rPr>
          <w:sz w:val="20"/>
          <w:szCs w:val="20"/>
          <w:color w:val="auto"/>
        </w:rPr>
      </w:pPr>
      <w:r>
        <w:rPr>
          <w:rFonts w:ascii="Arial" w:cs="Arial" w:eastAsia="Arial" w:hAnsi="Arial"/>
          <w:sz w:val="19"/>
          <w:szCs w:val="19"/>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The most advanced investigational drugs in the Company's product pipeline are: (i) Twyneo</w:t>
      </w:r>
      <w:r>
        <w:rPr>
          <w:rFonts w:ascii="Arial" w:cs="Arial" w:eastAsia="Arial" w:hAnsi="Arial"/>
          <w:sz w:val="31"/>
          <w:szCs w:val="31"/>
          <w:color w:val="auto"/>
          <w:vertAlign w:val="superscript"/>
        </w:rPr>
        <w:t>®</w:t>
      </w:r>
      <w:r>
        <w:rPr>
          <w:rFonts w:ascii="Arial" w:cs="Arial" w:eastAsia="Arial" w:hAnsi="Arial"/>
          <w:sz w:val="19"/>
          <w:szCs w:val="19"/>
          <w:color w:val="auto"/>
        </w:rPr>
        <w:t>, which is developed for the treatment of acne vulgaris. The New Drug Application ("NDA") for Twyneo® was accepted by the U.S. Food and Drug Administration (the “FDA”), which assigned a Prescription Drug User Fee Act ("PDUFA") goal date of August 1, 2021; and (ii) Epsolay</w:t>
      </w:r>
      <w:r>
        <w:rPr>
          <w:rFonts w:ascii="Arial" w:cs="Arial" w:eastAsia="Arial" w:hAnsi="Arial"/>
          <w:sz w:val="31"/>
          <w:szCs w:val="31"/>
          <w:color w:val="auto"/>
          <w:vertAlign w:val="superscript"/>
        </w:rPr>
        <w:t>®</w:t>
      </w:r>
      <w:r>
        <w:rPr>
          <w:rFonts w:ascii="Arial" w:cs="Arial" w:eastAsia="Arial" w:hAnsi="Arial"/>
          <w:sz w:val="19"/>
          <w:szCs w:val="19"/>
          <w:color w:val="auto"/>
        </w:rPr>
        <w:t>, a potential treatment for subtype II rosacea. The NDA for Epsolay® was accepted by the FDA, which assigned a PDUFA goal date of April 26, 2021. In addition to the novel product candidates, the Company’s products include the generic product Acyclovir and other generic product candidates.</w:t>
      </w:r>
    </w:p>
    <w:p>
      <w:pPr>
        <w:spacing w:after="0" w:line="240" w:lineRule="exact"/>
        <w:rPr>
          <w:sz w:val="20"/>
          <w:szCs w:val="20"/>
          <w:color w:val="auto"/>
        </w:rPr>
      </w:pPr>
    </w:p>
    <w:p>
      <w:pPr>
        <w:ind w:left="300" w:right="160"/>
        <w:spacing w:after="0" w:line="313" w:lineRule="auto"/>
        <w:rPr>
          <w:sz w:val="20"/>
          <w:szCs w:val="20"/>
          <w:color w:val="auto"/>
        </w:rPr>
      </w:pPr>
      <w:r>
        <w:rPr>
          <w:rFonts w:ascii="Arial" w:cs="Arial" w:eastAsia="Arial" w:hAnsi="Arial"/>
          <w:sz w:val="18"/>
          <w:szCs w:val="18"/>
          <w:color w:val="auto"/>
        </w:rPr>
        <w:t>The Company has a wholly owned U.S. subsidiary - Sol-Gel Technologies Inc. (the "Subsidiary"). The Subsidiary supports the Company with regard to marketing, regulatory affairs and business development relating to its products and technology in the U.S.</w:t>
      </w:r>
    </w:p>
    <w:p>
      <w:pPr>
        <w:spacing w:after="0" w:line="170" w:lineRule="exact"/>
        <w:rPr>
          <w:sz w:val="20"/>
          <w:szCs w:val="20"/>
          <w:color w:val="auto"/>
        </w:rPr>
      </w:pPr>
    </w:p>
    <w:p>
      <w:pPr>
        <w:ind w:left="300"/>
        <w:spacing w:after="0" w:line="267" w:lineRule="auto"/>
        <w:rPr>
          <w:sz w:val="20"/>
          <w:szCs w:val="20"/>
          <w:color w:val="auto"/>
        </w:rPr>
      </w:pPr>
      <w:r>
        <w:rPr>
          <w:rFonts w:ascii="Arial" w:cs="Arial" w:eastAsia="Arial" w:hAnsi="Arial"/>
          <w:sz w:val="19"/>
          <w:szCs w:val="19"/>
          <w:color w:val="auto"/>
        </w:rPr>
        <w:t>Since incorporation through December 31, 2020, the Company has an accumulated deficit of approximately $181,363 thousand and its activities have been funded mainly by its shareholders and collaboration revenues. The Company expects to continue to incur significant research and development and other costs related to its ongoing operations and in order to continue its future operations, the Company will need to obtain additional funding until becoming profitable.</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0"/>
          </w:cols>
          <w:pgMar w:left="320" w:top="363" w:right="339" w:bottom="1440" w:gutter="0" w:footer="0" w:header="0"/>
        </w:sectPr>
      </w:pPr>
    </w:p>
    <w:bookmarkStart w:id="157" w:name="page158"/>
    <w:bookmarkEnd w:id="157"/>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ind w:left="2465"/>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ind w:left="3385"/>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1 - NATURE OF OPERATIONS </w:t>
      </w:r>
      <w:r>
        <w:rPr>
          <w:rFonts w:ascii="Arial" w:cs="Arial" w:eastAsia="Arial" w:hAnsi="Arial"/>
          <w:sz w:val="19"/>
          <w:szCs w:val="19"/>
          <w:color w:val="auto"/>
        </w:rPr>
        <w:t>(continued)</w:t>
      </w:r>
    </w:p>
    <w:p>
      <w:pPr>
        <w:spacing w:after="0" w:line="261" w:lineRule="exact"/>
        <w:rPr>
          <w:sz w:val="20"/>
          <w:szCs w:val="20"/>
          <w:color w:val="auto"/>
        </w:rPr>
      </w:pPr>
    </w:p>
    <w:p>
      <w:pPr>
        <w:ind w:left="305" w:right="40"/>
        <w:spacing w:after="0" w:line="265" w:lineRule="auto"/>
        <w:rPr>
          <w:sz w:val="20"/>
          <w:szCs w:val="20"/>
          <w:color w:val="auto"/>
        </w:rPr>
      </w:pPr>
      <w:r>
        <w:rPr>
          <w:rFonts w:ascii="Arial" w:cs="Arial" w:eastAsia="Arial" w:hAnsi="Arial"/>
          <w:sz w:val="19"/>
          <w:szCs w:val="19"/>
          <w:color w:val="auto"/>
        </w:rPr>
        <w:t>Management is considering raising additional funding from different sources, such as corporate collaborations, licensing of its branded products or similar arrangements, public or private equity offerings and/or debt financings, and/or selling shares under the Company's Open Market Sale Agreement with Jefferies LLC. Management expects that the Company's cash and cash equivalents, deposits and marketable securities as of December 31, 2020 will allow the Company to fund its operating plan through at least the next 12 months from the financial statement issuance date.</w:t>
      </w:r>
    </w:p>
    <w:p>
      <w:pPr>
        <w:spacing w:after="0" w:line="213" w:lineRule="exact"/>
        <w:rPr>
          <w:sz w:val="20"/>
          <w:szCs w:val="20"/>
          <w:color w:val="auto"/>
        </w:rPr>
      </w:pPr>
    </w:p>
    <w:p>
      <w:pPr>
        <w:ind w:left="305" w:right="20"/>
        <w:spacing w:after="0" w:line="271" w:lineRule="auto"/>
        <w:rPr>
          <w:sz w:val="20"/>
          <w:szCs w:val="20"/>
          <w:color w:val="auto"/>
        </w:rPr>
      </w:pPr>
      <w:r>
        <w:rPr>
          <w:rFonts w:ascii="Arial" w:cs="Arial" w:eastAsia="Arial" w:hAnsi="Arial"/>
          <w:sz w:val="19"/>
          <w:szCs w:val="19"/>
          <w:color w:val="auto"/>
        </w:rPr>
        <w:t>In December 2019, COVID-19 was identified in Wuhan, China. This virus continues to spread globally and, as of December 2020, has spread to over 50 countries, including the United States and Israel. The Company is subject to risks and uncertainties as a result of the COVID-19 pandemic.</w:t>
      </w:r>
    </w:p>
    <w:p>
      <w:pPr>
        <w:spacing w:after="0" w:line="206" w:lineRule="exact"/>
        <w:rPr>
          <w:sz w:val="20"/>
          <w:szCs w:val="20"/>
          <w:color w:val="auto"/>
        </w:rPr>
      </w:pPr>
    </w:p>
    <w:p>
      <w:pPr>
        <w:ind w:left="305" w:right="80"/>
        <w:spacing w:after="0" w:line="345" w:lineRule="auto"/>
        <w:rPr>
          <w:sz w:val="20"/>
          <w:szCs w:val="20"/>
          <w:color w:val="auto"/>
        </w:rPr>
      </w:pPr>
      <w:r>
        <w:rPr>
          <w:rFonts w:ascii="Arial" w:cs="Arial" w:eastAsia="Arial" w:hAnsi="Arial"/>
          <w:sz w:val="17"/>
          <w:szCs w:val="17"/>
          <w:color w:val="auto"/>
        </w:rPr>
        <w:t>As of December 31, 2020, the main impact on the Company's operations resulting from COVID-19 was the decline in revenues of Acyclovir in the second quarter. Management believes that such decline was mainly attributed to travel restrictions and stay-at-home-orders.</w:t>
      </w:r>
    </w:p>
    <w:p>
      <w:pPr>
        <w:spacing w:after="0" w:line="148" w:lineRule="exact"/>
        <w:rPr>
          <w:sz w:val="20"/>
          <w:szCs w:val="20"/>
          <w:color w:val="auto"/>
        </w:rPr>
      </w:pPr>
    </w:p>
    <w:p>
      <w:pPr>
        <w:ind w:left="305" w:right="120"/>
        <w:spacing w:after="0" w:line="264" w:lineRule="auto"/>
        <w:rPr>
          <w:sz w:val="20"/>
          <w:szCs w:val="20"/>
          <w:color w:val="auto"/>
        </w:rPr>
      </w:pPr>
      <w:r>
        <w:rPr>
          <w:rFonts w:ascii="Arial" w:cs="Arial" w:eastAsia="Arial" w:hAnsi="Arial"/>
          <w:sz w:val="19"/>
          <w:szCs w:val="19"/>
          <w:color w:val="auto"/>
        </w:rPr>
        <w:t>The full extent to which the COVID-19 pandemic will directly or indirectly impact the Company's business, results of operations and financial condition, including revenues from collaboration arrangements, expenses, reserves and allowances, manufacturing, supply, regulatory approvals, clinical trials, commercial launch of branded and generic product candidates, research and development costs and employee-related amounts, will depend on future developments that are highly uncertain and cannot be predicted. The Company continues to monitor and assess new information related to the COVID-19 pandemic, the actions taken to contain or treat COVID-19, as well as the economic impact on the different markets.</w:t>
      </w:r>
    </w:p>
    <w:p>
      <w:pPr>
        <w:spacing w:after="0" w:line="214" w:lineRule="exact"/>
        <w:rPr>
          <w:sz w:val="20"/>
          <w:szCs w:val="20"/>
          <w:color w:val="auto"/>
        </w:rPr>
      </w:pPr>
    </w:p>
    <w:p>
      <w:pPr>
        <w:ind w:left="305"/>
        <w:spacing w:after="0" w:line="318" w:lineRule="auto"/>
        <w:rPr>
          <w:sz w:val="20"/>
          <w:szCs w:val="20"/>
          <w:color w:val="auto"/>
        </w:rPr>
      </w:pPr>
      <w:r>
        <w:rPr>
          <w:rFonts w:ascii="Arial" w:cs="Arial" w:eastAsia="Arial" w:hAnsi="Arial"/>
          <w:sz w:val="17"/>
          <w:szCs w:val="17"/>
          <w:color w:val="auto"/>
        </w:rPr>
        <w:t>Furthermore, the estimation process required to prepare the Company’s consolidated financial statements requires assumptions to be made about future events and conditions and the impact of COVID-19 on its financial results, and while management believes such assumptions are reasonable, they are inherently subjective and uncertain. The Company’s actual results could differ materially from those estimates.</w:t>
      </w:r>
    </w:p>
    <w:p>
      <w:pPr>
        <w:spacing w:after="0" w:line="163"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2 — SIGNIFICANT ACCOUNTING POLICIES</w:t>
      </w:r>
    </w:p>
    <w:p>
      <w:pPr>
        <w:spacing w:after="0" w:line="25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Basis of presentation</w:t>
      </w:r>
    </w:p>
    <w:p>
      <w:pPr>
        <w:spacing w:after="0" w:line="261" w:lineRule="exact"/>
        <w:rPr>
          <w:sz w:val="20"/>
          <w:szCs w:val="20"/>
          <w:color w:val="auto"/>
        </w:rPr>
      </w:pPr>
    </w:p>
    <w:p>
      <w:pPr>
        <w:ind w:left="305" w:right="320"/>
        <w:spacing w:after="0" w:line="284" w:lineRule="auto"/>
        <w:rPr>
          <w:sz w:val="20"/>
          <w:szCs w:val="20"/>
          <w:color w:val="auto"/>
        </w:rPr>
      </w:pPr>
      <w:r>
        <w:rPr>
          <w:rFonts w:ascii="Arial" w:cs="Arial" w:eastAsia="Arial" w:hAnsi="Arial"/>
          <w:sz w:val="19"/>
          <w:szCs w:val="19"/>
          <w:color w:val="auto"/>
        </w:rPr>
        <w:t>The Company’s financial statements have been prepared in accordance with generally accepted accounting principles in the United States of America (“U.S. GAAP”).</w:t>
      </w:r>
    </w:p>
    <w:p>
      <w:pPr>
        <w:spacing w:after="0" w:line="183" w:lineRule="exact"/>
        <w:rPr>
          <w:sz w:val="20"/>
          <w:szCs w:val="20"/>
          <w:color w:val="auto"/>
        </w:rPr>
      </w:pPr>
    </w:p>
    <w:p>
      <w:pPr>
        <w:ind w:left="305" w:hanging="305"/>
        <w:spacing w:after="0"/>
        <w:tabs>
          <w:tab w:leader="none" w:pos="305" w:val="left"/>
        </w:tabs>
        <w:numPr>
          <w:ilvl w:val="0"/>
          <w:numId w:val="147"/>
        </w:numPr>
        <w:rPr>
          <w:rFonts w:ascii="Arial" w:cs="Arial" w:eastAsia="Arial" w:hAnsi="Arial"/>
          <w:sz w:val="16"/>
          <w:szCs w:val="16"/>
          <w:b w:val="1"/>
          <w:bCs w:val="1"/>
          <w:color w:val="auto"/>
        </w:rPr>
      </w:pPr>
      <w:r>
        <w:rPr>
          <w:rFonts w:ascii="Arial" w:cs="Arial" w:eastAsia="Arial" w:hAnsi="Arial"/>
          <w:sz w:val="16"/>
          <w:szCs w:val="16"/>
          <w:b w:val="1"/>
          <w:bCs w:val="1"/>
          <w:color w:val="auto"/>
        </w:rPr>
        <w:t>Use of estimates in the preparation of financial statements</w:t>
      </w:r>
    </w:p>
    <w:p>
      <w:pPr>
        <w:spacing w:after="0" w:line="251" w:lineRule="exact"/>
        <w:rPr>
          <w:sz w:val="20"/>
          <w:szCs w:val="20"/>
          <w:color w:val="auto"/>
        </w:rPr>
      </w:pPr>
    </w:p>
    <w:p>
      <w:pPr>
        <w:ind w:left="305" w:right="120"/>
        <w:spacing w:after="0" w:line="318"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323"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58" w:name="page159"/>
    <w:bookmarkEnd w:id="158"/>
    <w:p>
      <w:pPr>
        <w:jc w:val="center"/>
        <w:ind w:right="-4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2 - SIGNIFICANT ACCOUNTING POLICIES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05" w:right="180"/>
        <w:spacing w:after="0" w:line="284" w:lineRule="auto"/>
        <w:rPr>
          <w:sz w:val="20"/>
          <w:szCs w:val="20"/>
          <w:color w:val="auto"/>
        </w:rPr>
      </w:pPr>
      <w:r>
        <w:rPr>
          <w:rFonts w:ascii="Arial" w:cs="Arial" w:eastAsia="Arial" w:hAnsi="Arial"/>
          <w:sz w:val="19"/>
          <w:szCs w:val="19"/>
          <w:color w:val="auto"/>
        </w:rPr>
        <w:t>As applicable to these consolidated financial statements, the most significant estimates and assumptions relate to the fair value of share-based compensation and the incremental borrowing rate for leases.</w:t>
      </w:r>
    </w:p>
    <w:p>
      <w:pPr>
        <w:spacing w:after="0" w:line="183" w:lineRule="exact"/>
        <w:rPr>
          <w:sz w:val="20"/>
          <w:szCs w:val="20"/>
          <w:color w:val="auto"/>
        </w:rPr>
      </w:pPr>
    </w:p>
    <w:p>
      <w:pPr>
        <w:ind w:left="305" w:hanging="305"/>
        <w:spacing w:after="0"/>
        <w:tabs>
          <w:tab w:leader="none" w:pos="305" w:val="left"/>
        </w:tabs>
        <w:numPr>
          <w:ilvl w:val="0"/>
          <w:numId w:val="148"/>
        </w:numPr>
        <w:rPr>
          <w:rFonts w:ascii="Arial" w:cs="Arial" w:eastAsia="Arial" w:hAnsi="Arial"/>
          <w:sz w:val="16"/>
          <w:szCs w:val="16"/>
          <w:b w:val="1"/>
          <w:bCs w:val="1"/>
          <w:color w:val="auto"/>
        </w:rPr>
      </w:pPr>
      <w:r>
        <w:rPr>
          <w:rFonts w:ascii="Arial" w:cs="Arial" w:eastAsia="Arial" w:hAnsi="Arial"/>
          <w:sz w:val="16"/>
          <w:szCs w:val="16"/>
          <w:b w:val="1"/>
          <w:bCs w:val="1"/>
          <w:color w:val="auto"/>
        </w:rPr>
        <w:t>Functional and presentation currency</w:t>
      </w:r>
    </w:p>
    <w:p>
      <w:pPr>
        <w:spacing w:after="0" w:line="251" w:lineRule="exact"/>
        <w:rPr>
          <w:sz w:val="20"/>
          <w:szCs w:val="20"/>
          <w:color w:val="auto"/>
        </w:rPr>
      </w:pPr>
    </w:p>
    <w:p>
      <w:pPr>
        <w:ind w:left="305" w:right="140"/>
        <w:spacing w:after="0" w:line="318" w:lineRule="auto"/>
        <w:rPr>
          <w:sz w:val="20"/>
          <w:szCs w:val="20"/>
          <w:color w:val="auto"/>
        </w:rPr>
      </w:pPr>
      <w:r>
        <w:rPr>
          <w:rFonts w:ascii="Arial" w:cs="Arial" w:eastAsia="Arial" w:hAnsi="Arial"/>
          <w:sz w:val="17"/>
          <w:szCs w:val="17"/>
          <w:color w:val="auto"/>
        </w:rPr>
        <w:t>The U.S. dollar (“dollar”) is the currency of the primary economic environment in which the operations of the Company and its subsidiary are conducted. The Company’s financing has been provided in dollars, revenues are primarily in dollars and a significant part of expenses are incurred in dollars. The financial statements are presented in dollars, which is the Company’s functional and presentation currency.</w:t>
      </w:r>
    </w:p>
    <w:p>
      <w:pPr>
        <w:spacing w:after="0" w:line="169" w:lineRule="exact"/>
        <w:rPr>
          <w:sz w:val="20"/>
          <w:szCs w:val="20"/>
          <w:color w:val="auto"/>
        </w:rPr>
      </w:pPr>
    </w:p>
    <w:p>
      <w:pPr>
        <w:ind w:left="305" w:right="120"/>
        <w:spacing w:after="0" w:line="327" w:lineRule="auto"/>
        <w:rPr>
          <w:sz w:val="20"/>
          <w:szCs w:val="20"/>
          <w:color w:val="auto"/>
        </w:rPr>
      </w:pPr>
      <w:r>
        <w:rPr>
          <w:rFonts w:ascii="Arial" w:cs="Arial" w:eastAsia="Arial" w:hAnsi="Arial"/>
          <w:sz w:val="16"/>
          <w:szCs w:val="16"/>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56" w:lineRule="exact"/>
        <w:rPr>
          <w:sz w:val="20"/>
          <w:szCs w:val="20"/>
          <w:color w:val="auto"/>
        </w:rPr>
      </w:pPr>
    </w:p>
    <w:p>
      <w:pPr>
        <w:ind w:left="305" w:hanging="305"/>
        <w:spacing w:after="0"/>
        <w:tabs>
          <w:tab w:leader="none" w:pos="305" w:val="left"/>
        </w:tabs>
        <w:numPr>
          <w:ilvl w:val="0"/>
          <w:numId w:val="149"/>
        </w:numPr>
        <w:rPr>
          <w:rFonts w:ascii="Arial" w:cs="Arial" w:eastAsia="Arial" w:hAnsi="Arial"/>
          <w:sz w:val="16"/>
          <w:szCs w:val="16"/>
          <w:b w:val="1"/>
          <w:bCs w:val="1"/>
          <w:color w:val="auto"/>
        </w:rPr>
      </w:pPr>
      <w:r>
        <w:rPr>
          <w:rFonts w:ascii="Arial" w:cs="Arial" w:eastAsia="Arial" w:hAnsi="Arial"/>
          <w:sz w:val="16"/>
          <w:szCs w:val="16"/>
          <w:b w:val="1"/>
          <w:bCs w:val="1"/>
          <w:color w:val="auto"/>
        </w:rPr>
        <w:t>Cash and cash equivalents</w:t>
      </w:r>
    </w:p>
    <w:p>
      <w:pPr>
        <w:spacing w:after="0" w:line="251" w:lineRule="exact"/>
        <w:rPr>
          <w:sz w:val="20"/>
          <w:szCs w:val="20"/>
          <w:color w:val="auto"/>
        </w:rPr>
      </w:pPr>
    </w:p>
    <w:p>
      <w:pPr>
        <w:ind w:left="305" w:right="120"/>
        <w:spacing w:after="0" w:line="271" w:lineRule="auto"/>
        <w:rPr>
          <w:sz w:val="20"/>
          <w:szCs w:val="20"/>
          <w:color w:val="auto"/>
        </w:rPr>
      </w:pPr>
      <w:r>
        <w:rPr>
          <w:rFonts w:ascii="Arial" w:cs="Arial" w:eastAsia="Arial" w:hAnsi="Arial"/>
          <w:sz w:val="19"/>
          <w:szCs w:val="19"/>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97" w:lineRule="exact"/>
        <w:rPr>
          <w:sz w:val="20"/>
          <w:szCs w:val="20"/>
          <w:color w:val="auto"/>
        </w:rPr>
      </w:pPr>
    </w:p>
    <w:p>
      <w:pPr>
        <w:ind w:left="305" w:hanging="305"/>
        <w:spacing w:after="0"/>
        <w:tabs>
          <w:tab w:leader="none" w:pos="305" w:val="left"/>
        </w:tabs>
        <w:numPr>
          <w:ilvl w:val="0"/>
          <w:numId w:val="150"/>
        </w:numPr>
        <w:rPr>
          <w:rFonts w:ascii="Arial" w:cs="Arial" w:eastAsia="Arial" w:hAnsi="Arial"/>
          <w:sz w:val="16"/>
          <w:szCs w:val="16"/>
          <w:color w:val="auto"/>
        </w:rPr>
      </w:pPr>
      <w:r>
        <w:rPr>
          <w:rFonts w:ascii="Arial" w:cs="Arial" w:eastAsia="Arial" w:hAnsi="Arial"/>
          <w:sz w:val="16"/>
          <w:szCs w:val="16"/>
          <w:b w:val="1"/>
          <w:bCs w:val="1"/>
          <w:color w:val="auto"/>
        </w:rPr>
        <w:t>Bank deposits</w:t>
      </w:r>
    </w:p>
    <w:p>
      <w:pPr>
        <w:spacing w:after="0" w:line="198" w:lineRule="exact"/>
        <w:rPr>
          <w:rFonts w:ascii="Arial" w:cs="Arial" w:eastAsia="Arial" w:hAnsi="Arial"/>
          <w:sz w:val="16"/>
          <w:szCs w:val="16"/>
          <w:color w:val="auto"/>
        </w:rPr>
      </w:pPr>
    </w:p>
    <w:p>
      <w:pPr>
        <w:ind w:left="305" w:right="100"/>
        <w:spacing w:after="0" w:line="257" w:lineRule="auto"/>
        <w:rPr>
          <w:rFonts w:ascii="Arial" w:cs="Arial" w:eastAsia="Arial" w:hAnsi="Arial"/>
          <w:sz w:val="16"/>
          <w:szCs w:val="16"/>
          <w:color w:val="auto"/>
        </w:rPr>
      </w:pPr>
      <w:r>
        <w:rPr>
          <w:rFonts w:ascii="Arial" w:cs="Arial" w:eastAsia="Arial" w:hAnsi="Arial"/>
          <w:sz w:val="16"/>
          <w:szCs w:val="16"/>
          <w:color w:val="auto"/>
        </w:rPr>
        <w:t>Bank deposits with original maturity dates of more than three months but less than one year are included in short-term deposits. Such short-term deposits bear interest at an average annual rate of approximately 0.71%-1.87% in 2020. Interest accrued on bank deposits was recorded as interest receivable as part of "Prepaid expenses and other current assets" in the company’s balance sheet.</w:t>
      </w:r>
    </w:p>
    <w:p>
      <w:pPr>
        <w:spacing w:after="0" w:line="218" w:lineRule="exact"/>
        <w:rPr>
          <w:sz w:val="20"/>
          <w:szCs w:val="20"/>
          <w:color w:val="auto"/>
        </w:rPr>
      </w:pPr>
    </w:p>
    <w:p>
      <w:pPr>
        <w:ind w:left="385"/>
        <w:spacing w:after="0"/>
        <w:rPr>
          <w:sz w:val="20"/>
          <w:szCs w:val="20"/>
          <w:color w:val="auto"/>
        </w:rPr>
      </w:pPr>
      <w:r>
        <w:rPr>
          <w:rFonts w:ascii="Arial" w:cs="Arial" w:eastAsia="Arial" w:hAnsi="Arial"/>
          <w:sz w:val="19"/>
          <w:szCs w:val="19"/>
          <w:color w:val="auto"/>
        </w:rPr>
        <w:t>Bank deposits with maturity of more than one year are considered long-term.</w:t>
      </w:r>
    </w:p>
    <w:p>
      <w:pPr>
        <w:spacing w:after="0" w:line="245" w:lineRule="exact"/>
        <w:rPr>
          <w:sz w:val="20"/>
          <w:szCs w:val="20"/>
          <w:color w:val="auto"/>
        </w:rPr>
      </w:pPr>
    </w:p>
    <w:p>
      <w:pPr>
        <w:ind w:left="305" w:hanging="305"/>
        <w:spacing w:after="0"/>
        <w:tabs>
          <w:tab w:leader="none" w:pos="305" w:val="left"/>
        </w:tabs>
        <w:numPr>
          <w:ilvl w:val="0"/>
          <w:numId w:val="151"/>
        </w:numPr>
        <w:rPr>
          <w:rFonts w:ascii="Arial" w:cs="Arial" w:eastAsia="Arial" w:hAnsi="Arial"/>
          <w:sz w:val="16"/>
          <w:szCs w:val="16"/>
          <w:b w:val="1"/>
          <w:bCs w:val="1"/>
          <w:color w:val="auto"/>
        </w:rPr>
      </w:pPr>
      <w:r>
        <w:rPr>
          <w:rFonts w:ascii="Arial" w:cs="Arial" w:eastAsia="Arial" w:hAnsi="Arial"/>
          <w:sz w:val="16"/>
          <w:szCs w:val="16"/>
          <w:b w:val="1"/>
          <w:bCs w:val="1"/>
          <w:color w:val="auto"/>
        </w:rPr>
        <w:t>Marketable securities</w:t>
      </w:r>
    </w:p>
    <w:p>
      <w:pPr>
        <w:spacing w:after="0" w:line="251" w:lineRule="exact"/>
        <w:rPr>
          <w:sz w:val="20"/>
          <w:szCs w:val="20"/>
          <w:color w:val="auto"/>
        </w:rPr>
      </w:pPr>
    </w:p>
    <w:p>
      <w:pPr>
        <w:jc w:val="both"/>
        <w:ind w:left="325" w:right="280"/>
        <w:spacing w:after="0" w:line="267" w:lineRule="auto"/>
        <w:rPr>
          <w:sz w:val="20"/>
          <w:szCs w:val="20"/>
          <w:color w:val="auto"/>
        </w:rPr>
      </w:pPr>
      <w:r>
        <w:rPr>
          <w:rFonts w:ascii="Arial" w:cs="Arial" w:eastAsia="Arial" w:hAnsi="Arial"/>
          <w:sz w:val="19"/>
          <w:szCs w:val="19"/>
          <w:color w:val="auto"/>
        </w:rPr>
        <w:t>Marketable securities consist of debt securities. The Company elected the fair value option to measure and recognize its investments in debt securities in accordance with ASC 825, Financial Instruments as the Company manages its portfolio and evaluates the performance on a fair value basis. Changes in fair value, realized gains and losses on sales of marketable securities, are reflected in the statements of operation as finance expense (income), net.</w:t>
      </w:r>
    </w:p>
    <w:p>
      <w:pPr>
        <w:spacing w:after="0" w:line="201" w:lineRule="exact"/>
        <w:rPr>
          <w:sz w:val="20"/>
          <w:szCs w:val="20"/>
          <w:color w:val="auto"/>
        </w:rPr>
      </w:pPr>
    </w:p>
    <w:p>
      <w:pPr>
        <w:ind w:left="305" w:hanging="305"/>
        <w:spacing w:after="0"/>
        <w:tabs>
          <w:tab w:leader="none" w:pos="305" w:val="left"/>
        </w:tabs>
        <w:numPr>
          <w:ilvl w:val="0"/>
          <w:numId w:val="152"/>
        </w:numPr>
        <w:rPr>
          <w:rFonts w:ascii="Arial" w:cs="Arial" w:eastAsia="Arial" w:hAnsi="Arial"/>
          <w:sz w:val="16"/>
          <w:szCs w:val="16"/>
          <w:b w:val="1"/>
          <w:bCs w:val="1"/>
          <w:color w:val="auto"/>
        </w:rPr>
      </w:pPr>
      <w:r>
        <w:rPr>
          <w:rFonts w:ascii="Arial" w:cs="Arial" w:eastAsia="Arial" w:hAnsi="Arial"/>
          <w:sz w:val="16"/>
          <w:szCs w:val="16"/>
          <w:b w:val="1"/>
          <w:bCs w:val="1"/>
          <w:color w:val="auto"/>
        </w:rPr>
        <w:t>Derivatives and hedging</w:t>
      </w:r>
    </w:p>
    <w:p>
      <w:pPr>
        <w:spacing w:after="0" w:line="198" w:lineRule="exact"/>
        <w:rPr>
          <w:rFonts w:ascii="Arial" w:cs="Arial" w:eastAsia="Arial" w:hAnsi="Arial"/>
          <w:sz w:val="16"/>
          <w:szCs w:val="16"/>
          <w:b w:val="1"/>
          <w:bCs w:val="1"/>
          <w:color w:val="auto"/>
        </w:rPr>
      </w:pPr>
    </w:p>
    <w:p>
      <w:pPr>
        <w:ind w:left="305"/>
        <w:spacing w:after="0" w:line="257" w:lineRule="auto"/>
        <w:rPr>
          <w:rFonts w:ascii="Arial" w:cs="Arial" w:eastAsia="Arial" w:hAnsi="Arial"/>
          <w:sz w:val="16"/>
          <w:szCs w:val="16"/>
          <w:b w:val="1"/>
          <w:bCs w:val="1"/>
          <w:color w:val="auto"/>
        </w:rPr>
      </w:pPr>
      <w:r>
        <w:rPr>
          <w:rFonts w:ascii="Arial" w:cs="Arial" w:eastAsia="Arial" w:hAnsi="Arial"/>
          <w:sz w:val="16"/>
          <w:szCs w:val="16"/>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therefore the changes in the fair value are included in financial expense (income), net.</w:t>
      </w:r>
    </w:p>
    <w:p>
      <w:pPr>
        <w:spacing w:after="0" w:line="165" w:lineRule="exact"/>
        <w:rPr>
          <w:rFonts w:ascii="Arial" w:cs="Arial" w:eastAsia="Arial" w:hAnsi="Arial"/>
          <w:sz w:val="16"/>
          <w:szCs w:val="16"/>
          <w:b w:val="1"/>
          <w:bCs w:val="1"/>
          <w:color w:val="auto"/>
        </w:rPr>
      </w:pPr>
    </w:p>
    <w:p>
      <w:pPr>
        <w:ind w:left="305"/>
        <w:spacing w:after="0"/>
        <w:rPr>
          <w:rFonts w:ascii="Arial" w:cs="Arial" w:eastAsia="Arial" w:hAnsi="Arial"/>
          <w:sz w:val="16"/>
          <w:szCs w:val="16"/>
          <w:b w:val="1"/>
          <w:bCs w:val="1"/>
          <w:color w:val="auto"/>
        </w:rPr>
      </w:pPr>
      <w:r>
        <w:rPr>
          <w:rFonts w:ascii="Arial" w:cs="Arial" w:eastAsia="Arial" w:hAnsi="Arial"/>
          <w:sz w:val="16"/>
          <w:szCs w:val="16"/>
          <w:color w:val="auto"/>
        </w:rPr>
        <w:t>The currency hedged items are denominated in New Israeli Shekel (NIS). The counterparties to the derivatives are major banks in Israel.</w:t>
      </w:r>
    </w:p>
    <w:p>
      <w:pPr>
        <w:spacing w:after="0" w:line="200" w:lineRule="exact"/>
        <w:rPr>
          <w:sz w:val="20"/>
          <w:szCs w:val="20"/>
          <w:color w:val="auto"/>
        </w:rPr>
      </w:pPr>
    </w:p>
    <w:p>
      <w:pPr>
        <w:spacing w:after="0" w:line="201" w:lineRule="exact"/>
        <w:rPr>
          <w:sz w:val="20"/>
          <w:szCs w:val="20"/>
          <w:color w:val="auto"/>
        </w:rPr>
      </w:pPr>
    </w:p>
    <w:p>
      <w:pPr>
        <w:jc w:val="center"/>
        <w:ind w:right="-44"/>
        <w:spacing w:after="0"/>
        <w:rPr>
          <w:sz w:val="20"/>
          <w:szCs w:val="20"/>
          <w:color w:val="auto"/>
        </w:rPr>
      </w:pPr>
      <w:r>
        <w:rPr>
          <w:rFonts w:ascii="Arial" w:cs="Arial" w:eastAsia="Arial" w:hAnsi="Arial"/>
          <w:sz w:val="19"/>
          <w:szCs w:val="19"/>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25"/>
          </w:cols>
          <w:pgMar w:left="315" w:top="363" w:right="359" w:bottom="1440" w:gutter="0" w:footer="0" w:header="0"/>
        </w:sectPr>
      </w:pPr>
    </w:p>
    <w:bookmarkStart w:id="159" w:name="page160"/>
    <w:bookmarkEnd w:id="159"/>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2 - SIGNIFICANT ACCOUNTING POLICIES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25" w:right="980"/>
        <w:spacing w:after="0" w:line="284" w:lineRule="auto"/>
        <w:rPr>
          <w:sz w:val="20"/>
          <w:szCs w:val="20"/>
          <w:color w:val="auto"/>
        </w:rPr>
      </w:pPr>
      <w:r>
        <w:rPr>
          <w:rFonts w:ascii="Arial" w:cs="Arial" w:eastAsia="Arial" w:hAnsi="Arial"/>
          <w:sz w:val="19"/>
          <w:szCs w:val="19"/>
          <w:color w:val="auto"/>
        </w:rPr>
        <w:t>As of December 31, 2020, the Company has $1,150 on the Company’s bank account that is restricted in order to secure the hedging transactions. This amount is presented among Restricted long-term deposits and cash.</w:t>
      </w:r>
    </w:p>
    <w:p>
      <w:pPr>
        <w:spacing w:after="0" w:line="183" w:lineRule="exact"/>
        <w:rPr>
          <w:sz w:val="20"/>
          <w:szCs w:val="20"/>
          <w:color w:val="auto"/>
        </w:rPr>
      </w:pPr>
    </w:p>
    <w:p>
      <w:pPr>
        <w:ind w:left="305" w:hanging="305"/>
        <w:spacing w:after="0"/>
        <w:tabs>
          <w:tab w:leader="none" w:pos="305" w:val="left"/>
        </w:tabs>
        <w:numPr>
          <w:ilvl w:val="0"/>
          <w:numId w:val="153"/>
        </w:numPr>
        <w:rPr>
          <w:rFonts w:ascii="Arial" w:cs="Arial" w:eastAsia="Arial" w:hAnsi="Arial"/>
          <w:sz w:val="16"/>
          <w:szCs w:val="16"/>
          <w:b w:val="1"/>
          <w:bCs w:val="1"/>
          <w:color w:val="auto"/>
        </w:rPr>
      </w:pPr>
      <w:r>
        <w:rPr>
          <w:rFonts w:ascii="Arial" w:cs="Arial" w:eastAsia="Arial" w:hAnsi="Arial"/>
          <w:sz w:val="16"/>
          <w:szCs w:val="16"/>
          <w:b w:val="1"/>
          <w:bCs w:val="1"/>
          <w:color w:val="auto"/>
        </w:rPr>
        <w:t>Trade receivables:</w:t>
      </w:r>
    </w:p>
    <w:p>
      <w:pPr>
        <w:spacing w:after="0" w:line="251" w:lineRule="exact"/>
        <w:rPr>
          <w:sz w:val="20"/>
          <w:szCs w:val="20"/>
          <w:color w:val="auto"/>
        </w:rPr>
      </w:pPr>
    </w:p>
    <w:p>
      <w:pPr>
        <w:ind w:left="325"/>
        <w:spacing w:after="0" w:line="284" w:lineRule="auto"/>
        <w:rPr>
          <w:sz w:val="20"/>
          <w:szCs w:val="20"/>
          <w:color w:val="auto"/>
        </w:rPr>
      </w:pPr>
      <w:r>
        <w:rPr>
          <w:rFonts w:ascii="Arial" w:cs="Arial" w:eastAsia="Arial" w:hAnsi="Arial"/>
          <w:sz w:val="19"/>
          <w:szCs w:val="19"/>
          <w:color w:val="auto"/>
        </w:rPr>
        <w:t>Trade receivables are initially recognized at the transaction price and subsequently measured at amortized cost less any allowance for expected credit losses.</w:t>
      </w:r>
    </w:p>
    <w:p>
      <w:pPr>
        <w:spacing w:after="0" w:line="193" w:lineRule="exact"/>
        <w:rPr>
          <w:sz w:val="20"/>
          <w:szCs w:val="20"/>
          <w:color w:val="auto"/>
        </w:rPr>
      </w:pPr>
    </w:p>
    <w:p>
      <w:pPr>
        <w:ind w:left="325" w:right="20" w:firstLine="67"/>
        <w:spacing w:after="0" w:line="284" w:lineRule="auto"/>
        <w:rPr>
          <w:sz w:val="20"/>
          <w:szCs w:val="20"/>
          <w:color w:val="auto"/>
        </w:rPr>
      </w:pPr>
      <w:r>
        <w:rPr>
          <w:rFonts w:ascii="Arial" w:cs="Arial" w:eastAsia="Arial" w:hAnsi="Arial"/>
          <w:sz w:val="19"/>
          <w:szCs w:val="19"/>
          <w:color w:val="auto"/>
        </w:rPr>
        <w:t>Starting from January 1, 2020, the Company applies ASU 2016-13 “Financial Instruments Credit Losses Measurement of Credit Losses on Financial Instruments” (“the Standard”).</w:t>
      </w:r>
    </w:p>
    <w:p>
      <w:pPr>
        <w:spacing w:after="0" w:line="183" w:lineRule="exact"/>
        <w:rPr>
          <w:sz w:val="20"/>
          <w:szCs w:val="20"/>
          <w:color w:val="auto"/>
        </w:rPr>
      </w:pPr>
    </w:p>
    <w:p>
      <w:pPr>
        <w:ind w:left="305" w:hanging="305"/>
        <w:spacing w:after="0"/>
        <w:tabs>
          <w:tab w:leader="none" w:pos="305" w:val="left"/>
        </w:tabs>
        <w:numPr>
          <w:ilvl w:val="0"/>
          <w:numId w:val="154"/>
        </w:numPr>
        <w:rPr>
          <w:rFonts w:ascii="Arial" w:cs="Arial" w:eastAsia="Arial" w:hAnsi="Arial"/>
          <w:sz w:val="16"/>
          <w:szCs w:val="16"/>
          <w:b w:val="1"/>
          <w:bCs w:val="1"/>
          <w:color w:val="auto"/>
        </w:rPr>
      </w:pPr>
      <w:r>
        <w:rPr>
          <w:rFonts w:ascii="Arial" w:cs="Arial" w:eastAsia="Arial" w:hAnsi="Arial"/>
          <w:sz w:val="16"/>
          <w:szCs w:val="16"/>
          <w:b w:val="1"/>
          <w:bCs w:val="1"/>
          <w:color w:val="auto"/>
        </w:rPr>
        <w:t>Property and equipment:</w:t>
      </w:r>
    </w:p>
    <w:p>
      <w:pPr>
        <w:spacing w:after="0" w:line="245" w:lineRule="exact"/>
        <w:rPr>
          <w:rFonts w:ascii="Arial" w:cs="Arial" w:eastAsia="Arial" w:hAnsi="Arial"/>
          <w:sz w:val="16"/>
          <w:szCs w:val="16"/>
          <w:b w:val="1"/>
          <w:bCs w:val="1"/>
          <w:color w:val="auto"/>
        </w:rPr>
      </w:pPr>
    </w:p>
    <w:p>
      <w:pPr>
        <w:ind w:left="605" w:hanging="298"/>
        <w:spacing w:after="0"/>
        <w:tabs>
          <w:tab w:leader="none" w:pos="605" w:val="left"/>
        </w:tabs>
        <w:numPr>
          <w:ilvl w:val="1"/>
          <w:numId w:val="154"/>
        </w:numPr>
        <w:rPr>
          <w:rFonts w:ascii="Arial" w:cs="Arial" w:eastAsia="Arial" w:hAnsi="Arial"/>
          <w:sz w:val="16"/>
          <w:szCs w:val="16"/>
          <w:color w:val="auto"/>
        </w:rPr>
      </w:pPr>
      <w:r>
        <w:rPr>
          <w:rFonts w:ascii="Arial" w:cs="Arial" w:eastAsia="Arial" w:hAnsi="Arial"/>
          <w:sz w:val="16"/>
          <w:szCs w:val="16"/>
          <w:color w:val="auto"/>
        </w:rPr>
        <w:t>Property and equipment are stated at cost, net of accumulated depreciation and amortization.</w:t>
      </w:r>
    </w:p>
    <w:p>
      <w:pPr>
        <w:spacing w:after="0" w:line="241" w:lineRule="exact"/>
        <w:rPr>
          <w:rFonts w:ascii="Arial" w:cs="Arial" w:eastAsia="Arial" w:hAnsi="Arial"/>
          <w:sz w:val="16"/>
          <w:szCs w:val="16"/>
          <w:color w:val="auto"/>
        </w:rPr>
      </w:pPr>
    </w:p>
    <w:p>
      <w:pPr>
        <w:ind w:left="605" w:hanging="298"/>
        <w:spacing w:after="0"/>
        <w:tabs>
          <w:tab w:leader="none" w:pos="605" w:val="left"/>
        </w:tabs>
        <w:numPr>
          <w:ilvl w:val="1"/>
          <w:numId w:val="154"/>
        </w:numPr>
        <w:rPr>
          <w:rFonts w:ascii="Arial" w:cs="Arial" w:eastAsia="Arial" w:hAnsi="Arial"/>
          <w:sz w:val="16"/>
          <w:szCs w:val="16"/>
          <w:color w:val="auto"/>
        </w:rPr>
      </w:pPr>
      <w:r>
        <w:rPr>
          <w:rFonts w:ascii="Arial" w:cs="Arial" w:eastAsia="Arial" w:hAnsi="Arial"/>
          <w:sz w:val="16"/>
          <w:szCs w:val="16"/>
          <w:color w:val="auto"/>
        </w:rPr>
        <w:t>The Company’s property and equipment are depreciated utilizing the straight-line method on the basis of their estimated useful life.</w:t>
      </w:r>
    </w:p>
    <w:p>
      <w:pPr>
        <w:spacing w:after="0" w:line="247" w:lineRule="exact"/>
        <w:rPr>
          <w:sz w:val="20"/>
          <w:szCs w:val="20"/>
          <w:color w:val="auto"/>
        </w:rPr>
      </w:pPr>
    </w:p>
    <w:p>
      <w:pPr>
        <w:ind w:left="325"/>
        <w:spacing w:after="0"/>
        <w:rPr>
          <w:sz w:val="20"/>
          <w:szCs w:val="20"/>
          <w:color w:val="auto"/>
        </w:rPr>
      </w:pPr>
      <w:r>
        <w:rPr>
          <w:rFonts w:ascii="Arial" w:cs="Arial" w:eastAsia="Arial" w:hAnsi="Arial"/>
          <w:sz w:val="19"/>
          <w:szCs w:val="19"/>
          <w:color w:val="auto"/>
        </w:rPr>
        <w:t>Annual rates of depreciation are as follows:</w:t>
      </w:r>
    </w:p>
    <w:p>
      <w:pPr>
        <w:spacing w:after="0" w:line="245" w:lineRule="exact"/>
        <w:rPr>
          <w:sz w:val="20"/>
          <w:szCs w:val="20"/>
          <w:color w:val="auto"/>
        </w:rPr>
      </w:pPr>
    </w:p>
    <w:tbl>
      <w:tblPr>
        <w:tblLayout w:type="fixed"/>
        <w:tblInd w:w="845"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6900" w:type="dxa"/>
            <w:vAlign w:val="bottom"/>
          </w:tcPr>
          <w:p>
            <w:pPr>
              <w:spacing w:after="0"/>
              <w:rPr>
                <w:sz w:val="18"/>
                <w:szCs w:val="18"/>
                <w:color w:val="auto"/>
              </w:rPr>
            </w:pPr>
          </w:p>
        </w:tc>
        <w:tc>
          <w:tcPr>
            <w:tcW w:w="2660" w:type="dxa"/>
            <w:vAlign w:val="bottom"/>
            <w:tcBorders>
              <w:bottom w:val="single" w:sz="8" w:color="auto"/>
            </w:tcBorders>
          </w:tcPr>
          <w:p>
            <w:pPr>
              <w:jc w:val="right"/>
              <w:ind w:right="1241"/>
              <w:spacing w:after="0"/>
              <w:rPr>
                <w:sz w:val="20"/>
                <w:szCs w:val="20"/>
                <w:color w:val="auto"/>
              </w:rPr>
            </w:pPr>
            <w:r>
              <w:rPr>
                <w:rFonts w:ascii="Arial" w:cs="Arial" w:eastAsia="Arial" w:hAnsi="Arial"/>
                <w:sz w:val="16"/>
                <w:szCs w:val="16"/>
                <w:b w:val="1"/>
                <w:bCs w:val="1"/>
                <w:color w:val="auto"/>
              </w:rPr>
              <w:t>%</w:t>
            </w:r>
          </w:p>
        </w:tc>
      </w:tr>
      <w:tr>
        <w:trPr>
          <w:trHeight w:val="189"/>
        </w:trPr>
        <w:tc>
          <w:tcPr>
            <w:tcW w:w="20" w:type="dxa"/>
            <w:vAlign w:val="bottom"/>
          </w:tcPr>
          <w:p>
            <w:pPr>
              <w:spacing w:after="0"/>
              <w:rPr>
                <w:sz w:val="16"/>
                <w:szCs w:val="16"/>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6"/>
                <w:szCs w:val="16"/>
                <w:color w:val="auto"/>
              </w:rPr>
              <w:t>Laboratory equipment</w:t>
            </w:r>
          </w:p>
        </w:tc>
        <w:tc>
          <w:tcPr>
            <w:tcW w:w="2660" w:type="dxa"/>
            <w:vAlign w:val="bottom"/>
            <w:shd w:val="clear" w:color="auto" w:fill="CCEEFF"/>
          </w:tcPr>
          <w:p>
            <w:pPr>
              <w:jc w:val="right"/>
              <w:ind w:right="481"/>
              <w:spacing w:after="0"/>
              <w:rPr>
                <w:sz w:val="20"/>
                <w:szCs w:val="20"/>
                <w:color w:val="auto"/>
              </w:rPr>
            </w:pPr>
            <w:r>
              <w:rPr>
                <w:rFonts w:ascii="Arial" w:cs="Arial" w:eastAsia="Arial" w:hAnsi="Arial"/>
                <w:sz w:val="16"/>
                <w:szCs w:val="16"/>
                <w:color w:val="auto"/>
              </w:rPr>
              <w:t>10 – 33 (mainly 15 – 25)</w:t>
            </w:r>
          </w:p>
        </w:tc>
      </w:tr>
      <w:tr>
        <w:trPr>
          <w:trHeight w:val="189"/>
        </w:trPr>
        <w:tc>
          <w:tcPr>
            <w:tcW w:w="20" w:type="dxa"/>
            <w:vAlign w:val="bottom"/>
          </w:tcPr>
          <w:p>
            <w:pPr>
              <w:spacing w:after="0"/>
              <w:rPr>
                <w:sz w:val="16"/>
                <w:szCs w:val="16"/>
                <w:color w:val="auto"/>
              </w:rPr>
            </w:pPr>
          </w:p>
        </w:tc>
        <w:tc>
          <w:tcPr>
            <w:tcW w:w="6900" w:type="dxa"/>
            <w:vAlign w:val="bottom"/>
          </w:tcPr>
          <w:p>
            <w:pPr>
              <w:spacing w:after="0"/>
              <w:rPr>
                <w:sz w:val="20"/>
                <w:szCs w:val="20"/>
                <w:color w:val="auto"/>
              </w:rPr>
            </w:pPr>
            <w:r>
              <w:rPr>
                <w:rFonts w:ascii="Arial" w:cs="Arial" w:eastAsia="Arial" w:hAnsi="Arial"/>
                <w:sz w:val="16"/>
                <w:szCs w:val="16"/>
                <w:color w:val="auto"/>
              </w:rPr>
              <w:t>Office equipment and furniture</w:t>
            </w:r>
          </w:p>
        </w:tc>
        <w:tc>
          <w:tcPr>
            <w:tcW w:w="2660" w:type="dxa"/>
            <w:vAlign w:val="bottom"/>
          </w:tcPr>
          <w:p>
            <w:pPr>
              <w:jc w:val="center"/>
              <w:spacing w:after="0"/>
              <w:rPr>
                <w:sz w:val="20"/>
                <w:szCs w:val="20"/>
                <w:color w:val="auto"/>
              </w:rPr>
            </w:pPr>
            <w:r>
              <w:rPr>
                <w:rFonts w:ascii="Arial" w:cs="Arial" w:eastAsia="Arial" w:hAnsi="Arial"/>
                <w:sz w:val="16"/>
                <w:szCs w:val="16"/>
                <w:color w:val="auto"/>
              </w:rPr>
              <w:t>7–15</w:t>
            </w:r>
          </w:p>
        </w:tc>
      </w:tr>
      <w:tr>
        <w:trPr>
          <w:trHeight w:val="189"/>
        </w:trPr>
        <w:tc>
          <w:tcPr>
            <w:tcW w:w="20" w:type="dxa"/>
            <w:vAlign w:val="bottom"/>
          </w:tcPr>
          <w:p>
            <w:pPr>
              <w:spacing w:after="0"/>
              <w:rPr>
                <w:sz w:val="16"/>
                <w:szCs w:val="16"/>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6"/>
                <w:szCs w:val="16"/>
                <w:color w:val="auto"/>
              </w:rPr>
              <w:t>Computers and related equipment</w:t>
            </w:r>
          </w:p>
        </w:tc>
        <w:tc>
          <w:tcPr>
            <w:tcW w:w="2660" w:type="dxa"/>
            <w:vAlign w:val="bottom"/>
            <w:shd w:val="clear" w:color="auto" w:fill="CCEEFF"/>
          </w:tcPr>
          <w:p>
            <w:pPr>
              <w:jc w:val="right"/>
              <w:ind w:right="1181"/>
              <w:spacing w:after="0"/>
              <w:rPr>
                <w:sz w:val="20"/>
                <w:szCs w:val="20"/>
                <w:color w:val="auto"/>
              </w:rPr>
            </w:pPr>
            <w:r>
              <w:rPr>
                <w:rFonts w:ascii="Arial" w:cs="Arial" w:eastAsia="Arial" w:hAnsi="Arial"/>
                <w:sz w:val="16"/>
                <w:szCs w:val="16"/>
                <w:color w:val="auto"/>
              </w:rPr>
              <w:t>33</w:t>
            </w:r>
          </w:p>
        </w:tc>
      </w:tr>
    </w:tbl>
    <w:p>
      <w:pPr>
        <w:spacing w:after="0" w:line="229" w:lineRule="exact"/>
        <w:rPr>
          <w:sz w:val="20"/>
          <w:szCs w:val="20"/>
          <w:color w:val="auto"/>
        </w:rPr>
      </w:pPr>
    </w:p>
    <w:p>
      <w:pPr>
        <w:ind w:left="305" w:right="100"/>
        <w:spacing w:after="0" w:line="284" w:lineRule="auto"/>
        <w:rPr>
          <w:sz w:val="20"/>
          <w:szCs w:val="20"/>
          <w:color w:val="auto"/>
        </w:rPr>
      </w:pPr>
      <w:r>
        <w:rPr>
          <w:rFonts w:ascii="Arial" w:cs="Arial" w:eastAsia="Arial" w:hAnsi="Arial"/>
          <w:sz w:val="19"/>
          <w:szCs w:val="19"/>
          <w:color w:val="auto"/>
        </w:rPr>
        <w:t>Leasehold improvements are amortized utilizing the straight-line method over the shorter of the expected lease term or the estimated useful life of the improvements.</w:t>
      </w:r>
    </w:p>
    <w:p>
      <w:pPr>
        <w:spacing w:after="0" w:line="183" w:lineRule="exact"/>
        <w:rPr>
          <w:sz w:val="20"/>
          <w:szCs w:val="20"/>
          <w:color w:val="auto"/>
        </w:rPr>
      </w:pPr>
    </w:p>
    <w:p>
      <w:pPr>
        <w:ind w:left="305" w:hanging="305"/>
        <w:spacing w:after="0"/>
        <w:tabs>
          <w:tab w:leader="none" w:pos="305" w:val="left"/>
        </w:tabs>
        <w:numPr>
          <w:ilvl w:val="0"/>
          <w:numId w:val="155"/>
        </w:numPr>
        <w:rPr>
          <w:rFonts w:ascii="Arial" w:cs="Arial" w:eastAsia="Arial" w:hAnsi="Arial"/>
          <w:sz w:val="16"/>
          <w:szCs w:val="16"/>
          <w:b w:val="1"/>
          <w:bCs w:val="1"/>
          <w:color w:val="auto"/>
        </w:rPr>
      </w:pPr>
      <w:r>
        <w:rPr>
          <w:rFonts w:ascii="Arial" w:cs="Arial" w:eastAsia="Arial" w:hAnsi="Arial"/>
          <w:sz w:val="16"/>
          <w:szCs w:val="16"/>
          <w:b w:val="1"/>
          <w:bCs w:val="1"/>
          <w:color w:val="auto"/>
        </w:rPr>
        <w:t>Impairment of long-lived assets</w:t>
      </w:r>
    </w:p>
    <w:p>
      <w:pPr>
        <w:spacing w:after="0" w:line="251" w:lineRule="exact"/>
        <w:rPr>
          <w:sz w:val="20"/>
          <w:szCs w:val="20"/>
          <w:color w:val="auto"/>
        </w:rPr>
      </w:pPr>
    </w:p>
    <w:p>
      <w:pPr>
        <w:ind w:left="305" w:right="540"/>
        <w:spacing w:after="0" w:line="293" w:lineRule="auto"/>
        <w:rPr>
          <w:sz w:val="20"/>
          <w:szCs w:val="20"/>
          <w:color w:val="auto"/>
        </w:rPr>
      </w:pPr>
      <w:r>
        <w:rPr>
          <w:rFonts w:ascii="Arial" w:cs="Arial" w:eastAsia="Arial" w:hAnsi="Arial"/>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188" w:lineRule="exact"/>
        <w:rPr>
          <w:sz w:val="20"/>
          <w:szCs w:val="20"/>
          <w:color w:val="auto"/>
        </w:rPr>
      </w:pPr>
    </w:p>
    <w:p>
      <w:pPr>
        <w:ind w:left="305"/>
        <w:spacing w:after="0"/>
        <w:rPr>
          <w:sz w:val="20"/>
          <w:szCs w:val="20"/>
          <w:color w:val="auto"/>
        </w:rPr>
      </w:pPr>
      <w:r>
        <w:rPr>
          <w:rFonts w:ascii="Arial" w:cs="Arial" w:eastAsia="Arial" w:hAnsi="Arial"/>
          <w:sz w:val="19"/>
          <w:szCs w:val="19"/>
          <w:color w:val="auto"/>
        </w:rPr>
        <w:t>For the three years ended December 31, 2020, the Company did not recognize an impairment loss for its long-lived assets.</w:t>
      </w:r>
    </w:p>
    <w:p>
      <w:pPr>
        <w:spacing w:after="0" w:line="245" w:lineRule="exact"/>
        <w:rPr>
          <w:sz w:val="20"/>
          <w:szCs w:val="20"/>
          <w:color w:val="auto"/>
        </w:rPr>
      </w:pPr>
    </w:p>
    <w:p>
      <w:pPr>
        <w:ind w:left="305" w:hanging="305"/>
        <w:spacing w:after="0"/>
        <w:tabs>
          <w:tab w:leader="none" w:pos="305" w:val="left"/>
        </w:tabs>
        <w:numPr>
          <w:ilvl w:val="0"/>
          <w:numId w:val="156"/>
        </w:numPr>
        <w:rPr>
          <w:rFonts w:ascii="Arial" w:cs="Arial" w:eastAsia="Arial" w:hAnsi="Arial"/>
          <w:sz w:val="16"/>
          <w:szCs w:val="16"/>
          <w:b w:val="1"/>
          <w:bCs w:val="1"/>
          <w:color w:val="auto"/>
        </w:rPr>
      </w:pPr>
      <w:r>
        <w:rPr>
          <w:rFonts w:ascii="Arial" w:cs="Arial" w:eastAsia="Arial" w:hAnsi="Arial"/>
          <w:sz w:val="16"/>
          <w:szCs w:val="16"/>
          <w:b w:val="1"/>
          <w:bCs w:val="1"/>
          <w:color w:val="auto"/>
        </w:rPr>
        <w:t>Share-based compensation</w:t>
      </w:r>
    </w:p>
    <w:p>
      <w:pPr>
        <w:spacing w:after="0" w:line="251" w:lineRule="exact"/>
        <w:rPr>
          <w:sz w:val="20"/>
          <w:szCs w:val="20"/>
          <w:color w:val="auto"/>
        </w:rPr>
      </w:pPr>
    </w:p>
    <w:p>
      <w:pPr>
        <w:ind w:left="305" w:right="60"/>
        <w:spacing w:after="0" w:line="284" w:lineRule="auto"/>
        <w:rPr>
          <w:sz w:val="20"/>
          <w:szCs w:val="20"/>
          <w:color w:val="auto"/>
        </w:rPr>
      </w:pPr>
      <w:r>
        <w:rPr>
          <w:rFonts w:ascii="Arial" w:cs="Arial" w:eastAsia="Arial" w:hAnsi="Arial"/>
          <w:sz w:val="19"/>
          <w:szCs w:val="19"/>
          <w:color w:val="auto"/>
        </w:rPr>
        <w:t>The Company accounts for employees’ share-based payment awards classified as equity awards using the grant-date fair value method. The fair value of share-based payment transactions is recognized as an expense over the requisite service period.</w:t>
      </w:r>
    </w:p>
    <w:p>
      <w:pPr>
        <w:spacing w:after="0" w:line="193" w:lineRule="exact"/>
        <w:rPr>
          <w:sz w:val="20"/>
          <w:szCs w:val="20"/>
          <w:color w:val="auto"/>
        </w:rPr>
      </w:pPr>
    </w:p>
    <w:p>
      <w:pPr>
        <w:ind w:left="305" w:right="260"/>
        <w:spacing w:after="0" w:line="284" w:lineRule="auto"/>
        <w:rPr>
          <w:sz w:val="20"/>
          <w:szCs w:val="20"/>
          <w:color w:val="auto"/>
        </w:rPr>
      </w:pPr>
      <w:r>
        <w:rPr>
          <w:rFonts w:ascii="Arial" w:cs="Arial" w:eastAsia="Arial" w:hAnsi="Arial"/>
          <w:sz w:val="19"/>
          <w:szCs w:val="19"/>
          <w:color w:val="auto"/>
        </w:rPr>
        <w:t>The Company elected to recognize compensation costs for awards conditioned only on continued service that have a graded vesting schedule using the accelerated method based on the multiple-option award approach.</w:t>
      </w:r>
    </w:p>
    <w:p>
      <w:pPr>
        <w:spacing w:after="0" w:line="193" w:lineRule="exact"/>
        <w:rPr>
          <w:sz w:val="20"/>
          <w:szCs w:val="20"/>
          <w:color w:val="auto"/>
        </w:rPr>
      </w:pPr>
    </w:p>
    <w:p>
      <w:pPr>
        <w:ind w:left="305" w:right="160"/>
        <w:spacing w:after="0" w:line="318" w:lineRule="auto"/>
        <w:rPr>
          <w:sz w:val="20"/>
          <w:szCs w:val="20"/>
          <w:color w:val="auto"/>
        </w:rPr>
      </w:pPr>
      <w:r>
        <w:rPr>
          <w:rFonts w:ascii="Arial" w:cs="Arial" w:eastAsia="Arial" w:hAnsi="Arial"/>
          <w:sz w:val="17"/>
          <w:szCs w:val="17"/>
          <w:color w:val="auto"/>
        </w:rPr>
        <w:t>On January 1, 2019 the Company adopted ASU 2018-07 (Topic 718) that expands the scope of Topic 718 to include share-based payment transactions for acquiring goods and services from nonemployees. Under the provision of the amendment, the Company measures share-based compensation to non-employees in the same manner (except for certain exceptions) as share-based compensation to employees.</w:t>
      </w:r>
    </w:p>
    <w:p>
      <w:pPr>
        <w:spacing w:after="0" w:line="323"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60" w:name="page161"/>
    <w:bookmarkEnd w:id="160"/>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2 - SIGNIFICANT ACCOUNTING POLICIES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05" w:right="100"/>
        <w:spacing w:after="0" w:line="267" w:lineRule="auto"/>
        <w:rPr>
          <w:sz w:val="20"/>
          <w:szCs w:val="20"/>
          <w:color w:val="auto"/>
        </w:rPr>
      </w:pPr>
      <w:r>
        <w:rPr>
          <w:rFonts w:ascii="Arial" w:cs="Arial" w:eastAsia="Arial" w:hAnsi="Arial"/>
          <w:sz w:val="19"/>
          <w:szCs w:val="19"/>
          <w:color w:val="auto"/>
        </w:rPr>
        <w:t>Prior to January 1, 2019, when options were granted as consideration for services provided by consultants and other non-employees, the grant was accounted for based on the fair value of the consideration received or the fair value of the options issued, whichever is more reliably measurable. The fair value of the options granted was measured on a final basis at the end of the related service period and recognized over the related service period using the graded vesting schedule method.</w:t>
      </w:r>
    </w:p>
    <w:p>
      <w:pPr>
        <w:spacing w:after="0" w:line="210" w:lineRule="exact"/>
        <w:rPr>
          <w:sz w:val="20"/>
          <w:szCs w:val="20"/>
          <w:color w:val="auto"/>
        </w:rPr>
      </w:pPr>
    </w:p>
    <w:p>
      <w:pPr>
        <w:ind w:left="305"/>
        <w:spacing w:after="0"/>
        <w:rPr>
          <w:sz w:val="20"/>
          <w:szCs w:val="20"/>
          <w:color w:val="auto"/>
        </w:rPr>
      </w:pPr>
      <w:r>
        <w:rPr>
          <w:rFonts w:ascii="Arial" w:cs="Arial" w:eastAsia="Arial" w:hAnsi="Arial"/>
          <w:sz w:val="19"/>
          <w:szCs w:val="19"/>
          <w:color w:val="auto"/>
        </w:rPr>
        <w:t>The Company has elected to recognize forfeitures as they occur.</w:t>
      </w:r>
    </w:p>
    <w:p>
      <w:pPr>
        <w:spacing w:after="0" w:line="245" w:lineRule="exact"/>
        <w:rPr>
          <w:sz w:val="20"/>
          <w:szCs w:val="20"/>
          <w:color w:val="auto"/>
        </w:rPr>
      </w:pPr>
    </w:p>
    <w:p>
      <w:pPr>
        <w:ind w:left="305" w:hanging="305"/>
        <w:spacing w:after="0"/>
        <w:tabs>
          <w:tab w:leader="none" w:pos="305" w:val="left"/>
        </w:tabs>
        <w:numPr>
          <w:ilvl w:val="0"/>
          <w:numId w:val="157"/>
        </w:numPr>
        <w:rPr>
          <w:rFonts w:ascii="Arial" w:cs="Arial" w:eastAsia="Arial" w:hAnsi="Arial"/>
          <w:sz w:val="16"/>
          <w:szCs w:val="16"/>
          <w:b w:val="1"/>
          <w:bCs w:val="1"/>
          <w:color w:val="auto"/>
        </w:rPr>
      </w:pPr>
      <w:r>
        <w:rPr>
          <w:rFonts w:ascii="Arial" w:cs="Arial" w:eastAsia="Arial" w:hAnsi="Arial"/>
          <w:sz w:val="16"/>
          <w:szCs w:val="16"/>
          <w:b w:val="1"/>
          <w:bCs w:val="1"/>
          <w:color w:val="auto"/>
        </w:rPr>
        <w:t>Research and development expenses</w:t>
      </w:r>
    </w:p>
    <w:p>
      <w:pPr>
        <w:spacing w:after="0" w:line="251" w:lineRule="exact"/>
        <w:rPr>
          <w:sz w:val="20"/>
          <w:szCs w:val="20"/>
          <w:color w:val="auto"/>
        </w:rPr>
      </w:pPr>
    </w:p>
    <w:p>
      <w:pPr>
        <w:jc w:val="both"/>
        <w:ind w:left="305" w:right="40"/>
        <w:spacing w:after="0" w:line="271" w:lineRule="auto"/>
        <w:rPr>
          <w:sz w:val="20"/>
          <w:szCs w:val="20"/>
          <w:color w:val="auto"/>
        </w:rPr>
      </w:pPr>
      <w:r>
        <w:rPr>
          <w:rFonts w:ascii="Arial" w:cs="Arial" w:eastAsia="Arial" w:hAnsi="Arial"/>
          <w:sz w:val="19"/>
          <w:szCs w:val="19"/>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206" w:lineRule="exact"/>
        <w:rPr>
          <w:sz w:val="20"/>
          <w:szCs w:val="20"/>
          <w:color w:val="auto"/>
        </w:rPr>
      </w:pPr>
    </w:p>
    <w:p>
      <w:pPr>
        <w:ind w:left="305" w:right="540"/>
        <w:spacing w:after="0" w:line="284" w:lineRule="auto"/>
        <w:rPr>
          <w:sz w:val="20"/>
          <w:szCs w:val="20"/>
          <w:color w:val="auto"/>
        </w:rPr>
      </w:pPr>
      <w:r>
        <w:rPr>
          <w:rFonts w:ascii="Arial" w:cs="Arial" w:eastAsia="Arial" w:hAnsi="Arial"/>
          <w:sz w:val="19"/>
          <w:szCs w:val="19"/>
          <w:color w:val="auto"/>
        </w:rPr>
        <w:t>Acquisitions of in-process research and development product candidate, which are not part of business combination, are recognized as an expense as research and development expenses as incurred.</w:t>
      </w:r>
    </w:p>
    <w:p>
      <w:pPr>
        <w:spacing w:after="0" w:line="193" w:lineRule="exact"/>
        <w:rPr>
          <w:sz w:val="20"/>
          <w:szCs w:val="20"/>
          <w:color w:val="auto"/>
        </w:rPr>
      </w:pPr>
    </w:p>
    <w:p>
      <w:pPr>
        <w:ind w:left="305" w:right="20"/>
        <w:spacing w:after="0" w:line="287" w:lineRule="auto"/>
        <w:rPr>
          <w:sz w:val="20"/>
          <w:szCs w:val="20"/>
          <w:color w:val="auto"/>
        </w:rPr>
      </w:pPr>
      <w:r>
        <w:rPr>
          <w:rFonts w:ascii="Arial" w:cs="Arial" w:eastAsia="Arial" w:hAnsi="Arial"/>
          <w:sz w:val="18"/>
          <w:szCs w:val="18"/>
          <w:color w:val="auto"/>
        </w:rPr>
        <w:t>Grants received from Israel Innovation Authority (hereafter — “IIA”), formerly known as the Office of the Chief Scientist of the Ministry of Economy and Industry, or the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See note 6a(1).</w:t>
      </w:r>
    </w:p>
    <w:p>
      <w:pPr>
        <w:spacing w:after="0" w:line="193" w:lineRule="exact"/>
        <w:rPr>
          <w:sz w:val="20"/>
          <w:szCs w:val="20"/>
          <w:color w:val="auto"/>
        </w:rPr>
      </w:pPr>
    </w:p>
    <w:p>
      <w:pPr>
        <w:ind w:left="305" w:right="100"/>
        <w:spacing w:after="0" w:line="267" w:lineRule="auto"/>
        <w:rPr>
          <w:sz w:val="20"/>
          <w:szCs w:val="20"/>
          <w:color w:val="auto"/>
        </w:rPr>
      </w:pPr>
      <w:r>
        <w:rPr>
          <w:rFonts w:ascii="Arial" w:cs="Arial" w:eastAsia="Arial" w:hAnsi="Arial"/>
          <w:sz w:val="19"/>
          <w:szCs w:val="19"/>
          <w:color w:val="auto"/>
        </w:rPr>
        <w:t>Clinical trial costs are a significant component of research and development expenses and include costs associated with third-party contractors. The Company outsources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201" w:lineRule="exact"/>
        <w:rPr>
          <w:sz w:val="20"/>
          <w:szCs w:val="20"/>
          <w:color w:val="auto"/>
        </w:rPr>
      </w:pPr>
    </w:p>
    <w:p>
      <w:pPr>
        <w:ind w:left="305" w:hanging="305"/>
        <w:spacing w:after="0"/>
        <w:tabs>
          <w:tab w:leader="none" w:pos="305" w:val="left"/>
        </w:tabs>
        <w:numPr>
          <w:ilvl w:val="0"/>
          <w:numId w:val="158"/>
        </w:numPr>
        <w:rPr>
          <w:rFonts w:ascii="Arial" w:cs="Arial" w:eastAsia="Arial" w:hAnsi="Arial"/>
          <w:sz w:val="16"/>
          <w:szCs w:val="16"/>
          <w:b w:val="1"/>
          <w:bCs w:val="1"/>
          <w:color w:val="auto"/>
        </w:rPr>
      </w:pPr>
      <w:r>
        <w:rPr>
          <w:rFonts w:ascii="Arial" w:cs="Arial" w:eastAsia="Arial" w:hAnsi="Arial"/>
          <w:sz w:val="16"/>
          <w:szCs w:val="16"/>
          <w:b w:val="1"/>
          <w:bCs w:val="1"/>
          <w:color w:val="auto"/>
        </w:rPr>
        <w:t>Revenue recognition</w:t>
      </w:r>
    </w:p>
    <w:p>
      <w:pPr>
        <w:spacing w:after="0" w:line="251" w:lineRule="exact"/>
        <w:rPr>
          <w:sz w:val="20"/>
          <w:szCs w:val="20"/>
          <w:color w:val="auto"/>
        </w:rPr>
      </w:pPr>
    </w:p>
    <w:p>
      <w:pPr>
        <w:ind w:left="325"/>
        <w:spacing w:after="0" w:line="282" w:lineRule="auto"/>
        <w:rPr>
          <w:sz w:val="20"/>
          <w:szCs w:val="20"/>
          <w:color w:val="auto"/>
        </w:rPr>
      </w:pPr>
      <w:r>
        <w:rPr>
          <w:rFonts w:ascii="Arial" w:cs="Arial" w:eastAsia="Arial" w:hAnsi="Arial"/>
          <w:sz w:val="18"/>
          <w:szCs w:val="18"/>
          <w:color w:val="auto"/>
        </w:rPr>
        <w:t>The Company applies ASC 606, Revenue from Contracts with Customers. According to the standard, an entity recognizes revenue when its customer obtains control of promised goods or services, in an amount that reflects the consideration that the entity expects to receive in exchange for those goods or services. To determine revenue recognition for arrangements that an entity determines are within the scope of Topic 606, the entity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performance obligation is satisfied.</w:t>
      </w:r>
    </w:p>
    <w:p>
      <w:pPr>
        <w:spacing w:after="0" w:line="196" w:lineRule="exact"/>
        <w:rPr>
          <w:sz w:val="20"/>
          <w:szCs w:val="20"/>
          <w:color w:val="auto"/>
        </w:rPr>
      </w:pPr>
    </w:p>
    <w:p>
      <w:pPr>
        <w:ind w:left="325" w:right="140"/>
        <w:spacing w:after="0" w:line="304" w:lineRule="auto"/>
        <w:rPr>
          <w:sz w:val="20"/>
          <w:szCs w:val="20"/>
          <w:color w:val="auto"/>
        </w:rPr>
      </w:pPr>
      <w:r>
        <w:rPr>
          <w:rFonts w:ascii="Arial" w:cs="Arial" w:eastAsia="Arial" w:hAnsi="Arial"/>
          <w:sz w:val="17"/>
          <w:szCs w:val="17"/>
          <w:color w:val="auto"/>
        </w:rPr>
        <w:t>An entity only applies the five-step model to contracts when it is probable that the entity will collect the consideration it is entitled to in exchange for the goods or services it transfers to the customer, after considering any price concession expected to be provided to the customer, when applicable. At contract inception, the entity assesses the goods or services promised within each contract and determines those that are performance obligations and assesses whether each promised good or service is distinct. The entity then recognizes as revenue the amount of the transaction price that is allocated to the respective performance obligation when (or as) the performance obligation is satisfied.</w:t>
      </w:r>
    </w:p>
    <w:p>
      <w:pPr>
        <w:spacing w:after="0" w:line="335"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5"/>
          </w:cols>
          <w:pgMar w:left="315" w:top="127" w:right="339" w:bottom="1440" w:gutter="0" w:footer="0" w:header="0"/>
        </w:sectPr>
      </w:pPr>
    </w:p>
    <w:bookmarkStart w:id="161" w:name="page162"/>
    <w:bookmarkEnd w:id="161"/>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2 - SIGNIFICANT ACCOUNTING POLICIES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05"/>
        <w:spacing w:after="0"/>
        <w:rPr>
          <w:sz w:val="20"/>
          <w:szCs w:val="20"/>
          <w:color w:val="auto"/>
        </w:rPr>
      </w:pPr>
      <w:r>
        <w:rPr>
          <w:rFonts w:ascii="Arial" w:cs="Arial" w:eastAsia="Arial" w:hAnsi="Arial"/>
          <w:sz w:val="19"/>
          <w:szCs w:val="19"/>
          <w:i w:val="1"/>
          <w:iCs w:val="1"/>
          <w:color w:val="auto"/>
        </w:rPr>
        <w:t>Collaborative Arrangements</w:t>
      </w:r>
    </w:p>
    <w:p>
      <w:pPr>
        <w:spacing w:after="0" w:line="255" w:lineRule="exact"/>
        <w:rPr>
          <w:sz w:val="20"/>
          <w:szCs w:val="20"/>
          <w:color w:val="auto"/>
        </w:rPr>
      </w:pPr>
    </w:p>
    <w:p>
      <w:pPr>
        <w:ind w:left="325" w:right="60"/>
        <w:spacing w:after="0" w:line="265" w:lineRule="auto"/>
        <w:rPr>
          <w:sz w:val="20"/>
          <w:szCs w:val="20"/>
          <w:color w:val="auto"/>
        </w:rPr>
      </w:pPr>
      <w:r>
        <w:rPr>
          <w:rFonts w:ascii="Arial" w:cs="Arial" w:eastAsia="Arial" w:hAnsi="Arial"/>
          <w:sz w:val="19"/>
          <w:szCs w:val="19"/>
          <w:color w:val="auto"/>
        </w:rPr>
        <w:t>The Company entered into collaborative arrangements with partners that fall under the scope of Topic 808, Collaborative Arrangements (“ASC 808”). While these arrangements are in the scope of ASC 808, the Company may analogize to ASC 606 for some aspects of the arrangements. The Company analogizes to ASC 606 for certain activities within the collaborative arrangement for the delivery of a good or service (i.e., a unit of account) that is part of its ongoing major or central operations. Revenue recognized by analogizing to ASC 606 is recorded as “collaboration revenues”.</w:t>
      </w:r>
    </w:p>
    <w:p>
      <w:pPr>
        <w:spacing w:after="0" w:line="213" w:lineRule="exact"/>
        <w:rPr>
          <w:sz w:val="20"/>
          <w:szCs w:val="20"/>
          <w:color w:val="auto"/>
        </w:rPr>
      </w:pPr>
    </w:p>
    <w:p>
      <w:pPr>
        <w:ind w:left="325" w:right="260"/>
        <w:spacing w:after="0" w:line="271" w:lineRule="auto"/>
        <w:rPr>
          <w:sz w:val="20"/>
          <w:szCs w:val="20"/>
          <w:color w:val="auto"/>
        </w:rPr>
      </w:pPr>
      <w:r>
        <w:rPr>
          <w:rFonts w:ascii="Arial" w:cs="Arial" w:eastAsia="Arial" w:hAnsi="Arial"/>
          <w:sz w:val="19"/>
          <w:szCs w:val="19"/>
          <w:color w:val="auto"/>
        </w:rPr>
        <w:t>The terms of the Company’s collaborative arrangements typically include one or more of the following: (i) royalties on net sales of licensed products; (ii) reimbursements or cost-sharing of R&amp;D expenses. Each of these payments results in collaboration revenues or an offset against R&amp;D expense.</w:t>
      </w:r>
    </w:p>
    <w:p>
      <w:pPr>
        <w:spacing w:after="0" w:line="206" w:lineRule="exact"/>
        <w:rPr>
          <w:sz w:val="20"/>
          <w:szCs w:val="20"/>
          <w:color w:val="auto"/>
        </w:rPr>
      </w:pPr>
    </w:p>
    <w:p>
      <w:pPr>
        <w:ind w:left="325" w:right="140"/>
        <w:spacing w:after="0" w:line="271" w:lineRule="auto"/>
        <w:rPr>
          <w:sz w:val="20"/>
          <w:szCs w:val="20"/>
          <w:color w:val="auto"/>
        </w:rPr>
      </w:pPr>
      <w:r>
        <w:rPr>
          <w:rFonts w:ascii="Arial" w:cs="Arial" w:eastAsia="Arial" w:hAnsi="Arial"/>
          <w:sz w:val="19"/>
          <w:szCs w:val="19"/>
          <w:color w:val="auto"/>
        </w:rPr>
        <w:t>Royalties: For arrangements that include sales-based royalties and the license is deemed to be the predominant item to which the royalties relate, the Company recognizes collaboration revenue at the later of (i) when the related sales occur, or (ii) when the performance obligation to which some or all of the royalty has been allocated has been satisfied (or partially satisfied).</w:t>
      </w:r>
    </w:p>
    <w:p>
      <w:pPr>
        <w:spacing w:after="0" w:line="206" w:lineRule="exact"/>
        <w:rPr>
          <w:sz w:val="20"/>
          <w:szCs w:val="20"/>
          <w:color w:val="auto"/>
        </w:rPr>
      </w:pPr>
    </w:p>
    <w:p>
      <w:pPr>
        <w:ind w:left="325" w:right="100"/>
        <w:spacing w:after="0" w:line="267" w:lineRule="auto"/>
        <w:rPr>
          <w:sz w:val="20"/>
          <w:szCs w:val="20"/>
          <w:color w:val="auto"/>
        </w:rPr>
      </w:pPr>
      <w:r>
        <w:rPr>
          <w:rFonts w:ascii="Arial" w:cs="Arial" w:eastAsia="Arial" w:hAnsi="Arial"/>
          <w:sz w:val="19"/>
          <w:szCs w:val="19"/>
          <w:color w:val="auto"/>
        </w:rPr>
        <w:t>Under certain collaborative arrangements, the Company has been reimbursed for a portion of its R&amp;D expenses or participates in the cost-sharing of such R&amp;D expenses. Such reimbursements and cost-sharing arrangements have been reflected as a reduction of R&amp;D expense in the Company’s consolidated statements of operations, as the Company does not consider performing research and development services for reimbursement to be a part of its ongoing major or central operations.</w:t>
      </w:r>
    </w:p>
    <w:p>
      <w:pPr>
        <w:spacing w:after="0" w:line="201" w:lineRule="exact"/>
        <w:rPr>
          <w:sz w:val="20"/>
          <w:szCs w:val="20"/>
          <w:color w:val="auto"/>
        </w:rPr>
      </w:pPr>
    </w:p>
    <w:p>
      <w:pPr>
        <w:ind w:left="305" w:hanging="305"/>
        <w:spacing w:after="0"/>
        <w:tabs>
          <w:tab w:leader="none" w:pos="305" w:val="left"/>
        </w:tabs>
        <w:numPr>
          <w:ilvl w:val="0"/>
          <w:numId w:val="159"/>
        </w:numPr>
        <w:rPr>
          <w:rFonts w:ascii="Arial" w:cs="Arial" w:eastAsia="Arial" w:hAnsi="Arial"/>
          <w:sz w:val="16"/>
          <w:szCs w:val="16"/>
          <w:b w:val="1"/>
          <w:bCs w:val="1"/>
          <w:color w:val="auto"/>
        </w:rPr>
      </w:pPr>
      <w:r>
        <w:rPr>
          <w:rFonts w:ascii="Arial" w:cs="Arial" w:eastAsia="Arial" w:hAnsi="Arial"/>
          <w:sz w:val="16"/>
          <w:szCs w:val="16"/>
          <w:b w:val="1"/>
          <w:bCs w:val="1"/>
          <w:color w:val="auto"/>
        </w:rPr>
        <w:t>Income taxes:</w:t>
      </w:r>
    </w:p>
    <w:p>
      <w:pPr>
        <w:spacing w:after="0" w:line="245" w:lineRule="exact"/>
        <w:rPr>
          <w:rFonts w:ascii="Arial" w:cs="Arial" w:eastAsia="Arial" w:hAnsi="Arial"/>
          <w:sz w:val="16"/>
          <w:szCs w:val="16"/>
          <w:b w:val="1"/>
          <w:bCs w:val="1"/>
          <w:color w:val="auto"/>
        </w:rPr>
      </w:pPr>
    </w:p>
    <w:p>
      <w:pPr>
        <w:ind w:left="605" w:hanging="298"/>
        <w:spacing w:after="0"/>
        <w:tabs>
          <w:tab w:leader="none" w:pos="605" w:val="left"/>
        </w:tabs>
        <w:numPr>
          <w:ilvl w:val="1"/>
          <w:numId w:val="159"/>
        </w:numPr>
        <w:rPr>
          <w:rFonts w:ascii="Arial" w:cs="Arial" w:eastAsia="Arial" w:hAnsi="Arial"/>
          <w:sz w:val="16"/>
          <w:szCs w:val="16"/>
          <w:color w:val="auto"/>
        </w:rPr>
      </w:pPr>
      <w:r>
        <w:rPr>
          <w:rFonts w:ascii="Arial" w:cs="Arial" w:eastAsia="Arial" w:hAnsi="Arial"/>
          <w:sz w:val="16"/>
          <w:szCs w:val="16"/>
          <w:color w:val="auto"/>
        </w:rPr>
        <w:t>Deferred taxes</w:t>
      </w:r>
    </w:p>
    <w:p>
      <w:pPr>
        <w:spacing w:after="0" w:line="247" w:lineRule="exact"/>
        <w:rPr>
          <w:sz w:val="20"/>
          <w:szCs w:val="20"/>
          <w:color w:val="auto"/>
        </w:rPr>
      </w:pPr>
    </w:p>
    <w:p>
      <w:pPr>
        <w:jc w:val="both"/>
        <w:ind w:left="565"/>
        <w:spacing w:after="0" w:line="282" w:lineRule="auto"/>
        <w:rPr>
          <w:sz w:val="20"/>
          <w:szCs w:val="20"/>
          <w:color w:val="auto"/>
        </w:rPr>
      </w:pPr>
      <w:r>
        <w:rPr>
          <w:rFonts w:ascii="Arial" w:cs="Arial" w:eastAsia="Arial" w:hAnsi="Arial"/>
          <w:sz w:val="18"/>
          <w:szCs w:val="18"/>
          <w:color w:val="auto"/>
        </w:rPr>
        <w:t>The Company accounts for income taxes in accordance with ASC 740, “Income Taxes” (“ASC 740”). ASC 740 prescribes the use of the liability method whereby deferred tax asset and liability account balances are determined based on differences between the financial reporting and tax bases of assets and liabilities and are measured using the enacted tax rates and laws that will be in effect when the differences are expected to reverse. The Company provides a valuation allowance, if necessary, to reduce deferred tax assets to their estimated realizable value if it is more likely than not that a portion or all of the deferred tax assets will not be realized, based on the weight of available positive and negative evidence. Deferred tax liabilities and assets are classified as non-current.</w:t>
      </w:r>
    </w:p>
    <w:p>
      <w:pPr>
        <w:spacing w:after="0" w:line="196" w:lineRule="exact"/>
        <w:rPr>
          <w:sz w:val="20"/>
          <w:szCs w:val="20"/>
          <w:color w:val="auto"/>
        </w:rPr>
      </w:pPr>
    </w:p>
    <w:p>
      <w:pPr>
        <w:ind w:left="565"/>
        <w:spacing w:after="0"/>
        <w:rPr>
          <w:sz w:val="20"/>
          <w:szCs w:val="20"/>
          <w:color w:val="auto"/>
        </w:rPr>
      </w:pPr>
      <w:r>
        <w:rPr>
          <w:rFonts w:ascii="Arial" w:cs="Arial" w:eastAsia="Arial" w:hAnsi="Arial"/>
          <w:sz w:val="19"/>
          <w:szCs w:val="19"/>
          <w:color w:val="auto"/>
        </w:rPr>
        <w:t>Uncertainty in income taxes</w:t>
      </w:r>
    </w:p>
    <w:p>
      <w:pPr>
        <w:spacing w:after="0" w:line="255" w:lineRule="exact"/>
        <w:rPr>
          <w:sz w:val="20"/>
          <w:szCs w:val="20"/>
          <w:color w:val="auto"/>
        </w:rPr>
      </w:pPr>
    </w:p>
    <w:p>
      <w:pPr>
        <w:ind w:left="565" w:right="20"/>
        <w:spacing w:after="0" w:line="267" w:lineRule="auto"/>
        <w:rPr>
          <w:sz w:val="20"/>
          <w:szCs w:val="20"/>
          <w:color w:val="auto"/>
        </w:rPr>
      </w:pPr>
      <w:r>
        <w:rPr>
          <w:rFonts w:ascii="Arial" w:cs="Arial" w:eastAsia="Arial" w:hAnsi="Arial"/>
          <w:sz w:val="19"/>
          <w:szCs w:val="19"/>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364"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62" w:name="page163"/>
    <w:bookmarkEnd w:id="162"/>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2 - SIGNIFICANT ACCOUNTING POLICIES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51" w:lineRule="exact"/>
        <w:rPr>
          <w:sz w:val="20"/>
          <w:szCs w:val="20"/>
          <w:color w:val="auto"/>
        </w:rPr>
      </w:pPr>
    </w:p>
    <w:p>
      <w:pPr>
        <w:ind w:left="305" w:hanging="305"/>
        <w:spacing w:after="0"/>
        <w:tabs>
          <w:tab w:leader="none" w:pos="305" w:val="left"/>
        </w:tabs>
        <w:numPr>
          <w:ilvl w:val="0"/>
          <w:numId w:val="160"/>
        </w:numPr>
        <w:rPr>
          <w:rFonts w:ascii="Arial" w:cs="Arial" w:eastAsia="Arial" w:hAnsi="Arial"/>
          <w:sz w:val="16"/>
          <w:szCs w:val="16"/>
          <w:b w:val="1"/>
          <w:bCs w:val="1"/>
          <w:color w:val="auto"/>
        </w:rPr>
      </w:pPr>
      <w:r>
        <w:rPr>
          <w:rFonts w:ascii="Arial" w:cs="Arial" w:eastAsia="Arial" w:hAnsi="Arial"/>
          <w:sz w:val="16"/>
          <w:szCs w:val="16"/>
          <w:b w:val="1"/>
          <w:bCs w:val="1"/>
          <w:color w:val="auto"/>
        </w:rPr>
        <w:t>Leases</w:t>
      </w:r>
    </w:p>
    <w:p>
      <w:pPr>
        <w:spacing w:after="0" w:line="251" w:lineRule="exact"/>
        <w:rPr>
          <w:sz w:val="20"/>
          <w:szCs w:val="20"/>
          <w:color w:val="auto"/>
        </w:rPr>
      </w:pPr>
    </w:p>
    <w:p>
      <w:pPr>
        <w:ind w:left="305" w:right="140"/>
        <w:spacing w:after="0" w:line="287" w:lineRule="auto"/>
        <w:rPr>
          <w:sz w:val="20"/>
          <w:szCs w:val="20"/>
          <w:color w:val="auto"/>
        </w:rPr>
      </w:pPr>
      <w:r>
        <w:rPr>
          <w:rFonts w:ascii="Arial" w:cs="Arial" w:eastAsia="Arial" w:hAnsi="Arial"/>
          <w:sz w:val="18"/>
          <w:szCs w:val="18"/>
          <w:color w:val="auto"/>
        </w:rPr>
        <w:t>As of January 1, 2019, the Company adopted ASU No. 2016-02, “Leases (Topic 842)". The Company adopted the standard using the modified retrospective approach with an effective date as of the beginning of the Company's fiscal year, January 1, 2019. The Company elected the package of transition provisions available for expired or existing contracts, which allowed it to carryforward its historical assessments of (1) whether contracts are or contain leases, (2) lease classification and (3) initial direct costs.</w:t>
      </w:r>
    </w:p>
    <w:p>
      <w:pPr>
        <w:spacing w:after="0" w:line="193" w:lineRule="exact"/>
        <w:rPr>
          <w:sz w:val="20"/>
          <w:szCs w:val="20"/>
          <w:color w:val="auto"/>
        </w:rPr>
      </w:pPr>
    </w:p>
    <w:p>
      <w:pPr>
        <w:ind w:left="305" w:right="500"/>
        <w:spacing w:after="0" w:line="287" w:lineRule="auto"/>
        <w:rPr>
          <w:sz w:val="20"/>
          <w:szCs w:val="20"/>
          <w:color w:val="auto"/>
        </w:rPr>
      </w:pPr>
      <w:r>
        <w:rPr>
          <w:rFonts w:ascii="Arial" w:cs="Arial" w:eastAsia="Arial" w:hAnsi="Arial"/>
          <w:sz w:val="18"/>
          <w:szCs w:val="18"/>
          <w:color w:val="auto"/>
        </w:rPr>
        <w:t>Right of Use ("ROU") assets represent the Company’s right to use an underlying asset for the lease term and lease liabilities represent the Company’s obligation to make lease payments arising from the lease. Operating lease ROU assets and liabilities are recognized at commencement date based on the present value of lease payments over the lease term. The Company’s lease terms may include options to extend or terminate the lease when it is reasonably certain that the Company will exercise that option.</w:t>
      </w:r>
    </w:p>
    <w:p>
      <w:pPr>
        <w:spacing w:after="0" w:line="193" w:lineRule="exact"/>
        <w:rPr>
          <w:sz w:val="20"/>
          <w:szCs w:val="20"/>
          <w:color w:val="auto"/>
        </w:rPr>
      </w:pPr>
    </w:p>
    <w:p>
      <w:pPr>
        <w:ind w:left="305" w:right="140"/>
        <w:spacing w:after="0" w:line="265" w:lineRule="auto"/>
        <w:rPr>
          <w:sz w:val="20"/>
          <w:szCs w:val="20"/>
          <w:color w:val="auto"/>
        </w:rPr>
      </w:pPr>
      <w:r>
        <w:rPr>
          <w:rFonts w:ascii="Arial" w:cs="Arial" w:eastAsia="Arial" w:hAnsi="Arial"/>
          <w:sz w:val="19"/>
          <w:szCs w:val="19"/>
          <w:color w:val="auto"/>
        </w:rPr>
        <w:t>The Company uses the implicit rate when readily determinable. As the Company’s leases do not provide an implicit rate, the Company uses its estimated incremental borrowing rate based on the information available at commencement date in determining the present value of lease payments. Lease expense for lease payments is recognized on a straight-line basis over the lease term. The Company elected to not separate lease and non-lease components for the leases. The Company elected the practical expedient of the short-term lease recognition exemption for all leases with a term shorter than 12 months.</w:t>
      </w:r>
    </w:p>
    <w:p>
      <w:pPr>
        <w:spacing w:after="0" w:line="213" w:lineRule="exact"/>
        <w:rPr>
          <w:sz w:val="20"/>
          <w:szCs w:val="20"/>
          <w:color w:val="auto"/>
        </w:rPr>
      </w:pPr>
    </w:p>
    <w:p>
      <w:pPr>
        <w:ind w:left="305" w:right="480"/>
        <w:spacing w:after="0" w:line="284" w:lineRule="auto"/>
        <w:rPr>
          <w:sz w:val="20"/>
          <w:szCs w:val="20"/>
          <w:color w:val="auto"/>
        </w:rPr>
      </w:pPr>
      <w:r>
        <w:rPr>
          <w:rFonts w:ascii="Arial" w:cs="Arial" w:eastAsia="Arial" w:hAnsi="Arial"/>
          <w:sz w:val="19"/>
          <w:szCs w:val="19"/>
          <w:color w:val="auto"/>
        </w:rPr>
        <w:t>Additionally, the company applies the portfolio approach to account for operating lease ROU asset and liabilities for certain car leases and incremental borrowing rates.</w:t>
      </w:r>
    </w:p>
    <w:p>
      <w:pPr>
        <w:spacing w:after="0" w:line="193" w:lineRule="exact"/>
        <w:rPr>
          <w:sz w:val="20"/>
          <w:szCs w:val="20"/>
          <w:color w:val="auto"/>
        </w:rPr>
      </w:pPr>
    </w:p>
    <w:p>
      <w:pPr>
        <w:ind w:left="305" w:right="360"/>
        <w:spacing w:after="0" w:line="271" w:lineRule="auto"/>
        <w:rPr>
          <w:sz w:val="20"/>
          <w:szCs w:val="20"/>
          <w:color w:val="auto"/>
        </w:rPr>
      </w:pPr>
      <w:r>
        <w:rPr>
          <w:rFonts w:ascii="Arial" w:cs="Arial" w:eastAsia="Arial" w:hAnsi="Arial"/>
          <w:sz w:val="19"/>
          <w:szCs w:val="19"/>
          <w:color w:val="auto"/>
        </w:rPr>
        <w:t>Upon adoption, the standard resulted in an increase of $1,200 in operating lease ROU assets and corresponding liabilities on the Company’s consolidated balance sheet and did not have a material impact on the Company’s consolidated statements of operations or consolidated statements of cash flows. See also note 6b.</w:t>
      </w:r>
    </w:p>
    <w:p>
      <w:pPr>
        <w:spacing w:after="0" w:line="197" w:lineRule="exact"/>
        <w:rPr>
          <w:sz w:val="20"/>
          <w:szCs w:val="20"/>
          <w:color w:val="auto"/>
        </w:rPr>
      </w:pPr>
    </w:p>
    <w:p>
      <w:pPr>
        <w:ind w:left="305" w:hanging="305"/>
        <w:spacing w:after="0"/>
        <w:tabs>
          <w:tab w:leader="none" w:pos="305" w:val="left"/>
        </w:tabs>
        <w:numPr>
          <w:ilvl w:val="0"/>
          <w:numId w:val="161"/>
        </w:numPr>
        <w:rPr>
          <w:rFonts w:ascii="Arial" w:cs="Arial" w:eastAsia="Arial" w:hAnsi="Arial"/>
          <w:sz w:val="16"/>
          <w:szCs w:val="16"/>
          <w:b w:val="1"/>
          <w:bCs w:val="1"/>
          <w:color w:val="auto"/>
        </w:rPr>
      </w:pPr>
      <w:r>
        <w:rPr>
          <w:rFonts w:ascii="Arial" w:cs="Arial" w:eastAsia="Arial" w:hAnsi="Arial"/>
          <w:sz w:val="16"/>
          <w:szCs w:val="16"/>
          <w:b w:val="1"/>
          <w:bCs w:val="1"/>
          <w:color w:val="auto"/>
        </w:rPr>
        <w:t>Loss per share</w:t>
      </w:r>
    </w:p>
    <w:p>
      <w:pPr>
        <w:spacing w:after="0" w:line="251" w:lineRule="exact"/>
        <w:rPr>
          <w:sz w:val="20"/>
          <w:szCs w:val="20"/>
          <w:color w:val="auto"/>
        </w:rPr>
      </w:pPr>
    </w:p>
    <w:p>
      <w:pPr>
        <w:ind w:left="305" w:right="180"/>
        <w:spacing w:after="0" w:line="264" w:lineRule="auto"/>
        <w:rPr>
          <w:sz w:val="20"/>
          <w:szCs w:val="20"/>
          <w:color w:val="auto"/>
        </w:rPr>
      </w:pPr>
      <w:r>
        <w:rPr>
          <w:rFonts w:ascii="Arial" w:cs="Arial" w:eastAsia="Arial" w:hAnsi="Arial"/>
          <w:sz w:val="19"/>
          <w:szCs w:val="19"/>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restricted shares and warrants, which are included under the treasury stock method when dilutive. The calculation of diluted loss per share does not include 1,119,310, 1,260,984 and 3,271,507 options, restricted shares and warrants for the years ended December 31, 2018, 2019 and 2020, respectively, because their effect would be anti-dilutive.</w:t>
      </w:r>
    </w:p>
    <w:p>
      <w:pPr>
        <w:spacing w:after="0" w:line="204" w:lineRule="exact"/>
        <w:rPr>
          <w:sz w:val="20"/>
          <w:szCs w:val="20"/>
          <w:color w:val="auto"/>
        </w:rPr>
      </w:pPr>
    </w:p>
    <w:p>
      <w:pPr>
        <w:ind w:left="305" w:hanging="305"/>
        <w:spacing w:after="0"/>
        <w:tabs>
          <w:tab w:leader="none" w:pos="305" w:val="left"/>
        </w:tabs>
        <w:numPr>
          <w:ilvl w:val="0"/>
          <w:numId w:val="162"/>
        </w:numPr>
        <w:rPr>
          <w:rFonts w:ascii="Arial" w:cs="Arial" w:eastAsia="Arial" w:hAnsi="Arial"/>
          <w:sz w:val="16"/>
          <w:szCs w:val="16"/>
          <w:b w:val="1"/>
          <w:bCs w:val="1"/>
          <w:color w:val="auto"/>
        </w:rPr>
      </w:pPr>
      <w:r>
        <w:rPr>
          <w:rFonts w:ascii="Arial" w:cs="Arial" w:eastAsia="Arial" w:hAnsi="Arial"/>
          <w:sz w:val="16"/>
          <w:szCs w:val="16"/>
          <w:b w:val="1"/>
          <w:bCs w:val="1"/>
          <w:color w:val="auto"/>
        </w:rPr>
        <w:t>Fair value measurement</w:t>
      </w:r>
    </w:p>
    <w:p>
      <w:pPr>
        <w:spacing w:after="0" w:line="251" w:lineRule="exact"/>
        <w:rPr>
          <w:sz w:val="20"/>
          <w:szCs w:val="20"/>
          <w:color w:val="auto"/>
        </w:rPr>
      </w:pPr>
    </w:p>
    <w:p>
      <w:pPr>
        <w:ind w:left="305"/>
        <w:spacing w:after="0" w:line="267" w:lineRule="auto"/>
        <w:rPr>
          <w:sz w:val="20"/>
          <w:szCs w:val="20"/>
          <w:color w:val="auto"/>
        </w:rPr>
      </w:pPr>
      <w:r>
        <w:rPr>
          <w:rFonts w:ascii="Arial" w:cs="Arial" w:eastAsia="Arial" w:hAnsi="Arial"/>
          <w:sz w:val="19"/>
          <w:szCs w:val="19"/>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210" w:lineRule="exact"/>
        <w:rPr>
          <w:sz w:val="20"/>
          <w:szCs w:val="20"/>
          <w:color w:val="auto"/>
        </w:rPr>
      </w:pPr>
    </w:p>
    <w:p>
      <w:pPr>
        <w:ind w:left="305" w:right="720"/>
        <w:spacing w:after="0" w:line="284" w:lineRule="auto"/>
        <w:rPr>
          <w:sz w:val="20"/>
          <w:szCs w:val="20"/>
          <w:color w:val="auto"/>
        </w:rPr>
      </w:pPr>
      <w:r>
        <w:rPr>
          <w:rFonts w:ascii="Arial" w:cs="Arial" w:eastAsia="Arial" w:hAnsi="Arial"/>
          <w:sz w:val="19"/>
          <w:szCs w:val="19"/>
          <w:color w:val="auto"/>
        </w:rPr>
        <w:t>Level 1: Quoted prices (unadjusted) in active markets that are accessible at the measurement date for assets or liabilities. The fair value hierarchy gives the highest priority to Level 1 inputs.</w:t>
      </w:r>
    </w:p>
    <w:p>
      <w:pPr>
        <w:spacing w:after="0" w:line="34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63" w:name="page164"/>
    <w:bookmarkEnd w:id="163"/>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2 - SIGNIFICANT ACCOUNTING POLICIES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05"/>
        <w:spacing w:after="0"/>
        <w:rPr>
          <w:sz w:val="20"/>
          <w:szCs w:val="20"/>
          <w:color w:val="auto"/>
        </w:rPr>
      </w:pPr>
      <w:r>
        <w:rPr>
          <w:rFonts w:ascii="Arial" w:cs="Arial" w:eastAsia="Arial" w:hAnsi="Arial"/>
          <w:sz w:val="19"/>
          <w:szCs w:val="19"/>
          <w:color w:val="auto"/>
        </w:rPr>
        <w:t>Level 2: Observable prices that are based on inputs not quoted on active markets but corroborated by market data.</w:t>
      </w:r>
    </w:p>
    <w:p>
      <w:pPr>
        <w:spacing w:after="0" w:line="255" w:lineRule="exact"/>
        <w:rPr>
          <w:sz w:val="20"/>
          <w:szCs w:val="20"/>
          <w:color w:val="auto"/>
        </w:rPr>
      </w:pPr>
    </w:p>
    <w:p>
      <w:pPr>
        <w:ind w:left="305" w:right="300"/>
        <w:spacing w:after="0" w:line="284" w:lineRule="auto"/>
        <w:rPr>
          <w:sz w:val="20"/>
          <w:szCs w:val="20"/>
          <w:color w:val="auto"/>
        </w:rPr>
      </w:pPr>
      <w:r>
        <w:rPr>
          <w:rFonts w:ascii="Arial" w:cs="Arial" w:eastAsia="Arial" w:hAnsi="Arial"/>
          <w:sz w:val="19"/>
          <w:szCs w:val="19"/>
          <w:color w:val="auto"/>
        </w:rPr>
        <w:t>Level 3: Unobservable inputs are used when little or no market data is available. The fair value hierarchy gives the lowest priority to Level 3 inputs.</w:t>
      </w:r>
    </w:p>
    <w:p>
      <w:pPr>
        <w:spacing w:after="0" w:line="193" w:lineRule="exact"/>
        <w:rPr>
          <w:sz w:val="20"/>
          <w:szCs w:val="20"/>
          <w:color w:val="auto"/>
        </w:rPr>
      </w:pPr>
    </w:p>
    <w:p>
      <w:pPr>
        <w:ind w:left="305" w:right="600"/>
        <w:spacing w:after="0" w:line="313" w:lineRule="auto"/>
        <w:rPr>
          <w:sz w:val="20"/>
          <w:szCs w:val="20"/>
          <w:color w:val="auto"/>
        </w:rPr>
      </w:pPr>
      <w:r>
        <w:rPr>
          <w:rFonts w:ascii="Arial" w:cs="Arial" w:eastAsia="Arial" w:hAnsi="Arial"/>
          <w:sz w:val="18"/>
          <w:szCs w:val="18"/>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170" w:lineRule="exact"/>
        <w:rPr>
          <w:sz w:val="20"/>
          <w:szCs w:val="20"/>
          <w:color w:val="auto"/>
        </w:rPr>
      </w:pPr>
    </w:p>
    <w:p>
      <w:pPr>
        <w:ind w:left="305" w:right="300"/>
        <w:spacing w:after="0" w:line="271" w:lineRule="auto"/>
        <w:rPr>
          <w:sz w:val="20"/>
          <w:szCs w:val="20"/>
          <w:color w:val="auto"/>
        </w:rPr>
      </w:pPr>
      <w:r>
        <w:rPr>
          <w:rFonts w:ascii="Arial" w:cs="Arial" w:eastAsia="Arial" w:hAnsi="Arial"/>
          <w:sz w:val="19"/>
          <w:szCs w:val="19"/>
          <w:color w:val="auto"/>
        </w:rPr>
        <w:t>The carrying amount of the cash and cash equivalents, bank deposits, restricted cash, receivables from collaborative arrangements, restricted long-term deposits, accrued expenses (under other account payable), operating leases liabilities and other liabilities approximates their fair value.</w:t>
      </w:r>
    </w:p>
    <w:p>
      <w:pPr>
        <w:spacing w:after="0" w:line="197" w:lineRule="exact"/>
        <w:rPr>
          <w:sz w:val="20"/>
          <w:szCs w:val="20"/>
          <w:color w:val="auto"/>
        </w:rPr>
      </w:pPr>
    </w:p>
    <w:p>
      <w:pPr>
        <w:ind w:left="305" w:hanging="305"/>
        <w:spacing w:after="0"/>
        <w:tabs>
          <w:tab w:leader="none" w:pos="305" w:val="left"/>
        </w:tabs>
        <w:numPr>
          <w:ilvl w:val="0"/>
          <w:numId w:val="163"/>
        </w:numPr>
        <w:rPr>
          <w:rFonts w:ascii="Arial" w:cs="Arial" w:eastAsia="Arial" w:hAnsi="Arial"/>
          <w:sz w:val="16"/>
          <w:szCs w:val="16"/>
          <w:b w:val="1"/>
          <w:bCs w:val="1"/>
          <w:color w:val="auto"/>
        </w:rPr>
      </w:pPr>
      <w:r>
        <w:rPr>
          <w:rFonts w:ascii="Arial" w:cs="Arial" w:eastAsia="Arial" w:hAnsi="Arial"/>
          <w:sz w:val="16"/>
          <w:szCs w:val="16"/>
          <w:b w:val="1"/>
          <w:bCs w:val="1"/>
          <w:color w:val="auto"/>
        </w:rPr>
        <w:t>Concentration of credit risks</w:t>
      </w:r>
    </w:p>
    <w:p>
      <w:pPr>
        <w:spacing w:after="0" w:line="251" w:lineRule="exact"/>
        <w:rPr>
          <w:sz w:val="20"/>
          <w:szCs w:val="20"/>
          <w:color w:val="auto"/>
        </w:rPr>
      </w:pPr>
    </w:p>
    <w:p>
      <w:pPr>
        <w:ind w:left="305" w:right="100"/>
        <w:spacing w:after="0" w:line="308" w:lineRule="auto"/>
        <w:rPr>
          <w:sz w:val="20"/>
          <w:szCs w:val="20"/>
          <w:color w:val="auto"/>
        </w:rPr>
      </w:pPr>
      <w:r>
        <w:rPr>
          <w:rFonts w:ascii="Arial" w:cs="Arial" w:eastAsia="Arial" w:hAnsi="Arial"/>
          <w:sz w:val="17"/>
          <w:szCs w:val="17"/>
          <w:color w:val="auto"/>
        </w:rPr>
        <w:t>Financial instruments that potentially subject the Company to concentration of credit risk consist principally of cash and cash equivalents, bank deposits and marketable securities and certain receivables. The Company deposits cash and cash equivalents with highly rated financial institutions (Israeli banks). In addition, all marketable securities carry a high rating or are government insured. The Company has not experienced any material credit losses in these accounts and does not believe it is exposed to significant credit risk on these instruments.</w:t>
      </w:r>
    </w:p>
    <w:p>
      <w:pPr>
        <w:spacing w:after="0" w:line="170" w:lineRule="exact"/>
        <w:rPr>
          <w:sz w:val="20"/>
          <w:szCs w:val="20"/>
          <w:color w:val="auto"/>
        </w:rPr>
      </w:pPr>
    </w:p>
    <w:p>
      <w:pPr>
        <w:ind w:left="305" w:hanging="305"/>
        <w:spacing w:after="0"/>
        <w:tabs>
          <w:tab w:leader="none" w:pos="305" w:val="left"/>
        </w:tabs>
        <w:numPr>
          <w:ilvl w:val="0"/>
          <w:numId w:val="164"/>
        </w:numPr>
        <w:rPr>
          <w:rFonts w:ascii="Arial" w:cs="Arial" w:eastAsia="Arial" w:hAnsi="Arial"/>
          <w:sz w:val="16"/>
          <w:szCs w:val="16"/>
          <w:b w:val="1"/>
          <w:bCs w:val="1"/>
          <w:color w:val="auto"/>
        </w:rPr>
      </w:pPr>
      <w:r>
        <w:rPr>
          <w:rFonts w:ascii="Arial" w:cs="Arial" w:eastAsia="Arial" w:hAnsi="Arial"/>
          <w:sz w:val="16"/>
          <w:szCs w:val="16"/>
          <w:b w:val="1"/>
          <w:bCs w:val="1"/>
          <w:color w:val="auto"/>
        </w:rPr>
        <w:t>Newly issued and recently adopted accounting pronouncements</w:t>
      </w:r>
    </w:p>
    <w:p>
      <w:pPr>
        <w:spacing w:after="0" w:line="251" w:lineRule="exact"/>
        <w:rPr>
          <w:sz w:val="20"/>
          <w:szCs w:val="20"/>
          <w:color w:val="auto"/>
        </w:rPr>
      </w:pPr>
    </w:p>
    <w:p>
      <w:pPr>
        <w:ind w:left="305"/>
        <w:spacing w:after="0"/>
        <w:rPr>
          <w:sz w:val="20"/>
          <w:szCs w:val="20"/>
          <w:color w:val="auto"/>
        </w:rPr>
      </w:pPr>
      <w:r>
        <w:rPr>
          <w:rFonts w:ascii="Arial" w:cs="Arial" w:eastAsia="Arial" w:hAnsi="Arial"/>
          <w:sz w:val="19"/>
          <w:szCs w:val="19"/>
          <w:b w:val="1"/>
          <w:bCs w:val="1"/>
          <w:i w:val="1"/>
          <w:iCs w:val="1"/>
          <w:color w:val="auto"/>
        </w:rPr>
        <w:t>Recently adopted accounting pronouncements:</w:t>
      </w:r>
    </w:p>
    <w:p>
      <w:pPr>
        <w:spacing w:after="0" w:line="255" w:lineRule="exact"/>
        <w:rPr>
          <w:sz w:val="20"/>
          <w:szCs w:val="20"/>
          <w:color w:val="auto"/>
        </w:rPr>
      </w:pPr>
    </w:p>
    <w:p>
      <w:pPr>
        <w:ind w:left="305" w:right="200"/>
        <w:spacing w:after="0" w:line="265" w:lineRule="auto"/>
        <w:rPr>
          <w:sz w:val="20"/>
          <w:szCs w:val="20"/>
          <w:color w:val="auto"/>
        </w:rPr>
      </w:pPr>
      <w:r>
        <w:rPr>
          <w:rFonts w:ascii="Arial" w:cs="Arial" w:eastAsia="Arial" w:hAnsi="Arial"/>
          <w:sz w:val="19"/>
          <w:szCs w:val="19"/>
          <w:color w:val="auto"/>
        </w:rPr>
        <w:t>In June 2016, the FASB issued ASU 2016-13 “Financial Instruments Credit Losses Measurement of Credit Losses on Financial Instruments”. This guidance replaces the current incurred loss impairment methodology with a methodology that reflects expected credit losses and requires consideration of a broader range of reasonable and supportable information to inform credit loss estimates. The guidance became effective for the fiscal year beginning on January 1, 2020, including interim periods within that year. This guidance did not have significant impact on the Company’s financial statements.</w:t>
      </w:r>
    </w:p>
    <w:p>
      <w:pPr>
        <w:spacing w:after="0" w:line="207"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3 — MARKETABLE SECURITIES</w:t>
      </w:r>
    </w:p>
    <w:p>
      <w:pPr>
        <w:spacing w:after="0" w:line="261" w:lineRule="exact"/>
        <w:rPr>
          <w:sz w:val="20"/>
          <w:szCs w:val="20"/>
          <w:color w:val="auto"/>
        </w:rPr>
      </w:pPr>
    </w:p>
    <w:p>
      <w:pPr>
        <w:ind w:left="305"/>
        <w:spacing w:after="0"/>
        <w:rPr>
          <w:sz w:val="20"/>
          <w:szCs w:val="20"/>
          <w:color w:val="auto"/>
        </w:rPr>
      </w:pPr>
      <w:r>
        <w:rPr>
          <w:rFonts w:ascii="Arial" w:cs="Arial" w:eastAsia="Arial" w:hAnsi="Arial"/>
          <w:sz w:val="19"/>
          <w:szCs w:val="19"/>
          <w:color w:val="auto"/>
        </w:rPr>
        <w:t>The following table sets forth the Company’s marketable securities for the indicated period:</w:t>
      </w:r>
    </w:p>
    <w:p>
      <w:pPr>
        <w:spacing w:after="0" w:line="249" w:lineRule="exact"/>
        <w:rPr>
          <w:sz w:val="20"/>
          <w:szCs w:val="20"/>
          <w:color w:val="auto"/>
        </w:rPr>
      </w:pPr>
    </w:p>
    <w:tbl>
      <w:tblPr>
        <w:tblLayout w:type="fixed"/>
        <w:tblInd w:w="565"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822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December 31,</w:t>
            </w:r>
          </w:p>
        </w:tc>
        <w:tc>
          <w:tcPr>
            <w:tcW w:w="70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color w:val="auto"/>
              </w:rPr>
              <w:t>2019</w:t>
            </w:r>
          </w:p>
        </w:tc>
        <w:tc>
          <w:tcPr>
            <w:tcW w:w="2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color w:val="auto"/>
                <w:w w:val="89"/>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Level 2 securities:</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U.S government and agency bonds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2,499</w:t>
            </w:r>
          </w:p>
        </w:tc>
        <w:tc>
          <w:tcPr>
            <w:tcW w:w="220" w:type="dxa"/>
            <w:vAlign w:val="bottom"/>
          </w:tcPr>
          <w:p>
            <w:pPr>
              <w:spacing w:after="0"/>
              <w:rPr>
                <w:sz w:val="16"/>
                <w:szCs w:val="16"/>
                <w:color w:val="auto"/>
              </w:rPr>
            </w:pP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4,192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Canada government bonds</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999</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Other foreign government bonds</w:t>
            </w:r>
          </w:p>
        </w:tc>
        <w:tc>
          <w:tcPr>
            <w:tcW w:w="2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3,521</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2,006</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Corporate bonds*</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33,947</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15,454</w:t>
            </w:r>
          </w:p>
        </w:tc>
        <w:tc>
          <w:tcPr>
            <w:tcW w:w="0" w:type="dxa"/>
            <w:vAlign w:val="bottom"/>
          </w:tcPr>
          <w:p>
            <w:pPr>
              <w:spacing w:after="0"/>
              <w:rPr>
                <w:sz w:val="1"/>
                <w:szCs w:val="1"/>
                <w:color w:val="auto"/>
              </w:rPr>
            </w:pPr>
          </w:p>
        </w:tc>
      </w:tr>
      <w:tr>
        <w:trPr>
          <w:trHeight w:val="24"/>
        </w:trPr>
        <w:tc>
          <w:tcPr>
            <w:tcW w:w="20" w:type="dxa"/>
            <w:vAlign w:val="bottom"/>
            <w:vMerge w:val="restart"/>
          </w:tcPr>
          <w:p>
            <w:pPr>
              <w:spacing w:after="0"/>
              <w:rPr>
                <w:sz w:val="2"/>
                <w:szCs w:val="2"/>
                <w:color w:val="auto"/>
              </w:rPr>
            </w:pPr>
          </w:p>
        </w:tc>
        <w:tc>
          <w:tcPr>
            <w:tcW w:w="8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vMerge w:val="continue"/>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Total</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40,966</w:t>
            </w:r>
          </w:p>
        </w:tc>
        <w:tc>
          <w:tcPr>
            <w:tcW w:w="220" w:type="dxa"/>
            <w:vAlign w:val="bottom"/>
          </w:tcPr>
          <w:p>
            <w:pPr>
              <w:spacing w:after="0"/>
              <w:rPr>
                <w:sz w:val="16"/>
                <w:szCs w:val="16"/>
                <w:color w:val="auto"/>
              </w:rPr>
            </w:pP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21,652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305"/>
        <w:spacing w:after="0"/>
        <w:rPr>
          <w:sz w:val="20"/>
          <w:szCs w:val="20"/>
          <w:color w:val="auto"/>
        </w:rPr>
      </w:pPr>
      <w:r>
        <w:rPr>
          <w:rFonts w:ascii="Arial" w:cs="Arial" w:eastAsia="Arial" w:hAnsi="Arial"/>
          <w:sz w:val="19"/>
          <w:szCs w:val="19"/>
          <w:color w:val="auto"/>
        </w:rPr>
        <w:t>* Investments in Corporate bonds rated A or higher.</w:t>
      </w:r>
    </w:p>
    <w:p>
      <w:pPr>
        <w:spacing w:after="0" w:line="200" w:lineRule="exact"/>
        <w:rPr>
          <w:sz w:val="20"/>
          <w:szCs w:val="20"/>
          <w:color w:val="auto"/>
        </w:rPr>
      </w:pPr>
    </w:p>
    <w:p>
      <w:pPr>
        <w:spacing w:after="0" w:line="20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64" w:name="page165"/>
    <w:bookmarkEnd w:id="164"/>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NOTE 3 — MARKETABLE SECURITIES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00" w:right="460"/>
        <w:spacing w:after="0" w:line="284" w:lineRule="auto"/>
        <w:rPr>
          <w:sz w:val="20"/>
          <w:szCs w:val="20"/>
          <w:color w:val="auto"/>
        </w:rPr>
      </w:pPr>
      <w:r>
        <w:rPr>
          <w:rFonts w:ascii="Arial" w:cs="Arial" w:eastAsia="Arial" w:hAnsi="Arial"/>
          <w:sz w:val="19"/>
          <w:szCs w:val="19"/>
          <w:color w:val="auto"/>
        </w:rPr>
        <w:t>The Company’s debt securities are classified within Level 2 because it uses quoted market prices or alternative pricing sources and models utilizing market observable inputs to determine their fair value.</w:t>
      </w:r>
    </w:p>
    <w:p>
      <w:pPr>
        <w:spacing w:after="0" w:line="193" w:lineRule="exact"/>
        <w:rPr>
          <w:sz w:val="20"/>
          <w:szCs w:val="20"/>
          <w:color w:val="auto"/>
        </w:rPr>
      </w:pPr>
    </w:p>
    <w:p>
      <w:pPr>
        <w:ind w:left="300" w:right="80"/>
        <w:spacing w:after="0" w:line="284" w:lineRule="auto"/>
        <w:rPr>
          <w:sz w:val="20"/>
          <w:szCs w:val="20"/>
          <w:color w:val="auto"/>
        </w:rPr>
      </w:pPr>
      <w:r>
        <w:rPr>
          <w:rFonts w:ascii="Arial" w:cs="Arial" w:eastAsia="Arial" w:hAnsi="Arial"/>
          <w:sz w:val="19"/>
          <w:szCs w:val="19"/>
          <w:color w:val="auto"/>
        </w:rPr>
        <w:t>The table below sets forth a summary of the changes in the fair value of the Company’s marketable securities for the years ended December 31, 2019 and 2020:</w:t>
      </w:r>
    </w:p>
    <w:p>
      <w:pPr>
        <w:spacing w:after="0" w:line="187" w:lineRule="exact"/>
        <w:rPr>
          <w:sz w:val="20"/>
          <w:szCs w:val="20"/>
          <w:color w:val="auto"/>
        </w:rPr>
      </w:pPr>
    </w:p>
    <w:tbl>
      <w:tblPr>
        <w:tblLayout w:type="fixed"/>
        <w:tblInd w:w="560" w:type="dxa"/>
        <w:tblCellMar>
          <w:top w:w="0" w:type="dxa"/>
          <w:left w:w="0" w:type="dxa"/>
          <w:bottom w:w="0" w:type="dxa"/>
          <w:right w:w="0" w:type="dxa"/>
        </w:tblCellMar>
      </w:tblPr>
      <w:tr>
        <w:trPr>
          <w:trHeight w:val="205"/>
        </w:trPr>
        <w:tc>
          <w:tcPr>
            <w:tcW w:w="20" w:type="dxa"/>
            <w:vAlign w:val="bottom"/>
          </w:tcPr>
          <w:p>
            <w:pPr>
              <w:spacing w:after="0"/>
              <w:rPr>
                <w:sz w:val="17"/>
                <w:szCs w:val="17"/>
                <w:color w:val="auto"/>
              </w:rPr>
            </w:pPr>
          </w:p>
        </w:tc>
        <w:tc>
          <w:tcPr>
            <w:tcW w:w="822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color w:val="auto"/>
              </w:rPr>
              <w:t>December 31,</w:t>
            </w:r>
          </w:p>
        </w:tc>
        <w:tc>
          <w:tcPr>
            <w:tcW w:w="70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color w:val="auto"/>
              </w:rPr>
              <w:t>2019</w:t>
            </w:r>
          </w:p>
        </w:tc>
        <w:tc>
          <w:tcPr>
            <w:tcW w:w="2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color w:val="auto"/>
                <w:w w:val="89"/>
              </w:rPr>
              <w:t>2020</w:t>
            </w: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Balance at beginning of the year</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56,662</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40,966</w:t>
            </w:r>
          </w:p>
        </w:tc>
        <w:tc>
          <w:tcPr>
            <w:tcW w:w="120" w:type="dxa"/>
            <w:vAlign w:val="bottom"/>
            <w:shd w:val="clear" w:color="auto" w:fill="CCEEFF"/>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Additions</w:t>
            </w:r>
          </w:p>
        </w:tc>
        <w:tc>
          <w:tcPr>
            <w:tcW w:w="2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38,702</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32,322</w:t>
            </w: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Sale or maturity</w:t>
            </w: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(54,333)</w:t>
            </w: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(51,498)</w:t>
            </w: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Changes in fair value during the year</w:t>
            </w:r>
          </w:p>
        </w:tc>
        <w:tc>
          <w:tcPr>
            <w:tcW w:w="240" w:type="dxa"/>
            <w:vAlign w:val="bottom"/>
          </w:tcPr>
          <w:p>
            <w:pPr>
              <w:spacing w:after="0"/>
              <w:rPr>
                <w:sz w:val="16"/>
                <w:szCs w:val="16"/>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(65)</w:t>
            </w:r>
          </w:p>
        </w:tc>
        <w:tc>
          <w:tcPr>
            <w:tcW w:w="36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(138)</w:t>
            </w:r>
          </w:p>
        </w:tc>
      </w:tr>
      <w:tr>
        <w:trPr>
          <w:trHeight w:val="229"/>
        </w:trPr>
        <w:tc>
          <w:tcPr>
            <w:tcW w:w="20" w:type="dxa"/>
            <w:vAlign w:val="bottom"/>
          </w:tcPr>
          <w:p>
            <w:pPr>
              <w:spacing w:after="0"/>
              <w:rPr>
                <w:sz w:val="19"/>
                <w:szCs w:val="19"/>
                <w:color w:val="auto"/>
              </w:rPr>
            </w:pPr>
          </w:p>
        </w:tc>
        <w:tc>
          <w:tcPr>
            <w:tcW w:w="8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Balance at end of the year</w:t>
            </w: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40,966</w:t>
            </w:r>
          </w:p>
        </w:tc>
        <w:tc>
          <w:tcPr>
            <w:tcW w:w="22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21,652</w:t>
            </w:r>
          </w:p>
        </w:tc>
        <w:tc>
          <w:tcPr>
            <w:tcW w:w="120" w:type="dxa"/>
            <w:vAlign w:val="bottom"/>
            <w:tcBorders>
              <w:bottom w:val="single" w:sz="8" w:color="CCEEFF"/>
            </w:tcBorders>
            <w:shd w:val="clear" w:color="auto" w:fill="CCEEFF"/>
          </w:tcPr>
          <w:p>
            <w:pPr>
              <w:spacing w:after="0"/>
              <w:rPr>
                <w:sz w:val="19"/>
                <w:szCs w:val="19"/>
                <w:color w:val="auto"/>
              </w:rPr>
            </w:pPr>
          </w:p>
        </w:tc>
      </w:tr>
    </w:tbl>
    <w:p>
      <w:pPr>
        <w:spacing w:after="0" w:line="229" w:lineRule="exact"/>
        <w:rPr>
          <w:sz w:val="20"/>
          <w:szCs w:val="20"/>
          <w:color w:val="auto"/>
        </w:rPr>
      </w:pPr>
    </w:p>
    <w:p>
      <w:pPr>
        <w:ind w:left="300"/>
        <w:spacing w:after="0"/>
        <w:rPr>
          <w:sz w:val="20"/>
          <w:szCs w:val="20"/>
          <w:color w:val="auto"/>
        </w:rPr>
      </w:pPr>
      <w:r>
        <w:rPr>
          <w:rFonts w:ascii="Arial" w:cs="Arial" w:eastAsia="Arial" w:hAnsi="Arial"/>
          <w:sz w:val="19"/>
          <w:szCs w:val="19"/>
          <w:color w:val="auto"/>
        </w:rPr>
        <w:t>As of December 31, 2020, the Company’s debt securities had the following maturity dates:</w:t>
      </w:r>
    </w:p>
    <w:p>
      <w:pPr>
        <w:spacing w:after="0" w:line="245" w:lineRule="exact"/>
        <w:rPr>
          <w:sz w:val="20"/>
          <w:szCs w:val="20"/>
          <w:color w:val="auto"/>
        </w:rPr>
      </w:pPr>
    </w:p>
    <w:tbl>
      <w:tblPr>
        <w:tblLayout w:type="fixed"/>
        <w:tblInd w:w="56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9500" w:type="dxa"/>
            <w:vAlign w:val="bottom"/>
          </w:tcPr>
          <w:p>
            <w:pPr>
              <w:spacing w:after="0"/>
              <w:rPr>
                <w:sz w:val="18"/>
                <w:szCs w:val="18"/>
                <w:color w:val="auto"/>
              </w:rPr>
            </w:pPr>
          </w:p>
        </w:tc>
        <w:tc>
          <w:tcPr>
            <w:tcW w:w="1180" w:type="dxa"/>
            <w:vAlign w:val="bottom"/>
            <w:gridSpan w:val="3"/>
          </w:tcPr>
          <w:p>
            <w:pPr>
              <w:jc w:val="center"/>
              <w:spacing w:after="0"/>
              <w:rPr>
                <w:sz w:val="20"/>
                <w:szCs w:val="20"/>
                <w:color w:val="auto"/>
              </w:rPr>
            </w:pPr>
            <w:r>
              <w:rPr>
                <w:rFonts w:ascii="Arial" w:cs="Arial" w:eastAsia="Arial" w:hAnsi="Arial"/>
                <w:sz w:val="16"/>
                <w:szCs w:val="16"/>
                <w:b w:val="1"/>
                <w:bCs w:val="1"/>
                <w:color w:val="auto"/>
                <w:w w:val="92"/>
              </w:rPr>
              <w:t>Market value</w:t>
            </w:r>
          </w:p>
        </w:tc>
      </w:tr>
      <w:tr>
        <w:trPr>
          <w:trHeight w:val="173"/>
        </w:trPr>
        <w:tc>
          <w:tcPr>
            <w:tcW w:w="20" w:type="dxa"/>
            <w:vAlign w:val="bottom"/>
          </w:tcPr>
          <w:p>
            <w:pPr>
              <w:spacing w:after="0"/>
              <w:rPr>
                <w:sz w:val="15"/>
                <w:szCs w:val="15"/>
                <w:color w:val="auto"/>
              </w:rPr>
            </w:pPr>
          </w:p>
        </w:tc>
        <w:tc>
          <w:tcPr>
            <w:tcW w:w="9500" w:type="dxa"/>
            <w:vAlign w:val="bottom"/>
          </w:tcPr>
          <w:p>
            <w:pPr>
              <w:spacing w:after="0"/>
              <w:rPr>
                <w:sz w:val="15"/>
                <w:szCs w:val="15"/>
                <w:color w:val="auto"/>
              </w:rPr>
            </w:pPr>
          </w:p>
        </w:tc>
        <w:tc>
          <w:tcPr>
            <w:tcW w:w="1060" w:type="dxa"/>
            <w:vAlign w:val="bottom"/>
            <w:tcBorders>
              <w:top w:val="single" w:sz="8" w:color="auto"/>
            </w:tcBorders>
          </w:tcPr>
          <w:p>
            <w:pPr>
              <w:jc w:val="center"/>
              <w:ind w:left="41"/>
              <w:spacing w:after="0" w:line="173" w:lineRule="exact"/>
              <w:rPr>
                <w:sz w:val="20"/>
                <w:szCs w:val="20"/>
                <w:color w:val="auto"/>
              </w:rPr>
            </w:pPr>
            <w:r>
              <w:rPr>
                <w:rFonts w:ascii="Arial" w:cs="Arial" w:eastAsia="Arial" w:hAnsi="Arial"/>
                <w:sz w:val="16"/>
                <w:szCs w:val="16"/>
                <w:b w:val="1"/>
                <w:bCs w:val="1"/>
                <w:color w:val="auto"/>
                <w:w w:val="86"/>
              </w:rPr>
              <w:t>December 31,</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9"/>
        </w:trPr>
        <w:tc>
          <w:tcPr>
            <w:tcW w:w="20" w:type="dxa"/>
            <w:vAlign w:val="bottom"/>
          </w:tcPr>
          <w:p>
            <w:pPr>
              <w:spacing w:after="0"/>
              <w:rPr>
                <w:sz w:val="18"/>
                <w:szCs w:val="18"/>
                <w:color w:val="auto"/>
              </w:rPr>
            </w:pPr>
          </w:p>
        </w:tc>
        <w:tc>
          <w:tcPr>
            <w:tcW w:w="9500" w:type="dxa"/>
            <w:vAlign w:val="bottom"/>
          </w:tcPr>
          <w:p>
            <w:pPr>
              <w:spacing w:after="0"/>
              <w:rPr>
                <w:sz w:val="18"/>
                <w:szCs w:val="18"/>
                <w:color w:val="auto"/>
              </w:rPr>
            </w:pPr>
          </w:p>
        </w:tc>
        <w:tc>
          <w:tcPr>
            <w:tcW w:w="1060" w:type="dxa"/>
            <w:vAlign w:val="bottom"/>
            <w:tcBorders>
              <w:bottom w:val="single" w:sz="8" w:color="auto"/>
            </w:tcBorders>
          </w:tcPr>
          <w:p>
            <w:pPr>
              <w:jc w:val="center"/>
              <w:ind w:left="41"/>
              <w:spacing w:after="0"/>
              <w:rPr>
                <w:sz w:val="20"/>
                <w:szCs w:val="20"/>
                <w:color w:val="auto"/>
              </w:rPr>
            </w:pPr>
            <w:r>
              <w:rPr>
                <w:rFonts w:ascii="Arial" w:cs="Arial" w:eastAsia="Arial" w:hAnsi="Arial"/>
                <w:sz w:val="16"/>
                <w:szCs w:val="16"/>
                <w:b w:val="1"/>
                <w:bCs w:val="1"/>
                <w:color w:val="auto"/>
                <w:w w:val="84"/>
              </w:rPr>
              <w:t>2020</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89"/>
        </w:trPr>
        <w:tc>
          <w:tcPr>
            <w:tcW w:w="20" w:type="dxa"/>
            <w:vAlign w:val="bottom"/>
          </w:tcPr>
          <w:p>
            <w:pPr>
              <w:spacing w:after="0"/>
              <w:rPr>
                <w:sz w:val="16"/>
                <w:szCs w:val="16"/>
                <w:color w:val="auto"/>
              </w:rPr>
            </w:pPr>
          </w:p>
        </w:tc>
        <w:tc>
          <w:tcPr>
            <w:tcW w:w="9500" w:type="dxa"/>
            <w:vAlign w:val="bottom"/>
            <w:shd w:val="clear" w:color="auto" w:fill="CCEEFF"/>
          </w:tcPr>
          <w:p>
            <w:pPr>
              <w:spacing w:after="0"/>
              <w:rPr>
                <w:sz w:val="20"/>
                <w:szCs w:val="20"/>
                <w:color w:val="auto"/>
              </w:rPr>
            </w:pPr>
            <w:r>
              <w:rPr>
                <w:rFonts w:ascii="Arial" w:cs="Arial" w:eastAsia="Arial" w:hAnsi="Arial"/>
                <w:sz w:val="16"/>
                <w:szCs w:val="16"/>
                <w:color w:val="auto"/>
              </w:rPr>
              <w:t>Due within one year</w:t>
            </w:r>
          </w:p>
        </w:tc>
        <w:tc>
          <w:tcPr>
            <w:tcW w:w="1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21,652</w:t>
            </w: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193"/>
        </w:trPr>
        <w:tc>
          <w:tcPr>
            <w:tcW w:w="20" w:type="dxa"/>
            <w:vAlign w:val="bottom"/>
          </w:tcPr>
          <w:p>
            <w:pPr>
              <w:spacing w:after="0"/>
              <w:rPr>
                <w:sz w:val="16"/>
                <w:szCs w:val="16"/>
                <w:color w:val="auto"/>
              </w:rPr>
            </w:pPr>
          </w:p>
        </w:tc>
        <w:tc>
          <w:tcPr>
            <w:tcW w:w="9500" w:type="dxa"/>
            <w:vAlign w:val="bottom"/>
          </w:tcPr>
          <w:p>
            <w:pPr>
              <w:spacing w:after="0"/>
              <w:rPr>
                <w:sz w:val="20"/>
                <w:szCs w:val="20"/>
                <w:color w:val="auto"/>
              </w:rPr>
            </w:pPr>
            <w:r>
              <w:rPr>
                <w:rFonts w:ascii="Arial" w:cs="Arial" w:eastAsia="Arial" w:hAnsi="Arial"/>
                <w:sz w:val="16"/>
                <w:szCs w:val="16"/>
                <w:color w:val="auto"/>
              </w:rPr>
              <w:t>1 to 2 years</w:t>
            </w:r>
          </w:p>
        </w:tc>
        <w:tc>
          <w:tcPr>
            <w:tcW w:w="10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6"/>
                <w:szCs w:val="16"/>
                <w:color w:val="auto"/>
              </w:rPr>
            </w:pPr>
          </w:p>
        </w:tc>
      </w:tr>
      <w:tr>
        <w:trPr>
          <w:trHeight w:val="229"/>
        </w:trPr>
        <w:tc>
          <w:tcPr>
            <w:tcW w:w="20" w:type="dxa"/>
            <w:vAlign w:val="bottom"/>
          </w:tcPr>
          <w:p>
            <w:pPr>
              <w:spacing w:after="0"/>
              <w:rPr>
                <w:sz w:val="19"/>
                <w:szCs w:val="19"/>
                <w:color w:val="auto"/>
              </w:rPr>
            </w:pPr>
          </w:p>
        </w:tc>
        <w:tc>
          <w:tcPr>
            <w:tcW w:w="9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21,652</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r>
    </w:tbl>
    <w:p>
      <w:pPr>
        <w:spacing w:after="0" w:line="22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4 — PROPERTY AND EQUIPMENT</w:t>
      </w:r>
    </w:p>
    <w:p>
      <w:pPr>
        <w:spacing w:after="0" w:line="251" w:lineRule="exact"/>
        <w:rPr>
          <w:sz w:val="20"/>
          <w:szCs w:val="20"/>
          <w:color w:val="auto"/>
        </w:rPr>
      </w:pPr>
    </w:p>
    <w:tbl>
      <w:tblPr>
        <w:tblLayout w:type="fixed"/>
        <w:tblInd w:w="56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82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rPr>
              <w:t>December 31</w:t>
            </w:r>
          </w:p>
        </w:tc>
        <w:tc>
          <w:tcPr>
            <w:tcW w:w="70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rPr>
              <w:t>2019</w:t>
            </w:r>
          </w:p>
        </w:tc>
        <w:tc>
          <w:tcPr>
            <w:tcW w:w="2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w w:val="89"/>
              </w:rPr>
              <w:t>2020</w:t>
            </w:r>
          </w:p>
        </w:tc>
        <w:tc>
          <w:tcPr>
            <w:tcW w:w="120" w:type="dxa"/>
            <w:vAlign w:val="bottom"/>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Cost:</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r>
      <w:tr>
        <w:trPr>
          <w:trHeight w:val="189"/>
        </w:trPr>
        <w:tc>
          <w:tcPr>
            <w:tcW w:w="20" w:type="dxa"/>
            <w:vAlign w:val="bottom"/>
          </w:tcPr>
          <w:p>
            <w:pPr>
              <w:spacing w:after="0"/>
              <w:rPr>
                <w:sz w:val="16"/>
                <w:szCs w:val="16"/>
                <w:color w:val="auto"/>
              </w:rPr>
            </w:pPr>
          </w:p>
        </w:tc>
        <w:tc>
          <w:tcPr>
            <w:tcW w:w="8220" w:type="dxa"/>
            <w:vAlign w:val="bottom"/>
          </w:tcPr>
          <w:p>
            <w:pPr>
              <w:ind w:left="120"/>
              <w:spacing w:after="0"/>
              <w:rPr>
                <w:sz w:val="20"/>
                <w:szCs w:val="20"/>
                <w:color w:val="auto"/>
              </w:rPr>
            </w:pPr>
            <w:r>
              <w:rPr>
                <w:rFonts w:ascii="Arial" w:cs="Arial" w:eastAsia="Arial" w:hAnsi="Arial"/>
                <w:sz w:val="16"/>
                <w:szCs w:val="16"/>
                <w:color w:val="auto"/>
              </w:rPr>
              <w:t>Laboratory equipment</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3,242</w:t>
            </w:r>
          </w:p>
        </w:tc>
        <w:tc>
          <w:tcPr>
            <w:tcW w:w="220" w:type="dxa"/>
            <w:vAlign w:val="bottom"/>
          </w:tcPr>
          <w:p>
            <w:pPr>
              <w:spacing w:after="0"/>
              <w:rPr>
                <w:sz w:val="16"/>
                <w:szCs w:val="16"/>
                <w:color w:val="auto"/>
              </w:rPr>
            </w:pP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3,644</w:t>
            </w: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ind w:left="120"/>
              <w:spacing w:after="0"/>
              <w:rPr>
                <w:sz w:val="20"/>
                <w:szCs w:val="20"/>
                <w:color w:val="auto"/>
              </w:rPr>
            </w:pPr>
            <w:r>
              <w:rPr>
                <w:rFonts w:ascii="Arial" w:cs="Arial" w:eastAsia="Arial" w:hAnsi="Arial"/>
                <w:sz w:val="16"/>
                <w:szCs w:val="16"/>
                <w:color w:val="auto"/>
              </w:rPr>
              <w:t>Office equipment and furniture</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265</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265</w:t>
            </w:r>
          </w:p>
        </w:tc>
      </w:tr>
      <w:tr>
        <w:trPr>
          <w:trHeight w:val="189"/>
        </w:trPr>
        <w:tc>
          <w:tcPr>
            <w:tcW w:w="20" w:type="dxa"/>
            <w:vAlign w:val="bottom"/>
          </w:tcPr>
          <w:p>
            <w:pPr>
              <w:spacing w:after="0"/>
              <w:rPr>
                <w:sz w:val="16"/>
                <w:szCs w:val="16"/>
                <w:color w:val="auto"/>
              </w:rPr>
            </w:pPr>
          </w:p>
        </w:tc>
        <w:tc>
          <w:tcPr>
            <w:tcW w:w="8220" w:type="dxa"/>
            <w:vAlign w:val="bottom"/>
          </w:tcPr>
          <w:p>
            <w:pPr>
              <w:ind w:left="120"/>
              <w:spacing w:after="0"/>
              <w:rPr>
                <w:sz w:val="20"/>
                <w:szCs w:val="20"/>
                <w:color w:val="auto"/>
              </w:rPr>
            </w:pPr>
            <w:r>
              <w:rPr>
                <w:rFonts w:ascii="Arial" w:cs="Arial" w:eastAsia="Arial" w:hAnsi="Arial"/>
                <w:sz w:val="16"/>
                <w:szCs w:val="16"/>
                <w:color w:val="auto"/>
              </w:rPr>
              <w:t>Computers and software</w:t>
            </w:r>
          </w:p>
        </w:tc>
        <w:tc>
          <w:tcPr>
            <w:tcW w:w="2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490</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530</w:t>
            </w: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ind w:left="120"/>
              <w:spacing w:after="0"/>
              <w:rPr>
                <w:sz w:val="20"/>
                <w:szCs w:val="20"/>
                <w:color w:val="auto"/>
              </w:rPr>
            </w:pPr>
            <w:r>
              <w:rPr>
                <w:rFonts w:ascii="Arial" w:cs="Arial" w:eastAsia="Arial" w:hAnsi="Arial"/>
                <w:sz w:val="16"/>
                <w:szCs w:val="16"/>
                <w:color w:val="auto"/>
              </w:rPr>
              <w:t>Leasehold improvements</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1,946</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1,953</w:t>
            </w:r>
          </w:p>
        </w:tc>
      </w:tr>
      <w:tr>
        <w:trPr>
          <w:trHeight w:val="24"/>
        </w:trPr>
        <w:tc>
          <w:tcPr>
            <w:tcW w:w="20" w:type="dxa"/>
            <w:vAlign w:val="bottom"/>
          </w:tcPr>
          <w:p>
            <w:pPr>
              <w:spacing w:after="0"/>
              <w:rPr>
                <w:sz w:val="2"/>
                <w:szCs w:val="2"/>
                <w:color w:val="auto"/>
              </w:rPr>
            </w:pPr>
          </w:p>
        </w:tc>
        <w:tc>
          <w:tcPr>
            <w:tcW w:w="8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5,943</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6,392</w:t>
            </w: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Less:</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r>
      <w:tr>
        <w:trPr>
          <w:trHeight w:val="193"/>
        </w:trPr>
        <w:tc>
          <w:tcPr>
            <w:tcW w:w="20" w:type="dxa"/>
            <w:vAlign w:val="bottom"/>
          </w:tcPr>
          <w:p>
            <w:pPr>
              <w:spacing w:after="0"/>
              <w:rPr>
                <w:sz w:val="16"/>
                <w:szCs w:val="16"/>
                <w:color w:val="auto"/>
              </w:rPr>
            </w:pPr>
          </w:p>
        </w:tc>
        <w:tc>
          <w:tcPr>
            <w:tcW w:w="8220" w:type="dxa"/>
            <w:vAlign w:val="bottom"/>
          </w:tcPr>
          <w:p>
            <w:pPr>
              <w:ind w:left="120"/>
              <w:spacing w:after="0"/>
              <w:rPr>
                <w:sz w:val="20"/>
                <w:szCs w:val="20"/>
                <w:color w:val="auto"/>
              </w:rPr>
            </w:pPr>
            <w:r>
              <w:rPr>
                <w:rFonts w:ascii="Arial" w:cs="Arial" w:eastAsia="Arial" w:hAnsi="Arial"/>
                <w:sz w:val="16"/>
                <w:szCs w:val="16"/>
                <w:color w:val="auto"/>
              </w:rPr>
              <w:t>Accumulated depreciation and amortization</w:t>
            </w:r>
          </w:p>
        </w:tc>
        <w:tc>
          <w:tcPr>
            <w:tcW w:w="240" w:type="dxa"/>
            <w:vAlign w:val="bottom"/>
          </w:tcPr>
          <w:p>
            <w:pPr>
              <w:spacing w:after="0"/>
              <w:rPr>
                <w:sz w:val="16"/>
                <w:szCs w:val="16"/>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6"/>
                <w:szCs w:val="16"/>
                <w:color w:val="auto"/>
              </w:rPr>
              <w:t>(3,629)</w:t>
            </w:r>
          </w:p>
        </w:tc>
        <w:tc>
          <w:tcPr>
            <w:tcW w:w="36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6"/>
                <w:szCs w:val="16"/>
                <w:color w:val="auto"/>
              </w:rPr>
              <w:t>(4,575)</w:t>
            </w:r>
          </w:p>
        </w:tc>
      </w:tr>
      <w:tr>
        <w:trPr>
          <w:trHeight w:val="229"/>
        </w:trPr>
        <w:tc>
          <w:tcPr>
            <w:tcW w:w="20" w:type="dxa"/>
            <w:vAlign w:val="bottom"/>
          </w:tcPr>
          <w:p>
            <w:pPr>
              <w:spacing w:after="0"/>
              <w:rPr>
                <w:sz w:val="19"/>
                <w:szCs w:val="19"/>
                <w:color w:val="auto"/>
              </w:rPr>
            </w:pPr>
          </w:p>
        </w:tc>
        <w:tc>
          <w:tcPr>
            <w:tcW w:w="822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6"/>
                <w:szCs w:val="16"/>
                <w:color w:val="auto"/>
              </w:rPr>
              <w:t>Property and equipment, net</w:t>
            </w: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2,314</w:t>
            </w:r>
          </w:p>
        </w:tc>
        <w:tc>
          <w:tcPr>
            <w:tcW w:w="22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1,817</w:t>
            </w:r>
          </w:p>
        </w:tc>
        <w:tc>
          <w:tcPr>
            <w:tcW w:w="120" w:type="dxa"/>
            <w:vAlign w:val="bottom"/>
            <w:tcBorders>
              <w:bottom w:val="single" w:sz="8" w:color="CCEEFF"/>
            </w:tcBorders>
            <w:shd w:val="clear" w:color="auto" w:fill="CCEEFF"/>
          </w:tcPr>
          <w:p>
            <w:pPr>
              <w:spacing w:after="0"/>
              <w:rPr>
                <w:sz w:val="19"/>
                <w:szCs w:val="19"/>
                <w:color w:val="auto"/>
              </w:rPr>
            </w:pPr>
          </w:p>
        </w:tc>
      </w:tr>
    </w:tbl>
    <w:p>
      <w:pPr>
        <w:spacing w:after="0" w:line="229" w:lineRule="exact"/>
        <w:rPr>
          <w:sz w:val="20"/>
          <w:szCs w:val="20"/>
          <w:color w:val="auto"/>
        </w:rPr>
      </w:pPr>
    </w:p>
    <w:p>
      <w:pPr>
        <w:ind w:left="300"/>
        <w:spacing w:after="0"/>
        <w:rPr>
          <w:sz w:val="20"/>
          <w:szCs w:val="20"/>
          <w:color w:val="auto"/>
        </w:rPr>
      </w:pPr>
      <w:r>
        <w:rPr>
          <w:rFonts w:ascii="Arial" w:cs="Arial" w:eastAsia="Arial" w:hAnsi="Arial"/>
          <w:sz w:val="17"/>
          <w:szCs w:val="17"/>
          <w:color w:val="auto"/>
        </w:rPr>
        <w:t>Depreciation and amortization expense totaled $762, $887 and 946$ for the years ended December 31, 2018, 2019 and 2020, respectively.</w:t>
      </w:r>
    </w:p>
    <w:p>
      <w:pPr>
        <w:spacing w:after="0" w:line="27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5 — EMPLOYEE SEVERANCE BENEFITS</w:t>
      </w:r>
    </w:p>
    <w:p>
      <w:pPr>
        <w:spacing w:after="0" w:line="261" w:lineRule="exact"/>
        <w:rPr>
          <w:sz w:val="20"/>
          <w:szCs w:val="20"/>
          <w:color w:val="auto"/>
        </w:rPr>
      </w:pPr>
    </w:p>
    <w:p>
      <w:pPr>
        <w:ind w:left="300" w:right="80"/>
        <w:spacing w:after="0" w:line="267" w:lineRule="auto"/>
        <w:rPr>
          <w:sz w:val="20"/>
          <w:szCs w:val="20"/>
          <w:color w:val="auto"/>
        </w:rPr>
      </w:pPr>
      <w:r>
        <w:rPr>
          <w:rFonts w:ascii="Arial" w:cs="Arial" w:eastAsia="Arial" w:hAnsi="Arial"/>
          <w:sz w:val="19"/>
          <w:szCs w:val="19"/>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was payable at each balance sheet date on an undiscounted basis.</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65" w:name="page166"/>
    <w:bookmarkEnd w:id="165"/>
    <w:p>
      <w:pPr>
        <w:jc w:val="center"/>
        <w:ind w:right="-19"/>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NOTE 5 — EMPLOYEE SEVERANCE BENEFITS </w:t>
      </w:r>
      <w:r>
        <w:rPr>
          <w:rFonts w:ascii="Arial" w:cs="Arial" w:eastAsia="Arial" w:hAnsi="Arial"/>
          <w:sz w:val="19"/>
          <w:szCs w:val="19"/>
          <w:color w:val="auto"/>
        </w:rPr>
        <w:t>(continued)</w:t>
      </w:r>
      <w:r>
        <w:rPr>
          <w:rFonts w:ascii="Arial" w:cs="Arial" w:eastAsia="Arial" w:hAnsi="Arial"/>
          <w:sz w:val="19"/>
          <w:szCs w:val="19"/>
          <w:b w:val="1"/>
          <w:bCs w:val="1"/>
          <w:color w:val="auto"/>
        </w:rPr>
        <w:t>:</w:t>
      </w:r>
    </w:p>
    <w:p>
      <w:pPr>
        <w:spacing w:after="0" w:line="261" w:lineRule="exact"/>
        <w:rPr>
          <w:sz w:val="20"/>
          <w:szCs w:val="20"/>
          <w:color w:val="auto"/>
        </w:rPr>
      </w:pPr>
    </w:p>
    <w:p>
      <w:pPr>
        <w:ind w:left="300" w:right="40"/>
        <w:spacing w:after="0" w:line="291" w:lineRule="auto"/>
        <w:rPr>
          <w:sz w:val="20"/>
          <w:szCs w:val="20"/>
          <w:color w:val="auto"/>
        </w:rPr>
      </w:pPr>
      <w:r>
        <w:rPr>
          <w:rFonts w:ascii="Arial" w:cs="Arial" w:eastAsia="Arial" w:hAnsi="Arial"/>
          <w:sz w:val="17"/>
          <w:szCs w:val="17"/>
          <w:color w:val="auto"/>
        </w:rPr>
        <w:t>In accordance with the current employment terms starting in August 2014 with all of its employees (Section 14 of the Israeli Severance Pay Law, 1963),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w:t>
      </w:r>
    </w:p>
    <w:p>
      <w:pPr>
        <w:spacing w:after="0" w:line="2" w:lineRule="exact"/>
        <w:rPr>
          <w:sz w:val="20"/>
          <w:szCs w:val="20"/>
          <w:color w:val="auto"/>
        </w:rPr>
      </w:pPr>
    </w:p>
    <w:p>
      <w:pPr>
        <w:ind w:left="300" w:right="160"/>
        <w:spacing w:after="0" w:line="279" w:lineRule="auto"/>
        <w:rPr>
          <w:sz w:val="20"/>
          <w:szCs w:val="20"/>
          <w:color w:val="auto"/>
        </w:rPr>
      </w:pPr>
      <w:r>
        <w:rPr>
          <w:rFonts w:ascii="Arial" w:cs="Arial" w:eastAsia="Arial" w:hAnsi="Arial"/>
          <w:sz w:val="19"/>
          <w:szCs w:val="19"/>
          <w:color w:val="auto"/>
        </w:rPr>
        <w:t>funded are not under the control and management of the Company and the pension or severance pay risks have been irrevocably transferred to the applicable insurance companies (the “Contribution Plan”).</w:t>
      </w:r>
    </w:p>
    <w:p>
      <w:pPr>
        <w:spacing w:after="0" w:line="198" w:lineRule="exact"/>
        <w:rPr>
          <w:sz w:val="20"/>
          <w:szCs w:val="20"/>
          <w:color w:val="auto"/>
        </w:rPr>
      </w:pPr>
    </w:p>
    <w:p>
      <w:pPr>
        <w:ind w:left="300"/>
        <w:spacing w:after="0" w:line="271" w:lineRule="auto"/>
        <w:rPr>
          <w:sz w:val="20"/>
          <w:szCs w:val="20"/>
          <w:color w:val="auto"/>
        </w:rPr>
      </w:pPr>
      <w:r>
        <w:rPr>
          <w:rFonts w:ascii="Arial" w:cs="Arial" w:eastAsia="Arial" w:hAnsi="Arial"/>
          <w:sz w:val="19"/>
          <w:szCs w:val="19"/>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206" w:lineRule="exact"/>
        <w:rPr>
          <w:sz w:val="20"/>
          <w:szCs w:val="20"/>
          <w:color w:val="auto"/>
        </w:rPr>
      </w:pPr>
    </w:p>
    <w:p>
      <w:pPr>
        <w:ind w:left="300" w:right="180"/>
        <w:spacing w:after="0" w:line="382" w:lineRule="auto"/>
        <w:rPr>
          <w:sz w:val="20"/>
          <w:szCs w:val="20"/>
          <w:color w:val="auto"/>
        </w:rPr>
      </w:pPr>
      <w:r>
        <w:rPr>
          <w:rFonts w:ascii="Arial" w:cs="Arial" w:eastAsia="Arial" w:hAnsi="Arial"/>
          <w:sz w:val="16"/>
          <w:szCs w:val="16"/>
          <w:color w:val="auto"/>
        </w:rPr>
        <w:t>The amounts of severance payment expenses were $431, $402 and $428 for the years ended December 31, 2018, 2019 and 2020, respectively, of which $292, $363 and $408 in the years ended December 2018, 2019 and 2020, respectively, were in respect of the Contribution Plan.</w:t>
      </w:r>
    </w:p>
    <w:p>
      <w:pPr>
        <w:spacing w:after="0" w:line="124" w:lineRule="exact"/>
        <w:rPr>
          <w:sz w:val="20"/>
          <w:szCs w:val="20"/>
          <w:color w:val="auto"/>
        </w:rPr>
      </w:pPr>
    </w:p>
    <w:p>
      <w:pPr>
        <w:ind w:left="300" w:right="220"/>
        <w:spacing w:after="0" w:line="284" w:lineRule="auto"/>
        <w:rPr>
          <w:sz w:val="20"/>
          <w:szCs w:val="20"/>
          <w:color w:val="auto"/>
        </w:rPr>
      </w:pPr>
      <w:r>
        <w:rPr>
          <w:rFonts w:ascii="Arial" w:cs="Arial" w:eastAsia="Arial" w:hAnsi="Arial"/>
          <w:sz w:val="19"/>
          <w:szCs w:val="19"/>
          <w:color w:val="auto"/>
        </w:rPr>
        <w:t>The Company expects to contribute approximately $408 in the year ending December 31, 2021 to insurance companies in connection with its expected severance liabilities for that year.</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6 — COMMITMENTS:</w:t>
      </w:r>
    </w:p>
    <w:p>
      <w:pPr>
        <w:spacing w:after="0" w:line="251" w:lineRule="exact"/>
        <w:rPr>
          <w:sz w:val="20"/>
          <w:szCs w:val="20"/>
          <w:color w:val="auto"/>
        </w:rPr>
      </w:pPr>
    </w:p>
    <w:p>
      <w:pPr>
        <w:ind w:left="580" w:hanging="278"/>
        <w:spacing w:after="0"/>
        <w:tabs>
          <w:tab w:leader="none" w:pos="580" w:val="left"/>
        </w:tabs>
        <w:numPr>
          <w:ilvl w:val="0"/>
          <w:numId w:val="165"/>
        </w:numPr>
        <w:rPr>
          <w:rFonts w:ascii="Arial" w:cs="Arial" w:eastAsia="Arial" w:hAnsi="Arial"/>
          <w:sz w:val="16"/>
          <w:szCs w:val="16"/>
          <w:color w:val="auto"/>
        </w:rPr>
      </w:pPr>
      <w:r>
        <w:rPr>
          <w:rFonts w:ascii="Arial" w:cs="Arial" w:eastAsia="Arial" w:hAnsi="Arial"/>
          <w:sz w:val="16"/>
          <w:szCs w:val="16"/>
          <w:b w:val="1"/>
          <w:bCs w:val="1"/>
          <w:color w:val="auto"/>
        </w:rPr>
        <w:t>Royalty Commitments:</w:t>
      </w:r>
    </w:p>
    <w:p>
      <w:pPr>
        <w:spacing w:after="0" w:line="245" w:lineRule="exact"/>
        <w:rPr>
          <w:rFonts w:ascii="Arial" w:cs="Arial" w:eastAsia="Arial" w:hAnsi="Arial"/>
          <w:sz w:val="16"/>
          <w:szCs w:val="16"/>
          <w:color w:val="auto"/>
        </w:rPr>
      </w:pPr>
    </w:p>
    <w:p>
      <w:pPr>
        <w:ind w:left="860" w:right="160" w:hanging="274"/>
        <w:spacing w:after="0" w:line="268" w:lineRule="auto"/>
        <w:tabs>
          <w:tab w:leader="none" w:pos="860" w:val="left"/>
        </w:tabs>
        <w:numPr>
          <w:ilvl w:val="1"/>
          <w:numId w:val="165"/>
        </w:numPr>
        <w:rPr>
          <w:rFonts w:ascii="Arial" w:cs="Arial" w:eastAsia="Arial" w:hAnsi="Arial"/>
          <w:sz w:val="16"/>
          <w:szCs w:val="16"/>
          <w:color w:val="auto"/>
        </w:rPr>
      </w:pPr>
      <w:r>
        <w:rPr>
          <w:rFonts w:ascii="Arial" w:cs="Arial" w:eastAsia="Arial" w:hAnsi="Arial"/>
          <w:sz w:val="16"/>
          <w:szCs w:val="16"/>
          <w:color w:val="auto"/>
        </w:rPr>
        <w:t>The Company is obligated to pay royalties to the IIA on proceeds from the sale of products developed from research and development activities that were funded, partially, by grants from the IIA.</w:t>
      </w:r>
    </w:p>
    <w:p>
      <w:pPr>
        <w:spacing w:after="0" w:line="209" w:lineRule="exact"/>
        <w:rPr>
          <w:sz w:val="20"/>
          <w:szCs w:val="20"/>
          <w:color w:val="auto"/>
        </w:rPr>
      </w:pPr>
    </w:p>
    <w:p>
      <w:pPr>
        <w:ind w:left="880" w:right="420"/>
        <w:spacing w:after="0" w:line="271" w:lineRule="auto"/>
        <w:rPr>
          <w:sz w:val="20"/>
          <w:szCs w:val="20"/>
          <w:color w:val="auto"/>
        </w:rPr>
      </w:pPr>
      <w:r>
        <w:rPr>
          <w:rFonts w:ascii="Arial" w:cs="Arial" w:eastAsia="Arial" w:hAnsi="Arial"/>
          <w:sz w:val="19"/>
          <w:szCs w:val="19"/>
          <w:color w:val="auto"/>
        </w:rPr>
        <w:t>Under the specific terms of the funding arrangements with the IIA, royalties of 3.5% to 25% are payable on the sale of products developed with funding received from the IIA, which payments shall not exceed, in the aggregate, 300% of the amount of the grant received (dollar linked), plus interest at annual rate based on LIBOR.</w:t>
      </w:r>
    </w:p>
    <w:p>
      <w:pPr>
        <w:spacing w:after="0" w:line="206" w:lineRule="exact"/>
        <w:rPr>
          <w:sz w:val="20"/>
          <w:szCs w:val="20"/>
          <w:color w:val="auto"/>
        </w:rPr>
      </w:pPr>
    </w:p>
    <w:p>
      <w:pPr>
        <w:ind w:left="880"/>
        <w:spacing w:after="0" w:line="287" w:lineRule="auto"/>
        <w:rPr>
          <w:sz w:val="20"/>
          <w:szCs w:val="20"/>
          <w:color w:val="auto"/>
        </w:rPr>
      </w:pPr>
      <w:r>
        <w:rPr>
          <w:rFonts w:ascii="Arial" w:cs="Arial" w:eastAsia="Arial" w:hAnsi="Arial"/>
          <w:sz w:val="18"/>
          <w:szCs w:val="18"/>
          <w:color w:val="auto"/>
        </w:rPr>
        <w:t>Up to December 31, 2020, the Company had recognized and received grants from the IIA in the aggregate amount of $1,431 (no grants were received in the last three years.). Through December 31, 2020, the Company recorded an accumulated royalty expense of $2,086 as royalties to the IIA with respect to revenue recognized through December 31, 2020 ($32, $32 and $25 were recorded in 2018, 2019 and 2020 accordingly, as an expense in the consolidated statements of operations).</w:t>
      </w:r>
    </w:p>
    <w:p>
      <w:pPr>
        <w:spacing w:after="0" w:line="193" w:lineRule="exact"/>
        <w:rPr>
          <w:sz w:val="20"/>
          <w:szCs w:val="20"/>
          <w:color w:val="auto"/>
        </w:rPr>
      </w:pPr>
    </w:p>
    <w:p>
      <w:pPr>
        <w:ind w:left="880"/>
        <w:spacing w:after="0"/>
        <w:rPr>
          <w:sz w:val="20"/>
          <w:szCs w:val="20"/>
          <w:color w:val="auto"/>
        </w:rPr>
      </w:pPr>
      <w:r>
        <w:rPr>
          <w:rFonts w:ascii="Arial" w:cs="Arial" w:eastAsia="Arial" w:hAnsi="Arial"/>
          <w:sz w:val="19"/>
          <w:szCs w:val="19"/>
          <w:color w:val="auto"/>
        </w:rPr>
        <w:t>The Company did not receive any grants from the IIA for the years ended December 31, 2018, 2019 and 2020.</w:t>
      </w:r>
    </w:p>
    <w:p>
      <w:pPr>
        <w:spacing w:after="0" w:line="249" w:lineRule="exact"/>
        <w:rPr>
          <w:sz w:val="20"/>
          <w:szCs w:val="20"/>
          <w:color w:val="auto"/>
        </w:rPr>
      </w:pPr>
    </w:p>
    <w:p>
      <w:pPr>
        <w:ind w:left="840" w:right="560" w:hanging="278"/>
        <w:spacing w:after="0" w:line="268" w:lineRule="auto"/>
        <w:tabs>
          <w:tab w:leader="none" w:pos="840" w:val="left"/>
        </w:tabs>
        <w:numPr>
          <w:ilvl w:val="0"/>
          <w:numId w:val="166"/>
        </w:numPr>
        <w:rPr>
          <w:rFonts w:ascii="Arial" w:cs="Arial" w:eastAsia="Arial" w:hAnsi="Arial"/>
          <w:sz w:val="16"/>
          <w:szCs w:val="16"/>
          <w:color w:val="auto"/>
        </w:rPr>
      </w:pPr>
      <w:r>
        <w:rPr>
          <w:rFonts w:ascii="Arial" w:cs="Arial" w:eastAsia="Arial" w:hAnsi="Arial"/>
          <w:sz w:val="16"/>
          <w:szCs w:val="16"/>
          <w:color w:val="auto"/>
        </w:rPr>
        <w:t>The Company has an agreement, that was amended several times (hereafter — the agreements) with Yissum Research Development Company (hereafter — “Yissum”), the technology-licensing arm of the Hebrew University of Jerusalem.</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66" w:name="page167"/>
    <w:bookmarkEnd w:id="166"/>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NOTE 6 — COMMITMENTS </w:t>
      </w:r>
      <w:r>
        <w:rPr>
          <w:rFonts w:ascii="Arial" w:cs="Arial" w:eastAsia="Arial" w:hAnsi="Arial"/>
          <w:sz w:val="19"/>
          <w:szCs w:val="19"/>
          <w:color w:val="auto"/>
        </w:rPr>
        <w:t>(continued):</w:t>
      </w:r>
    </w:p>
    <w:p>
      <w:pPr>
        <w:spacing w:after="0" w:line="261" w:lineRule="exact"/>
        <w:rPr>
          <w:sz w:val="20"/>
          <w:szCs w:val="20"/>
          <w:color w:val="auto"/>
        </w:rPr>
      </w:pPr>
    </w:p>
    <w:p>
      <w:pPr>
        <w:ind w:left="880" w:right="20"/>
        <w:spacing w:after="0" w:line="284" w:lineRule="auto"/>
        <w:rPr>
          <w:sz w:val="20"/>
          <w:szCs w:val="20"/>
          <w:color w:val="auto"/>
        </w:rPr>
      </w:pPr>
      <w:r>
        <w:rPr>
          <w:rFonts w:ascii="Arial" w:cs="Arial" w:eastAsia="Arial" w:hAnsi="Arial"/>
          <w:sz w:val="19"/>
          <w:szCs w:val="19"/>
          <w:color w:val="auto"/>
        </w:rPr>
        <w:t>According to the agreements, the Company received from Yissum an exclusive and a non-exclusive license for the commercialization of certain Yissum patents. According to the agreements the Company shall pay Yissum:</w:t>
      </w:r>
    </w:p>
    <w:p>
      <w:pPr>
        <w:spacing w:after="0" w:line="193" w:lineRule="exact"/>
        <w:rPr>
          <w:sz w:val="20"/>
          <w:szCs w:val="20"/>
          <w:color w:val="auto"/>
        </w:rPr>
      </w:pPr>
    </w:p>
    <w:p>
      <w:pPr>
        <w:ind w:left="880"/>
        <w:spacing w:after="0"/>
        <w:rPr>
          <w:sz w:val="20"/>
          <w:szCs w:val="20"/>
          <w:color w:val="auto"/>
        </w:rPr>
      </w:pPr>
      <w:r>
        <w:rPr>
          <w:rFonts w:ascii="Arial" w:cs="Arial" w:eastAsia="Arial" w:hAnsi="Arial"/>
          <w:sz w:val="19"/>
          <w:szCs w:val="19"/>
          <w:color w:val="auto"/>
        </w:rPr>
        <w:t>Royalties of 1.5% of net sales related to certain patents.</w:t>
      </w:r>
    </w:p>
    <w:p>
      <w:pPr>
        <w:spacing w:after="0" w:line="249" w:lineRule="exact"/>
        <w:rPr>
          <w:sz w:val="20"/>
          <w:szCs w:val="20"/>
          <w:color w:val="auto"/>
        </w:rPr>
      </w:pPr>
    </w:p>
    <w:p>
      <w:pPr>
        <w:ind w:left="1420" w:hanging="290"/>
        <w:spacing w:after="0"/>
        <w:tabs>
          <w:tab w:leader="none" w:pos="1420" w:val="left"/>
        </w:tabs>
        <w:numPr>
          <w:ilvl w:val="0"/>
          <w:numId w:val="167"/>
        </w:numPr>
        <w:rPr>
          <w:rFonts w:ascii="Arial" w:cs="Arial" w:eastAsia="Arial" w:hAnsi="Arial"/>
          <w:sz w:val="16"/>
          <w:szCs w:val="16"/>
          <w:color w:val="auto"/>
        </w:rPr>
      </w:pPr>
      <w:r>
        <w:rPr>
          <w:rFonts w:ascii="Arial" w:cs="Arial" w:eastAsia="Arial" w:hAnsi="Arial"/>
          <w:sz w:val="16"/>
          <w:szCs w:val="16"/>
          <w:color w:val="auto"/>
        </w:rPr>
        <w:t>1.5% – 8% of proceeds received by the Company for the sub-license or license of certain patents.</w:t>
      </w:r>
    </w:p>
    <w:p>
      <w:pPr>
        <w:spacing w:after="0" w:line="247" w:lineRule="exact"/>
        <w:rPr>
          <w:sz w:val="20"/>
          <w:szCs w:val="20"/>
          <w:color w:val="auto"/>
        </w:rPr>
      </w:pPr>
    </w:p>
    <w:p>
      <w:pPr>
        <w:ind w:left="880"/>
        <w:spacing w:after="0"/>
        <w:rPr>
          <w:sz w:val="20"/>
          <w:szCs w:val="20"/>
          <w:color w:val="auto"/>
        </w:rPr>
      </w:pPr>
      <w:r>
        <w:rPr>
          <w:rFonts w:ascii="Arial" w:cs="Arial" w:eastAsia="Arial" w:hAnsi="Arial"/>
          <w:sz w:val="19"/>
          <w:szCs w:val="19"/>
          <w:color w:val="auto"/>
        </w:rPr>
        <w:t>Royalty expenses in immaterial amounts were recorded in 2018, 2019 and 2020 in respect of these agreements</w:t>
      </w:r>
    </w:p>
    <w:p>
      <w:pPr>
        <w:spacing w:after="0" w:line="255" w:lineRule="exact"/>
        <w:rPr>
          <w:sz w:val="20"/>
          <w:szCs w:val="20"/>
          <w:color w:val="auto"/>
        </w:rPr>
      </w:pPr>
    </w:p>
    <w:p>
      <w:pPr>
        <w:ind w:left="880" w:right="220"/>
        <w:spacing w:after="0" w:line="284" w:lineRule="auto"/>
        <w:rPr>
          <w:sz w:val="20"/>
          <w:szCs w:val="20"/>
          <w:color w:val="auto"/>
        </w:rPr>
      </w:pPr>
      <w:r>
        <w:rPr>
          <w:rFonts w:ascii="Arial" w:cs="Arial" w:eastAsia="Arial" w:hAnsi="Arial"/>
          <w:sz w:val="19"/>
          <w:szCs w:val="19"/>
          <w:color w:val="auto"/>
        </w:rPr>
        <w:t>According to the agreements, the Company may continue commercial use of certain Yissum’s patents in connection with the products and subject to the obligation to pay Yissum the royalties and the sub-license fees.</w:t>
      </w:r>
    </w:p>
    <w:p>
      <w:pPr>
        <w:spacing w:after="0" w:line="193" w:lineRule="exact"/>
        <w:rPr>
          <w:sz w:val="20"/>
          <w:szCs w:val="20"/>
          <w:color w:val="auto"/>
        </w:rPr>
      </w:pPr>
    </w:p>
    <w:p>
      <w:pPr>
        <w:ind w:left="880"/>
        <w:spacing w:after="0"/>
        <w:rPr>
          <w:sz w:val="20"/>
          <w:szCs w:val="20"/>
          <w:color w:val="auto"/>
        </w:rPr>
      </w:pPr>
      <w:r>
        <w:rPr>
          <w:rFonts w:ascii="Arial" w:cs="Arial" w:eastAsia="Arial" w:hAnsi="Arial"/>
          <w:sz w:val="19"/>
          <w:szCs w:val="19"/>
          <w:color w:val="auto"/>
        </w:rPr>
        <w:t>The Company granted rights to a third party for use and commercialization of certain Yissum patents.</w:t>
      </w:r>
    </w:p>
    <w:p>
      <w:pPr>
        <w:spacing w:after="0" w:line="245" w:lineRule="exact"/>
        <w:rPr>
          <w:sz w:val="20"/>
          <w:szCs w:val="20"/>
          <w:color w:val="auto"/>
        </w:rPr>
      </w:pPr>
    </w:p>
    <w:p>
      <w:pPr>
        <w:ind w:left="580" w:hanging="278"/>
        <w:spacing w:after="0"/>
        <w:tabs>
          <w:tab w:leader="none" w:pos="580" w:val="left"/>
        </w:tabs>
        <w:numPr>
          <w:ilvl w:val="0"/>
          <w:numId w:val="168"/>
        </w:numPr>
        <w:rPr>
          <w:rFonts w:ascii="Arial" w:cs="Arial" w:eastAsia="Arial" w:hAnsi="Arial"/>
          <w:sz w:val="16"/>
          <w:szCs w:val="16"/>
          <w:color w:val="auto"/>
        </w:rPr>
      </w:pPr>
      <w:r>
        <w:rPr>
          <w:rFonts w:ascii="Arial" w:cs="Arial" w:eastAsia="Arial" w:hAnsi="Arial"/>
          <w:sz w:val="16"/>
          <w:szCs w:val="16"/>
          <w:b w:val="1"/>
          <w:bCs w:val="1"/>
          <w:color w:val="auto"/>
        </w:rPr>
        <w:t>Lease Agreements</w:t>
      </w:r>
    </w:p>
    <w:p>
      <w:pPr>
        <w:spacing w:after="0" w:line="251" w:lineRule="exact"/>
        <w:rPr>
          <w:sz w:val="20"/>
          <w:szCs w:val="20"/>
          <w:color w:val="auto"/>
        </w:rPr>
      </w:pPr>
    </w:p>
    <w:p>
      <w:pPr>
        <w:ind w:left="600" w:right="180"/>
        <w:spacing w:after="0" w:line="284" w:lineRule="auto"/>
        <w:rPr>
          <w:sz w:val="20"/>
          <w:szCs w:val="20"/>
          <w:color w:val="auto"/>
        </w:rPr>
      </w:pPr>
      <w:r>
        <w:rPr>
          <w:rFonts w:ascii="Arial" w:cs="Arial" w:eastAsia="Arial" w:hAnsi="Arial"/>
          <w:sz w:val="19"/>
          <w:szCs w:val="19"/>
          <w:color w:val="auto"/>
        </w:rPr>
        <w:t>The Company leases offices and vehicles under operating leases. For leases with terms greater than 12 months, the Company records right of use assets and lease liabilities at the present value of lease payments over the leases term.</w:t>
      </w:r>
    </w:p>
    <w:p>
      <w:pPr>
        <w:spacing w:after="0" w:line="193" w:lineRule="exact"/>
        <w:rPr>
          <w:sz w:val="20"/>
          <w:szCs w:val="20"/>
          <w:color w:val="auto"/>
        </w:rPr>
      </w:pPr>
    </w:p>
    <w:p>
      <w:pPr>
        <w:ind w:left="600"/>
        <w:spacing w:after="0"/>
        <w:rPr>
          <w:sz w:val="20"/>
          <w:szCs w:val="20"/>
          <w:color w:val="auto"/>
        </w:rPr>
      </w:pPr>
      <w:r>
        <w:rPr>
          <w:rFonts w:ascii="Arial" w:cs="Arial" w:eastAsia="Arial" w:hAnsi="Arial"/>
          <w:sz w:val="19"/>
          <w:szCs w:val="19"/>
          <w:u w:val="single" w:color="auto"/>
          <w:color w:val="auto"/>
        </w:rPr>
        <w:t>Offices</w:t>
      </w:r>
    </w:p>
    <w:p>
      <w:pPr>
        <w:spacing w:after="0" w:line="22" w:lineRule="exact"/>
        <w:rPr>
          <w:sz w:val="20"/>
          <w:szCs w:val="20"/>
          <w:color w:val="auto"/>
        </w:rPr>
      </w:pPr>
    </w:p>
    <w:p>
      <w:pPr>
        <w:ind w:left="600"/>
        <w:spacing w:after="0" w:line="266" w:lineRule="auto"/>
        <w:rPr>
          <w:sz w:val="20"/>
          <w:szCs w:val="20"/>
          <w:color w:val="auto"/>
        </w:rPr>
      </w:pPr>
      <w:r>
        <w:rPr>
          <w:rFonts w:ascii="Arial" w:cs="Arial" w:eastAsia="Arial" w:hAnsi="Arial"/>
          <w:sz w:val="19"/>
          <w:szCs w:val="19"/>
          <w:color w:val="auto"/>
        </w:rPr>
        <w:t>The Company leases office spaces and research and development facilities under several agreements. These agreements are linked to the change in the Israeli consumer price index and expire in December 2023. These agreements are considered as operating leases and presented under operating lease right-of-use assets and operating leases liabilities. A restricted deposit of $143 has been made in order to secure the agreement.</w:t>
      </w:r>
    </w:p>
    <w:p>
      <w:pPr>
        <w:spacing w:after="0" w:line="210" w:lineRule="exact"/>
        <w:rPr>
          <w:sz w:val="20"/>
          <w:szCs w:val="20"/>
          <w:color w:val="auto"/>
        </w:rPr>
      </w:pPr>
    </w:p>
    <w:p>
      <w:pPr>
        <w:ind w:left="600"/>
        <w:spacing w:after="0"/>
        <w:rPr>
          <w:sz w:val="20"/>
          <w:szCs w:val="20"/>
          <w:color w:val="auto"/>
        </w:rPr>
      </w:pPr>
      <w:r>
        <w:rPr>
          <w:rFonts w:ascii="Arial" w:cs="Arial" w:eastAsia="Arial" w:hAnsi="Arial"/>
          <w:sz w:val="19"/>
          <w:szCs w:val="19"/>
          <w:u w:val="single" w:color="auto"/>
          <w:color w:val="auto"/>
        </w:rPr>
        <w:t>Vehicles</w:t>
      </w:r>
    </w:p>
    <w:p>
      <w:pPr>
        <w:spacing w:after="0" w:line="22" w:lineRule="exact"/>
        <w:rPr>
          <w:sz w:val="20"/>
          <w:szCs w:val="20"/>
          <w:color w:val="auto"/>
        </w:rPr>
      </w:pPr>
    </w:p>
    <w:p>
      <w:pPr>
        <w:ind w:left="600" w:right="300"/>
        <w:spacing w:after="0" w:line="340" w:lineRule="auto"/>
        <w:rPr>
          <w:sz w:val="20"/>
          <w:szCs w:val="20"/>
          <w:color w:val="auto"/>
        </w:rPr>
      </w:pPr>
      <w:r>
        <w:rPr>
          <w:rFonts w:ascii="Arial" w:cs="Arial" w:eastAsia="Arial" w:hAnsi="Arial"/>
          <w:sz w:val="17"/>
          <w:szCs w:val="17"/>
          <w:color w:val="auto"/>
        </w:rPr>
        <w:t>The Company has entered into operating lease agreements for vehicles used by its employees for a period of 3 years. These contracts are considered as operating leases and presented under operating lease right-of-use assets and operating leases liabilities.</w:t>
      </w: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0"/>
          </w:cols>
          <w:pgMar w:left="320" w:top="363" w:right="339" w:bottom="1440" w:gutter="0" w:footer="0" w:header="0"/>
        </w:sectPr>
      </w:pPr>
    </w:p>
    <w:bookmarkStart w:id="167" w:name="page168"/>
    <w:bookmarkEnd w:id="167"/>
    <w:p>
      <w:pPr>
        <w:jc w:val="center"/>
        <w:ind w:right="-299"/>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299"/>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ind w:left="3380"/>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NOTE 6 — COMMITMENTS </w:t>
      </w:r>
      <w:r>
        <w:rPr>
          <w:rFonts w:ascii="Arial" w:cs="Arial" w:eastAsia="Arial" w:hAnsi="Arial"/>
          <w:sz w:val="19"/>
          <w:szCs w:val="19"/>
          <w:color w:val="auto"/>
        </w:rPr>
        <w:t>(continued):</w:t>
      </w:r>
    </w:p>
    <w:p>
      <w:pPr>
        <w:spacing w:after="0" w:line="261" w:lineRule="exact"/>
        <w:rPr>
          <w:sz w:val="20"/>
          <w:szCs w:val="20"/>
          <w:color w:val="auto"/>
        </w:rPr>
      </w:pPr>
    </w:p>
    <w:p>
      <w:pPr>
        <w:ind w:left="600"/>
        <w:spacing w:after="0"/>
        <w:rPr>
          <w:sz w:val="20"/>
          <w:szCs w:val="20"/>
          <w:color w:val="auto"/>
        </w:rPr>
      </w:pPr>
      <w:r>
        <w:rPr>
          <w:rFonts w:ascii="Arial" w:cs="Arial" w:eastAsia="Arial" w:hAnsi="Arial"/>
          <w:sz w:val="19"/>
          <w:szCs w:val="19"/>
          <w:u w:val="single" w:color="auto"/>
          <w:color w:val="auto"/>
        </w:rPr>
        <w:t>Lease Position</w:t>
      </w:r>
    </w:p>
    <w:p>
      <w:pPr>
        <w:spacing w:after="0" w:line="25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The table below presents the lease-related assets and liabilities recorded on the consolidated balance sheet:</w:t>
      </w:r>
    </w:p>
    <w:p>
      <w:pPr>
        <w:spacing w:after="0" w:line="245" w:lineRule="exact"/>
        <w:rPr>
          <w:sz w:val="20"/>
          <w:szCs w:val="20"/>
          <w:color w:val="auto"/>
        </w:rPr>
      </w:pPr>
    </w:p>
    <w:tbl>
      <w:tblPr>
        <w:tblLayout w:type="fixed"/>
        <w:tblInd w:w="780" w:type="dxa"/>
        <w:tblCellMar>
          <w:top w:w="0" w:type="dxa"/>
          <w:left w:w="0" w:type="dxa"/>
          <w:bottom w:w="0" w:type="dxa"/>
          <w:right w:w="0" w:type="dxa"/>
        </w:tblCellMar>
      </w:tblPr>
      <w:tr>
        <w:trPr>
          <w:trHeight w:val="189"/>
        </w:trPr>
        <w:tc>
          <w:tcPr>
            <w:tcW w:w="80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gridSpan w:val="3"/>
          </w:tcPr>
          <w:p>
            <w:pPr>
              <w:jc w:val="right"/>
              <w:ind w:right="227"/>
              <w:spacing w:after="0"/>
              <w:rPr>
                <w:sz w:val="20"/>
                <w:szCs w:val="20"/>
                <w:color w:val="auto"/>
              </w:rPr>
            </w:pPr>
            <w:r>
              <w:rPr>
                <w:rFonts w:ascii="Arial" w:cs="Arial" w:eastAsia="Arial" w:hAnsi="Arial"/>
                <w:sz w:val="16"/>
                <w:szCs w:val="16"/>
                <w:b w:val="1"/>
                <w:bCs w:val="1"/>
                <w:color w:val="auto"/>
              </w:rPr>
              <w:t>As of</w:t>
            </w: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209"/>
        </w:trPr>
        <w:tc>
          <w:tcPr>
            <w:tcW w:w="8040" w:type="dxa"/>
            <w:vAlign w:val="bottom"/>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w w:val="86"/>
              </w:rPr>
              <w:t>December 31,</w:t>
            </w:r>
          </w:p>
        </w:tc>
        <w:tc>
          <w:tcPr>
            <w:tcW w:w="68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r>
      <w:tr>
        <w:trPr>
          <w:trHeight w:val="193"/>
        </w:trPr>
        <w:tc>
          <w:tcPr>
            <w:tcW w:w="8040" w:type="dxa"/>
            <w:vAlign w:val="bottom"/>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c>
          <w:tcPr>
            <w:tcW w:w="34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w w:val="84"/>
              </w:rPr>
              <w:t>2020</w:t>
            </w: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Assets</w:t>
            </w:r>
          </w:p>
        </w:tc>
        <w:tc>
          <w:tcPr>
            <w:tcW w:w="6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89"/>
        </w:trPr>
        <w:tc>
          <w:tcPr>
            <w:tcW w:w="8040" w:type="dxa"/>
            <w:vAlign w:val="bottom"/>
          </w:tcPr>
          <w:p>
            <w:pPr>
              <w:spacing w:after="0"/>
              <w:rPr>
                <w:sz w:val="20"/>
                <w:szCs w:val="20"/>
                <w:color w:val="auto"/>
              </w:rPr>
            </w:pPr>
            <w:r>
              <w:rPr>
                <w:rFonts w:ascii="Arial" w:cs="Arial" w:eastAsia="Arial" w:hAnsi="Arial"/>
                <w:sz w:val="16"/>
                <w:szCs w:val="16"/>
                <w:b w:val="1"/>
                <w:bCs w:val="1"/>
                <w:color w:val="auto"/>
              </w:rPr>
              <w:t>Operating Leases</w:t>
            </w:r>
          </w:p>
        </w:tc>
        <w:tc>
          <w:tcPr>
            <w:tcW w:w="6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color w:val="auto"/>
              </w:rPr>
              <w:t>Operating lease right-of-use assets</w:t>
            </w:r>
          </w:p>
        </w:tc>
        <w:tc>
          <w:tcPr>
            <w:tcW w:w="680" w:type="dxa"/>
            <w:vAlign w:val="bottom"/>
            <w:shd w:val="clear" w:color="auto" w:fill="CCEEFF"/>
          </w:tcPr>
          <w:p>
            <w:pPr>
              <w:jc w:val="right"/>
              <w:ind w:right="525"/>
              <w:spacing w:after="0"/>
              <w:rPr>
                <w:sz w:val="20"/>
                <w:szCs w:val="20"/>
                <w:color w:val="auto"/>
              </w:rPr>
            </w:pPr>
            <w:r>
              <w:rPr>
                <w:rFonts w:ascii="Arial" w:cs="Arial" w:eastAsia="Arial" w:hAnsi="Arial"/>
                <w:sz w:val="15"/>
                <w:szCs w:val="15"/>
                <w:color w:val="auto"/>
                <w:w w:val="71"/>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79"/>
              </w:rPr>
              <w:t>2,040</w:t>
            </w: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1,896</w:t>
            </w:r>
          </w:p>
        </w:tc>
      </w:tr>
      <w:tr>
        <w:trPr>
          <w:trHeight w:val="189"/>
        </w:trPr>
        <w:tc>
          <w:tcPr>
            <w:tcW w:w="80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Liabilities</w:t>
            </w:r>
          </w:p>
        </w:tc>
        <w:tc>
          <w:tcPr>
            <w:tcW w:w="6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89"/>
        </w:trPr>
        <w:tc>
          <w:tcPr>
            <w:tcW w:w="8040" w:type="dxa"/>
            <w:vAlign w:val="bottom"/>
          </w:tcPr>
          <w:p>
            <w:pPr>
              <w:spacing w:after="0"/>
              <w:rPr>
                <w:sz w:val="20"/>
                <w:szCs w:val="20"/>
                <w:color w:val="auto"/>
              </w:rPr>
            </w:pPr>
            <w:r>
              <w:rPr>
                <w:rFonts w:ascii="Arial" w:cs="Arial" w:eastAsia="Arial" w:hAnsi="Arial"/>
                <w:sz w:val="16"/>
                <w:szCs w:val="16"/>
                <w:b w:val="1"/>
                <w:bCs w:val="1"/>
                <w:color w:val="auto"/>
              </w:rPr>
              <w:t>Current liabilities</w:t>
            </w:r>
          </w:p>
        </w:tc>
        <w:tc>
          <w:tcPr>
            <w:tcW w:w="6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color w:val="auto"/>
              </w:rPr>
              <w:t>Current maturities of operating leases</w:t>
            </w:r>
          </w:p>
        </w:tc>
        <w:tc>
          <w:tcPr>
            <w:tcW w:w="680" w:type="dxa"/>
            <w:vAlign w:val="bottom"/>
            <w:shd w:val="clear" w:color="auto" w:fill="CCEEFF"/>
          </w:tcPr>
          <w:p>
            <w:pPr>
              <w:jc w:val="right"/>
              <w:ind w:right="525"/>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672</w:t>
            </w: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673</w:t>
            </w:r>
          </w:p>
        </w:tc>
      </w:tr>
      <w:tr>
        <w:trPr>
          <w:trHeight w:val="189"/>
        </w:trPr>
        <w:tc>
          <w:tcPr>
            <w:tcW w:w="8040" w:type="dxa"/>
            <w:vAlign w:val="bottom"/>
          </w:tcPr>
          <w:p>
            <w:pPr>
              <w:spacing w:after="0"/>
              <w:rPr>
                <w:sz w:val="20"/>
                <w:szCs w:val="20"/>
                <w:color w:val="auto"/>
              </w:rPr>
            </w:pPr>
            <w:r>
              <w:rPr>
                <w:rFonts w:ascii="Arial" w:cs="Arial" w:eastAsia="Arial" w:hAnsi="Arial"/>
                <w:sz w:val="16"/>
                <w:szCs w:val="16"/>
                <w:b w:val="1"/>
                <w:bCs w:val="1"/>
                <w:color w:val="auto"/>
              </w:rPr>
              <w:t>Long-term liabilities</w:t>
            </w:r>
          </w:p>
        </w:tc>
        <w:tc>
          <w:tcPr>
            <w:tcW w:w="6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color w:val="auto"/>
              </w:rPr>
              <w:t>Non-current operating leases</w:t>
            </w:r>
          </w:p>
        </w:tc>
        <w:tc>
          <w:tcPr>
            <w:tcW w:w="680" w:type="dxa"/>
            <w:vAlign w:val="bottom"/>
            <w:shd w:val="clear" w:color="auto" w:fill="CCEEFF"/>
          </w:tcPr>
          <w:p>
            <w:pPr>
              <w:jc w:val="right"/>
              <w:ind w:right="525"/>
              <w:spacing w:after="0"/>
              <w:rPr>
                <w:sz w:val="20"/>
                <w:szCs w:val="20"/>
                <w:color w:val="auto"/>
              </w:rPr>
            </w:pPr>
            <w:r>
              <w:rPr>
                <w:rFonts w:ascii="Arial" w:cs="Arial" w:eastAsia="Arial" w:hAnsi="Arial"/>
                <w:sz w:val="15"/>
                <w:szCs w:val="15"/>
                <w:color w:val="auto"/>
                <w:w w:val="71"/>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79"/>
              </w:rPr>
              <w:t>1,373</w:t>
            </w: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1,299</w:t>
            </w:r>
          </w:p>
        </w:tc>
      </w:tr>
      <w:tr>
        <w:trPr>
          <w:trHeight w:val="189"/>
        </w:trPr>
        <w:tc>
          <w:tcPr>
            <w:tcW w:w="80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color w:val="auto"/>
              </w:rPr>
              <w:t>Weighted Average Remaining Lease Term</w:t>
            </w:r>
          </w:p>
        </w:tc>
        <w:tc>
          <w:tcPr>
            <w:tcW w:w="6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89"/>
        </w:trPr>
        <w:tc>
          <w:tcPr>
            <w:tcW w:w="8040" w:type="dxa"/>
            <w:vAlign w:val="bottom"/>
          </w:tcPr>
          <w:p>
            <w:pPr>
              <w:spacing w:after="0"/>
              <w:rPr>
                <w:sz w:val="20"/>
                <w:szCs w:val="20"/>
                <w:color w:val="auto"/>
              </w:rPr>
            </w:pPr>
            <w:r>
              <w:rPr>
                <w:rFonts w:ascii="Arial" w:cs="Arial" w:eastAsia="Arial" w:hAnsi="Arial"/>
                <w:sz w:val="16"/>
                <w:szCs w:val="16"/>
                <w:color w:val="auto"/>
              </w:rPr>
              <w:t>Operating leases</w:t>
            </w:r>
          </w:p>
        </w:tc>
        <w:tc>
          <w:tcPr>
            <w:tcW w:w="680" w:type="dxa"/>
            <w:vAlign w:val="bottom"/>
          </w:tcPr>
          <w:p>
            <w:pPr>
              <w:spacing w:after="0"/>
              <w:rPr>
                <w:sz w:val="16"/>
                <w:szCs w:val="16"/>
                <w:color w:val="auto"/>
              </w:rPr>
            </w:pPr>
          </w:p>
        </w:tc>
        <w:tc>
          <w:tcPr>
            <w:tcW w:w="580" w:type="dxa"/>
            <w:vAlign w:val="bottom"/>
            <w:gridSpan w:val="2"/>
          </w:tcPr>
          <w:p>
            <w:pPr>
              <w:jc w:val="right"/>
              <w:ind w:right="240"/>
              <w:spacing w:after="0"/>
              <w:rPr>
                <w:sz w:val="20"/>
                <w:szCs w:val="20"/>
                <w:color w:val="auto"/>
              </w:rPr>
            </w:pPr>
            <w:r>
              <w:rPr>
                <w:rFonts w:ascii="Arial" w:cs="Arial" w:eastAsia="Arial" w:hAnsi="Arial"/>
                <w:sz w:val="16"/>
                <w:szCs w:val="16"/>
                <w:color w:val="auto"/>
              </w:rPr>
              <w:t>1.66</w:t>
            </w:r>
          </w:p>
        </w:tc>
        <w:tc>
          <w:tcPr>
            <w:tcW w:w="360" w:type="dxa"/>
            <w:vAlign w:val="bottom"/>
          </w:tcPr>
          <w:p>
            <w:pPr>
              <w:spacing w:after="0"/>
              <w:rPr>
                <w:sz w:val="16"/>
                <w:szCs w:val="16"/>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1.29</w:t>
            </w:r>
          </w:p>
        </w:tc>
      </w:tr>
      <w:tr>
        <w:trPr>
          <w:trHeight w:val="189"/>
        </w:trPr>
        <w:tc>
          <w:tcPr>
            <w:tcW w:w="804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r>
      <w:tr>
        <w:trPr>
          <w:trHeight w:val="189"/>
        </w:trPr>
        <w:tc>
          <w:tcPr>
            <w:tcW w:w="8040" w:type="dxa"/>
            <w:vAlign w:val="bottom"/>
          </w:tcPr>
          <w:p>
            <w:pPr>
              <w:spacing w:after="0"/>
              <w:rPr>
                <w:sz w:val="20"/>
                <w:szCs w:val="20"/>
                <w:color w:val="auto"/>
              </w:rPr>
            </w:pPr>
            <w:r>
              <w:rPr>
                <w:rFonts w:ascii="Arial" w:cs="Arial" w:eastAsia="Arial" w:hAnsi="Arial"/>
                <w:sz w:val="16"/>
                <w:szCs w:val="16"/>
                <w:color w:val="auto"/>
              </w:rPr>
              <w:t>Weighted Average Discount Rate</w:t>
            </w:r>
          </w:p>
        </w:tc>
        <w:tc>
          <w:tcPr>
            <w:tcW w:w="6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189"/>
        </w:trPr>
        <w:tc>
          <w:tcPr>
            <w:tcW w:w="8040" w:type="dxa"/>
            <w:vAlign w:val="bottom"/>
            <w:shd w:val="clear" w:color="auto" w:fill="CCEEFF"/>
          </w:tcPr>
          <w:p>
            <w:pPr>
              <w:spacing w:after="0"/>
              <w:rPr>
                <w:sz w:val="20"/>
                <w:szCs w:val="20"/>
                <w:color w:val="auto"/>
              </w:rPr>
            </w:pPr>
            <w:r>
              <w:rPr>
                <w:rFonts w:ascii="Arial" w:cs="Arial" w:eastAsia="Arial" w:hAnsi="Arial"/>
                <w:sz w:val="16"/>
                <w:szCs w:val="16"/>
                <w:color w:val="auto"/>
              </w:rPr>
              <w:t>Operating leases</w:t>
            </w:r>
          </w:p>
        </w:tc>
        <w:tc>
          <w:tcPr>
            <w:tcW w:w="680" w:type="dxa"/>
            <w:vAlign w:val="bottom"/>
            <w:shd w:val="clear" w:color="auto" w:fill="CCEEFF"/>
          </w:tcPr>
          <w:p>
            <w:pPr>
              <w:spacing w:after="0"/>
              <w:rPr>
                <w:sz w:val="16"/>
                <w:szCs w:val="16"/>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7.44%</w:t>
            </w: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6.25%</w:t>
            </w:r>
          </w:p>
        </w:tc>
      </w:tr>
    </w:tbl>
    <w:p>
      <w:pPr>
        <w:spacing w:after="0" w:line="229" w:lineRule="exact"/>
        <w:rPr>
          <w:sz w:val="20"/>
          <w:szCs w:val="20"/>
          <w:color w:val="auto"/>
        </w:rPr>
      </w:pPr>
    </w:p>
    <w:p>
      <w:pPr>
        <w:ind w:left="600"/>
        <w:spacing w:after="0"/>
        <w:rPr>
          <w:sz w:val="20"/>
          <w:szCs w:val="20"/>
          <w:color w:val="auto"/>
        </w:rPr>
      </w:pPr>
      <w:r>
        <w:rPr>
          <w:rFonts w:ascii="Arial" w:cs="Arial" w:eastAsia="Arial" w:hAnsi="Arial"/>
          <w:sz w:val="19"/>
          <w:szCs w:val="19"/>
          <w:u w:val="single" w:color="auto"/>
          <w:color w:val="auto"/>
        </w:rPr>
        <w:t>Lease Costs</w:t>
      </w:r>
    </w:p>
    <w:p>
      <w:pPr>
        <w:spacing w:after="0" w:line="255" w:lineRule="exact"/>
        <w:rPr>
          <w:sz w:val="20"/>
          <w:szCs w:val="20"/>
          <w:color w:val="auto"/>
        </w:rPr>
      </w:pPr>
    </w:p>
    <w:p>
      <w:pPr>
        <w:ind w:left="600"/>
        <w:spacing w:after="0"/>
        <w:rPr>
          <w:sz w:val="20"/>
          <w:szCs w:val="20"/>
          <w:color w:val="auto"/>
        </w:rPr>
      </w:pPr>
      <w:r>
        <w:rPr>
          <w:rFonts w:ascii="Arial" w:cs="Arial" w:eastAsia="Arial" w:hAnsi="Arial"/>
          <w:sz w:val="19"/>
          <w:szCs w:val="19"/>
          <w:color w:val="auto"/>
        </w:rPr>
        <w:t>The table below present certain information related to lease costs of operating leases the year ended December 31, 2020:</w:t>
      </w:r>
    </w:p>
    <w:p>
      <w:pPr>
        <w:spacing w:after="0" w:line="245" w:lineRule="exact"/>
        <w:rPr>
          <w:sz w:val="20"/>
          <w:szCs w:val="20"/>
          <w:color w:val="auto"/>
        </w:rPr>
      </w:pPr>
    </w:p>
    <w:p>
      <w:pPr>
        <w:jc w:val="center"/>
        <w:ind w:left="8760"/>
        <w:spacing w:after="0"/>
        <w:rPr>
          <w:sz w:val="20"/>
          <w:szCs w:val="20"/>
          <w:color w:val="auto"/>
        </w:rPr>
      </w:pPr>
      <w:r>
        <w:rPr>
          <w:rFonts w:ascii="Arial" w:cs="Arial" w:eastAsia="Arial" w:hAnsi="Arial"/>
          <w:sz w:val="16"/>
          <w:szCs w:val="16"/>
          <w:b w:val="1"/>
          <w:bCs w:val="1"/>
          <w:color w:val="auto"/>
        </w:rPr>
        <w:t>Year</w:t>
      </w:r>
    </w:p>
    <w:p>
      <w:pPr>
        <w:spacing w:after="0" w:line="20" w:lineRule="exact"/>
        <w:rPr>
          <w:sz w:val="20"/>
          <w:szCs w:val="20"/>
          <w:color w:val="auto"/>
        </w:rPr>
      </w:pPr>
    </w:p>
    <w:p>
      <w:pPr>
        <w:jc w:val="center"/>
        <w:ind w:left="8760"/>
        <w:spacing w:after="0"/>
        <w:rPr>
          <w:sz w:val="20"/>
          <w:szCs w:val="20"/>
          <w:color w:val="auto"/>
        </w:rPr>
      </w:pPr>
      <w:r>
        <w:rPr>
          <w:rFonts w:ascii="Arial" w:cs="Arial" w:eastAsia="Arial" w:hAnsi="Arial"/>
          <w:sz w:val="16"/>
          <w:szCs w:val="16"/>
          <w:b w:val="1"/>
          <w:bCs w:val="1"/>
          <w:color w:val="auto"/>
        </w:rPr>
        <w:t>Ended</w:t>
      </w:r>
    </w:p>
    <w:p>
      <w:pPr>
        <w:spacing w:after="0" w:line="5" w:lineRule="exact"/>
        <w:rPr>
          <w:sz w:val="20"/>
          <w:szCs w:val="20"/>
          <w:color w:val="auto"/>
        </w:rPr>
      </w:pPr>
    </w:p>
    <w:p>
      <w:pPr>
        <w:jc w:val="center"/>
        <w:ind w:left="8760"/>
        <w:spacing w:after="0"/>
        <w:rPr>
          <w:sz w:val="20"/>
          <w:szCs w:val="20"/>
          <w:color w:val="auto"/>
        </w:rPr>
      </w:pPr>
      <w:r>
        <w:rPr>
          <w:rFonts w:ascii="Arial" w:cs="Arial" w:eastAsia="Arial" w:hAnsi="Arial"/>
          <w:sz w:val="16"/>
          <w:szCs w:val="16"/>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5621655</wp:posOffset>
            </wp:positionH>
            <wp:positionV relativeFrom="paragraph">
              <wp:posOffset>4445</wp:posOffset>
            </wp:positionV>
            <wp:extent cx="1464310" cy="1524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1">
                      <a:extLst>
                        <a:ext uri="{28A0092B-C50C-407E-A947-70E740481C1C}"/>
                      </a:extLst>
                    </a:blip>
                    <a:srcRect/>
                    <a:stretch>
                      <a:fillRect/>
                    </a:stretch>
                  </pic:blipFill>
                  <pic:spPr bwMode="auto">
                    <a:xfrm>
                      <a:off x="0" y="0"/>
                      <a:ext cx="1464310" cy="15240"/>
                    </a:xfrm>
                    <a:prstGeom prst="rect">
                      <a:avLst/>
                    </a:prstGeom>
                    <a:noFill/>
                  </pic:spPr>
                </pic:pic>
              </a:graphicData>
            </a:graphic>
          </wp:anchor>
        </w:drawing>
      </w:r>
    </w:p>
    <w:p>
      <w:pPr>
        <w:ind w:left="9220"/>
        <w:spacing w:after="0"/>
        <w:tabs>
          <w:tab w:leader="none" w:pos="10460" w:val="left"/>
        </w:tabs>
        <w:rPr>
          <w:sz w:val="20"/>
          <w:szCs w:val="20"/>
          <w:color w:val="auto"/>
        </w:rPr>
      </w:pPr>
      <w:r>
        <w:rPr>
          <w:rFonts w:ascii="Arial" w:cs="Arial" w:eastAsia="Arial" w:hAnsi="Arial"/>
          <w:sz w:val="16"/>
          <w:szCs w:val="16"/>
          <w:b w:val="1"/>
          <w:bCs w:val="1"/>
          <w:color w:val="auto"/>
        </w:rPr>
        <w:t>2019</w:t>
      </w:r>
      <w:r>
        <w:rPr>
          <w:sz w:val="20"/>
          <w:szCs w:val="20"/>
          <w:color w:val="auto"/>
        </w:rPr>
        <w:tab/>
      </w:r>
      <w:r>
        <w:rPr>
          <w:rFonts w:ascii="Arial" w:cs="Arial" w:eastAsia="Arial" w:hAnsi="Arial"/>
          <w:sz w:val="16"/>
          <w:szCs w:val="16"/>
          <w:b w:val="1"/>
          <w:bCs w:val="1"/>
          <w:color w:val="auto"/>
        </w:rPr>
        <w:t>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5621655</wp:posOffset>
            </wp:positionH>
            <wp:positionV relativeFrom="paragraph">
              <wp:posOffset>13970</wp:posOffset>
            </wp:positionV>
            <wp:extent cx="1464310" cy="1524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2">
                      <a:extLst>
                        <a:ext uri="{28A0092B-C50C-407E-A947-70E740481C1C}"/>
                      </a:extLst>
                    </a:blip>
                    <a:srcRect/>
                    <a:stretch>
                      <a:fillRect/>
                    </a:stretch>
                  </pic:blipFill>
                  <pic:spPr bwMode="auto">
                    <a:xfrm>
                      <a:off x="0" y="0"/>
                      <a:ext cx="1464310" cy="15240"/>
                    </a:xfrm>
                    <a:prstGeom prst="rect">
                      <a:avLst/>
                    </a:prstGeom>
                    <a:noFill/>
                  </pic:spPr>
                </pic:pic>
              </a:graphicData>
            </a:graphic>
          </wp:anchor>
        </w:drawing>
      </w:r>
    </w:p>
    <w:p>
      <w:pPr>
        <w:spacing w:after="0" w:line="202" w:lineRule="exact"/>
        <w:rPr>
          <w:sz w:val="20"/>
          <w:szCs w:val="20"/>
          <w:color w:val="auto"/>
        </w:rPr>
      </w:pPr>
    </w:p>
    <w:p>
      <w:pPr>
        <w:ind w:left="780"/>
        <w:spacing w:after="0"/>
        <w:tabs>
          <w:tab w:leader="none" w:pos="8840" w:val="left"/>
          <w:tab w:leader="none" w:pos="9640" w:val="left"/>
          <w:tab w:leader="none" w:pos="10100" w:val="left"/>
          <w:tab w:leader="none" w:pos="10900" w:val="left"/>
        </w:tabs>
        <w:rPr>
          <w:sz w:val="20"/>
          <w:szCs w:val="20"/>
          <w:color w:val="auto"/>
        </w:rPr>
      </w:pPr>
      <w:r>
        <w:rPr>
          <w:rFonts w:ascii="Arial" w:cs="Arial" w:eastAsia="Arial" w:hAnsi="Arial"/>
          <w:sz w:val="16"/>
          <w:szCs w:val="16"/>
          <w:color w:val="auto"/>
        </w:rPr>
        <w:t>Operating lease cost:</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643</w:t>
        <w:tab/>
        <w:t>$</w:t>
      </w:r>
      <w:r>
        <w:rPr>
          <w:sz w:val="20"/>
          <w:szCs w:val="20"/>
          <w:color w:val="auto"/>
        </w:rPr>
        <w:tab/>
      </w:r>
      <w:r>
        <w:rPr>
          <w:rFonts w:ascii="Arial" w:cs="Arial" w:eastAsia="Arial" w:hAnsi="Arial"/>
          <w:sz w:val="14"/>
          <w:szCs w:val="14"/>
          <w:color w:val="auto"/>
        </w:rPr>
        <w:t>685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499745</wp:posOffset>
            </wp:positionH>
            <wp:positionV relativeFrom="paragraph">
              <wp:posOffset>-107950</wp:posOffset>
            </wp:positionV>
            <wp:extent cx="6645910" cy="15049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3">
                      <a:extLst>
                        <a:ext uri="{28A0092B-C50C-407E-A947-70E740481C1C}"/>
                      </a:extLst>
                    </a:blip>
                    <a:srcRect/>
                    <a:stretch>
                      <a:fillRect/>
                    </a:stretch>
                  </pic:blipFill>
                  <pic:spPr bwMode="auto">
                    <a:xfrm>
                      <a:off x="0" y="0"/>
                      <a:ext cx="6645910" cy="150495"/>
                    </a:xfrm>
                    <a:prstGeom prst="rect">
                      <a:avLst/>
                    </a:prstGeom>
                    <a:noFill/>
                  </pic:spPr>
                </pic:pic>
              </a:graphicData>
            </a:graphic>
          </wp:anchor>
        </w:drawing>
      </w:r>
    </w:p>
    <w:p>
      <w:pPr>
        <w:spacing w:after="0" w:line="274" w:lineRule="exact"/>
        <w:rPr>
          <w:sz w:val="20"/>
          <w:szCs w:val="20"/>
          <w:color w:val="auto"/>
        </w:rPr>
      </w:pPr>
    </w:p>
    <w:p>
      <w:pPr>
        <w:ind w:left="600"/>
        <w:spacing w:after="0"/>
        <w:rPr>
          <w:sz w:val="20"/>
          <w:szCs w:val="20"/>
          <w:color w:val="auto"/>
        </w:rPr>
      </w:pPr>
      <w:r>
        <w:rPr>
          <w:rFonts w:ascii="Arial" w:cs="Arial" w:eastAsia="Arial" w:hAnsi="Arial"/>
          <w:sz w:val="19"/>
          <w:szCs w:val="19"/>
          <w:color w:val="auto"/>
        </w:rPr>
        <w:t>The table below presents supplemental cash flow information related to leases for the year ended December 31, 2020:</w:t>
      </w:r>
    </w:p>
    <w:p>
      <w:pPr>
        <w:spacing w:after="0" w:line="245" w:lineRule="exact"/>
        <w:rPr>
          <w:sz w:val="20"/>
          <w:szCs w:val="20"/>
          <w:color w:val="auto"/>
        </w:rPr>
      </w:pPr>
    </w:p>
    <w:p>
      <w:pPr>
        <w:jc w:val="center"/>
        <w:ind w:left="8760"/>
        <w:spacing w:after="0"/>
        <w:rPr>
          <w:sz w:val="20"/>
          <w:szCs w:val="20"/>
          <w:color w:val="auto"/>
        </w:rPr>
      </w:pPr>
      <w:r>
        <w:rPr>
          <w:rFonts w:ascii="Arial" w:cs="Arial" w:eastAsia="Arial" w:hAnsi="Arial"/>
          <w:sz w:val="16"/>
          <w:szCs w:val="16"/>
          <w:b w:val="1"/>
          <w:bCs w:val="1"/>
          <w:color w:val="auto"/>
        </w:rPr>
        <w:t>Year</w:t>
      </w:r>
    </w:p>
    <w:p>
      <w:pPr>
        <w:spacing w:after="0" w:line="20" w:lineRule="exact"/>
        <w:rPr>
          <w:sz w:val="20"/>
          <w:szCs w:val="20"/>
          <w:color w:val="auto"/>
        </w:rPr>
      </w:pPr>
    </w:p>
    <w:p>
      <w:pPr>
        <w:jc w:val="center"/>
        <w:ind w:left="8760"/>
        <w:spacing w:after="0"/>
        <w:rPr>
          <w:sz w:val="20"/>
          <w:szCs w:val="20"/>
          <w:color w:val="auto"/>
        </w:rPr>
      </w:pPr>
      <w:r>
        <w:rPr>
          <w:rFonts w:ascii="Arial" w:cs="Arial" w:eastAsia="Arial" w:hAnsi="Arial"/>
          <w:sz w:val="16"/>
          <w:szCs w:val="16"/>
          <w:b w:val="1"/>
          <w:bCs w:val="1"/>
          <w:color w:val="auto"/>
        </w:rPr>
        <w:t>Ended</w:t>
      </w:r>
    </w:p>
    <w:p>
      <w:pPr>
        <w:spacing w:after="0" w:line="5" w:lineRule="exact"/>
        <w:rPr>
          <w:sz w:val="20"/>
          <w:szCs w:val="20"/>
          <w:color w:val="auto"/>
        </w:rPr>
      </w:pPr>
    </w:p>
    <w:p>
      <w:pPr>
        <w:jc w:val="center"/>
        <w:ind w:left="8760"/>
        <w:spacing w:after="0"/>
        <w:rPr>
          <w:sz w:val="20"/>
          <w:szCs w:val="20"/>
          <w:color w:val="auto"/>
        </w:rPr>
      </w:pPr>
      <w:r>
        <w:rPr>
          <w:rFonts w:ascii="Arial" w:cs="Arial" w:eastAsia="Arial" w:hAnsi="Arial"/>
          <w:sz w:val="16"/>
          <w:szCs w:val="16"/>
          <w:b w:val="1"/>
          <w:bCs w:val="1"/>
          <w:color w:val="auto"/>
        </w:rPr>
        <w:t>December 31,</w:t>
      </w:r>
    </w:p>
    <w:p>
      <w:pPr>
        <w:spacing w:after="0" w:line="5" w:lineRule="exact"/>
        <w:rPr>
          <w:sz w:val="20"/>
          <w:szCs w:val="20"/>
          <w:color w:val="auto"/>
        </w:rPr>
      </w:pPr>
    </w:p>
    <w:tbl>
      <w:tblPr>
        <w:tblLayout w:type="fixed"/>
        <w:tblInd w:w="780" w:type="dxa"/>
        <w:tblCellMar>
          <w:top w:w="0" w:type="dxa"/>
          <w:left w:w="0" w:type="dxa"/>
          <w:bottom w:w="0" w:type="dxa"/>
          <w:right w:w="0" w:type="dxa"/>
        </w:tblCellMar>
      </w:tblPr>
      <w:tr>
        <w:trPr>
          <w:trHeight w:val="198"/>
        </w:trPr>
        <w:tc>
          <w:tcPr>
            <w:tcW w:w="63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rPr>
              <w:t>2019</w:t>
            </w:r>
          </w:p>
        </w:tc>
        <w:tc>
          <w:tcPr>
            <w:tcW w:w="1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820" w:type="dxa"/>
            <w:vAlign w:val="bottom"/>
            <w:tcBorders>
              <w:top w:val="single" w:sz="8" w:color="auto"/>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rPr>
              <w:t>2020</w:t>
            </w:r>
          </w:p>
        </w:tc>
        <w:tc>
          <w:tcPr>
            <w:tcW w:w="100" w:type="dxa"/>
            <w:vAlign w:val="bottom"/>
          </w:tcPr>
          <w:p>
            <w:pPr>
              <w:spacing w:after="0"/>
              <w:rPr>
                <w:sz w:val="17"/>
                <w:szCs w:val="17"/>
                <w:color w:val="auto"/>
              </w:rPr>
            </w:pPr>
          </w:p>
        </w:tc>
      </w:tr>
      <w:tr>
        <w:trPr>
          <w:trHeight w:val="189"/>
        </w:trPr>
        <w:tc>
          <w:tcPr>
            <w:tcW w:w="6300" w:type="dxa"/>
            <w:vAlign w:val="bottom"/>
            <w:shd w:val="clear" w:color="auto" w:fill="CCEEFF"/>
          </w:tcPr>
          <w:p>
            <w:pPr>
              <w:spacing w:after="0"/>
              <w:rPr>
                <w:sz w:val="20"/>
                <w:szCs w:val="20"/>
                <w:color w:val="auto"/>
              </w:rPr>
            </w:pPr>
            <w:r>
              <w:rPr>
                <w:rFonts w:ascii="Arial" w:cs="Arial" w:eastAsia="Arial" w:hAnsi="Arial"/>
                <w:sz w:val="16"/>
                <w:szCs w:val="16"/>
                <w:color w:val="auto"/>
              </w:rPr>
              <w:t>Cash paid for amounts included in the measurement of leases liabilities:</w:t>
            </w:r>
          </w:p>
        </w:tc>
        <w:tc>
          <w:tcPr>
            <w:tcW w:w="17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00"/>
        </w:trPr>
        <w:tc>
          <w:tcPr>
            <w:tcW w:w="6300" w:type="dxa"/>
            <w:vAlign w:val="bottom"/>
          </w:tcPr>
          <w:p>
            <w:pPr>
              <w:spacing w:after="0"/>
              <w:rPr>
                <w:sz w:val="20"/>
                <w:szCs w:val="20"/>
                <w:color w:val="auto"/>
              </w:rPr>
            </w:pPr>
            <w:r>
              <w:rPr>
                <w:rFonts w:ascii="Arial" w:cs="Arial" w:eastAsia="Arial" w:hAnsi="Arial"/>
                <w:sz w:val="16"/>
                <w:szCs w:val="16"/>
                <w:color w:val="auto"/>
              </w:rPr>
              <w:t>Operating cash flows from operating leases</w:t>
            </w:r>
          </w:p>
        </w:tc>
        <w:tc>
          <w:tcPr>
            <w:tcW w:w="20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807</w:t>
            </w:r>
          </w:p>
        </w:tc>
        <w:tc>
          <w:tcPr>
            <w:tcW w:w="3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6"/>
                <w:szCs w:val="16"/>
                <w:color w:val="auto"/>
              </w:rPr>
              <w:t>735</w:t>
            </w:r>
          </w:p>
        </w:tc>
      </w:tr>
    </w:tbl>
    <w:p>
      <w:pPr>
        <w:spacing w:after="0" w:line="37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68" w:name="page169"/>
    <w:bookmarkEnd w:id="168"/>
    <w:p>
      <w:pPr>
        <w:jc w:val="center"/>
        <w:ind w:right="-299"/>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299"/>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299"/>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NOTE 6 — COMMITMENTS </w:t>
      </w:r>
      <w:r>
        <w:rPr>
          <w:rFonts w:ascii="Arial" w:cs="Arial" w:eastAsia="Arial" w:hAnsi="Arial"/>
          <w:sz w:val="19"/>
          <w:szCs w:val="19"/>
          <w:color w:val="auto"/>
        </w:rPr>
        <w:t>(continued):</w:t>
      </w:r>
    </w:p>
    <w:p>
      <w:pPr>
        <w:spacing w:after="0" w:line="261" w:lineRule="exact"/>
        <w:rPr>
          <w:sz w:val="20"/>
          <w:szCs w:val="20"/>
          <w:color w:val="auto"/>
        </w:rPr>
      </w:pPr>
    </w:p>
    <w:p>
      <w:pPr>
        <w:ind w:left="560"/>
        <w:spacing w:after="0"/>
        <w:rPr>
          <w:sz w:val="20"/>
          <w:szCs w:val="20"/>
          <w:color w:val="auto"/>
        </w:rPr>
      </w:pPr>
      <w:r>
        <w:rPr>
          <w:rFonts w:ascii="Arial" w:cs="Arial" w:eastAsia="Arial" w:hAnsi="Arial"/>
          <w:sz w:val="19"/>
          <w:szCs w:val="19"/>
          <w:u w:val="single" w:color="auto"/>
          <w:color w:val="auto"/>
        </w:rPr>
        <w:t>Undiscounted Cash Flows</w:t>
      </w:r>
    </w:p>
    <w:p>
      <w:pPr>
        <w:spacing w:after="0" w:line="255" w:lineRule="exact"/>
        <w:rPr>
          <w:sz w:val="20"/>
          <w:szCs w:val="20"/>
          <w:color w:val="auto"/>
        </w:rPr>
      </w:pPr>
    </w:p>
    <w:p>
      <w:pPr>
        <w:ind w:left="560" w:right="80"/>
        <w:spacing w:after="0" w:line="284" w:lineRule="auto"/>
        <w:rPr>
          <w:sz w:val="20"/>
          <w:szCs w:val="20"/>
          <w:color w:val="auto"/>
        </w:rPr>
      </w:pPr>
      <w:r>
        <w:rPr>
          <w:rFonts w:ascii="Arial" w:cs="Arial" w:eastAsia="Arial" w:hAnsi="Arial"/>
          <w:sz w:val="19"/>
          <w:szCs w:val="19"/>
          <w:color w:val="auto"/>
        </w:rPr>
        <w:t>The table below reconciles the undiscounted cash flows for each of the first five years and total of the remaining years to the operating lease liabilities recorded on the consolidated balance sheet:</w:t>
      </w:r>
    </w:p>
    <w:p>
      <w:pPr>
        <w:spacing w:after="0" w:line="183" w:lineRule="exact"/>
        <w:rPr>
          <w:sz w:val="20"/>
          <w:szCs w:val="20"/>
          <w:color w:val="auto"/>
        </w:rPr>
      </w:pPr>
    </w:p>
    <w:tbl>
      <w:tblPr>
        <w:tblLayout w:type="fixed"/>
        <w:tblInd w:w="560" w:type="dxa"/>
        <w:tblCellMar>
          <w:top w:w="0" w:type="dxa"/>
          <w:left w:w="0" w:type="dxa"/>
          <w:bottom w:w="0" w:type="dxa"/>
          <w:right w:w="0" w:type="dxa"/>
        </w:tblCellMar>
      </w:tblPr>
      <w:tr>
        <w:trPr>
          <w:trHeight w:val="189"/>
        </w:trPr>
        <w:tc>
          <w:tcPr>
            <w:tcW w:w="20" w:type="dxa"/>
            <w:vAlign w:val="bottom"/>
          </w:tcPr>
          <w:p>
            <w:pPr>
              <w:spacing w:after="0"/>
              <w:rPr>
                <w:sz w:val="16"/>
                <w:szCs w:val="16"/>
                <w:color w:val="auto"/>
              </w:rPr>
            </w:pPr>
          </w:p>
        </w:tc>
        <w:tc>
          <w:tcPr>
            <w:tcW w:w="9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2"/>
              </w:rPr>
              <w:t>Operating</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9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1"/>
              </w:rPr>
              <w:t>Leases</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9500" w:type="dxa"/>
            <w:vAlign w:val="bottom"/>
            <w:shd w:val="clear" w:color="auto" w:fill="CCEEFF"/>
          </w:tcPr>
          <w:p>
            <w:pPr>
              <w:jc w:val="right"/>
              <w:ind w:right="6901"/>
              <w:spacing w:after="0"/>
              <w:rPr>
                <w:sz w:val="20"/>
                <w:szCs w:val="20"/>
                <w:color w:val="auto"/>
              </w:rPr>
            </w:pPr>
            <w:r>
              <w:rPr>
                <w:rFonts w:ascii="Arial" w:cs="Arial" w:eastAsia="Arial" w:hAnsi="Arial"/>
                <w:sz w:val="16"/>
                <w:szCs w:val="16"/>
                <w:color w:val="auto"/>
                <w:w w:val="89"/>
              </w:rPr>
              <w:t>For the year ended December 31, 2020</w:t>
            </w:r>
          </w:p>
        </w:tc>
        <w:tc>
          <w:tcPr>
            <w:tcW w:w="140" w:type="dxa"/>
            <w:vAlign w:val="bottom"/>
            <w:tcBorders>
              <w:top w:val="single" w:sz="8" w:color="auto"/>
            </w:tcBorders>
            <w:shd w:val="clear" w:color="auto" w:fill="CCEEFF"/>
          </w:tcPr>
          <w:p>
            <w:pPr>
              <w:spacing w:after="0"/>
              <w:rPr>
                <w:sz w:val="16"/>
                <w:szCs w:val="16"/>
                <w:color w:val="auto"/>
              </w:rPr>
            </w:pPr>
          </w:p>
        </w:tc>
        <w:tc>
          <w:tcPr>
            <w:tcW w:w="920" w:type="dxa"/>
            <w:vAlign w:val="bottom"/>
            <w:tcBorders>
              <w:top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9500" w:type="dxa"/>
            <w:vAlign w:val="bottom"/>
          </w:tcPr>
          <w:p>
            <w:pPr>
              <w:jc w:val="right"/>
              <w:ind w:right="9001"/>
              <w:spacing w:after="0"/>
              <w:rPr>
                <w:sz w:val="20"/>
                <w:szCs w:val="20"/>
                <w:color w:val="auto"/>
              </w:rPr>
            </w:pPr>
            <w:r>
              <w:rPr>
                <w:rFonts w:ascii="Arial" w:cs="Arial" w:eastAsia="Arial" w:hAnsi="Arial"/>
                <w:sz w:val="16"/>
                <w:szCs w:val="16"/>
                <w:color w:val="auto"/>
              </w:rPr>
              <w:t>2021</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778</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9500" w:type="dxa"/>
            <w:vAlign w:val="bottom"/>
            <w:shd w:val="clear" w:color="auto" w:fill="CCEEFF"/>
          </w:tcPr>
          <w:p>
            <w:pPr>
              <w:jc w:val="right"/>
              <w:ind w:right="9001"/>
              <w:spacing w:after="0"/>
              <w:rPr>
                <w:sz w:val="20"/>
                <w:szCs w:val="20"/>
                <w:color w:val="auto"/>
              </w:rPr>
            </w:pPr>
            <w:r>
              <w:rPr>
                <w:rFonts w:ascii="Arial" w:cs="Arial" w:eastAsia="Arial" w:hAnsi="Arial"/>
                <w:sz w:val="16"/>
                <w:szCs w:val="16"/>
                <w:color w:val="auto"/>
              </w:rPr>
              <w:t>2022</w:t>
            </w: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714</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9500" w:type="dxa"/>
            <w:vAlign w:val="bottom"/>
          </w:tcPr>
          <w:p>
            <w:pPr>
              <w:jc w:val="right"/>
              <w:ind w:right="9001"/>
              <w:spacing w:after="0"/>
              <w:rPr>
                <w:sz w:val="20"/>
                <w:szCs w:val="20"/>
                <w:color w:val="auto"/>
              </w:rPr>
            </w:pPr>
            <w:r>
              <w:rPr>
                <w:rFonts w:ascii="Arial" w:cs="Arial" w:eastAsia="Arial" w:hAnsi="Arial"/>
                <w:sz w:val="16"/>
                <w:szCs w:val="16"/>
                <w:color w:val="auto"/>
              </w:rPr>
              <w:t>2023</w:t>
            </w: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648</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9500" w:type="dxa"/>
            <w:vAlign w:val="bottom"/>
            <w:shd w:val="clear" w:color="auto" w:fill="CCEEFF"/>
          </w:tcPr>
          <w:p>
            <w:pPr>
              <w:spacing w:after="0"/>
              <w:rPr>
                <w:sz w:val="20"/>
                <w:szCs w:val="20"/>
                <w:color w:val="auto"/>
              </w:rPr>
            </w:pPr>
            <w:r>
              <w:rPr>
                <w:rFonts w:ascii="Arial" w:cs="Arial" w:eastAsia="Arial" w:hAnsi="Arial"/>
                <w:sz w:val="16"/>
                <w:szCs w:val="16"/>
                <w:color w:val="auto"/>
              </w:rPr>
              <w:t>Total minimum lease payments</w:t>
            </w: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2,140</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9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9500" w:type="dxa"/>
            <w:vAlign w:val="bottom"/>
            <w:shd w:val="clear" w:color="auto" w:fill="CCEEFF"/>
          </w:tcPr>
          <w:p>
            <w:pPr>
              <w:spacing w:after="0"/>
              <w:rPr>
                <w:sz w:val="20"/>
                <w:szCs w:val="20"/>
                <w:color w:val="auto"/>
              </w:rPr>
            </w:pPr>
            <w:r>
              <w:rPr>
                <w:rFonts w:ascii="Arial" w:cs="Arial" w:eastAsia="Arial" w:hAnsi="Arial"/>
                <w:sz w:val="16"/>
                <w:szCs w:val="16"/>
                <w:color w:val="auto"/>
              </w:rPr>
              <w:t>Less: amount of lease payments representing interest</w:t>
            </w:r>
          </w:p>
        </w:tc>
        <w:tc>
          <w:tcPr>
            <w:tcW w:w="1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(168)</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9500" w:type="dxa"/>
            <w:vAlign w:val="bottom"/>
          </w:tcPr>
          <w:p>
            <w:pPr>
              <w:spacing w:after="0"/>
              <w:rPr>
                <w:sz w:val="20"/>
                <w:szCs w:val="20"/>
                <w:color w:val="auto"/>
              </w:rPr>
            </w:pPr>
            <w:r>
              <w:rPr>
                <w:rFonts w:ascii="Arial" w:cs="Arial" w:eastAsia="Arial" w:hAnsi="Arial"/>
                <w:sz w:val="16"/>
                <w:szCs w:val="16"/>
                <w:color w:val="auto"/>
              </w:rPr>
              <w:t>Present value of future minimum lease payments</w:t>
            </w: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1,972</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9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Less: Current maturities of operating leases</w:t>
            </w:r>
          </w:p>
        </w:tc>
        <w:tc>
          <w:tcPr>
            <w:tcW w:w="14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673</w:t>
            </w:r>
          </w:p>
        </w:tc>
        <w:tc>
          <w:tcPr>
            <w:tcW w:w="1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9500" w:type="dxa"/>
            <w:vAlign w:val="bottom"/>
          </w:tcPr>
          <w:p>
            <w:pPr>
              <w:spacing w:after="0"/>
              <w:rPr>
                <w:sz w:val="20"/>
                <w:szCs w:val="20"/>
                <w:color w:val="auto"/>
              </w:rPr>
            </w:pPr>
            <w:r>
              <w:rPr>
                <w:rFonts w:ascii="Arial" w:cs="Arial" w:eastAsia="Arial" w:hAnsi="Arial"/>
                <w:sz w:val="16"/>
                <w:szCs w:val="16"/>
                <w:color w:val="auto"/>
              </w:rPr>
              <w:t>Long-term operating leases liabilities</w:t>
            </w: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1,299</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9500" w:type="dxa"/>
            <w:vAlign w:val="bottom"/>
            <w:tcBorders>
              <w:bottom w:val="single" w:sz="8" w:color="CCEEFF"/>
            </w:tcBorders>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1,972</w:t>
            </w:r>
          </w:p>
        </w:tc>
        <w:tc>
          <w:tcPr>
            <w:tcW w:w="120" w:type="dxa"/>
            <w:vAlign w:val="bottom"/>
            <w:tcBorders>
              <w:bottom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pacing w:after="0" w:line="224" w:lineRule="exact"/>
        <w:rPr>
          <w:sz w:val="20"/>
          <w:szCs w:val="20"/>
          <w:color w:val="auto"/>
        </w:rPr>
      </w:pPr>
    </w:p>
    <w:p>
      <w:pPr>
        <w:ind w:left="580" w:right="80" w:hanging="278"/>
        <w:spacing w:after="0" w:line="276" w:lineRule="auto"/>
        <w:tabs>
          <w:tab w:leader="none" w:pos="580" w:val="left"/>
        </w:tabs>
        <w:numPr>
          <w:ilvl w:val="0"/>
          <w:numId w:val="169"/>
        </w:numPr>
        <w:rPr>
          <w:rFonts w:ascii="Arial" w:cs="Arial" w:eastAsia="Arial" w:hAnsi="Arial"/>
          <w:sz w:val="15"/>
          <w:szCs w:val="15"/>
          <w:color w:val="auto"/>
        </w:rPr>
      </w:pPr>
      <w:r>
        <w:rPr>
          <w:rFonts w:ascii="Arial" w:cs="Arial" w:eastAsia="Arial" w:hAnsi="Arial"/>
          <w:sz w:val="15"/>
          <w:szCs w:val="15"/>
          <w:color w:val="auto"/>
        </w:rPr>
        <w:t>In June 2008, the Company entered into a Master Clinical Trial Services Agreement with a third party, which was later amended in April 2017, to retain its services as a clinical research organization for certain product candidate subject to task work orders to be issued by the Company. During 2018, the Company entered into six additional task orders. As consideration for its services the Company will pay a total amount of approximately $14,425 during the term of the engagement and based on achievement of certain milestones, out of which $14,354 were recognized as an expense until December 31, 2020.</w:t>
      </w:r>
    </w:p>
    <w:p>
      <w:pPr>
        <w:spacing w:after="0" w:line="199" w:lineRule="exact"/>
        <w:rPr>
          <w:rFonts w:ascii="Arial" w:cs="Arial" w:eastAsia="Arial" w:hAnsi="Arial"/>
          <w:sz w:val="15"/>
          <w:szCs w:val="15"/>
          <w:color w:val="auto"/>
        </w:rPr>
      </w:pPr>
    </w:p>
    <w:p>
      <w:pPr>
        <w:ind w:left="580" w:right="160" w:hanging="278"/>
        <w:spacing w:after="0" w:line="257" w:lineRule="auto"/>
        <w:tabs>
          <w:tab w:leader="none" w:pos="580" w:val="left"/>
        </w:tabs>
        <w:numPr>
          <w:ilvl w:val="0"/>
          <w:numId w:val="169"/>
        </w:numPr>
        <w:rPr>
          <w:rFonts w:ascii="Arial" w:cs="Arial" w:eastAsia="Arial" w:hAnsi="Arial"/>
          <w:sz w:val="16"/>
          <w:szCs w:val="16"/>
          <w:color w:val="auto"/>
        </w:rPr>
      </w:pPr>
      <w:r>
        <w:rPr>
          <w:rFonts w:ascii="Arial" w:cs="Arial" w:eastAsia="Arial" w:hAnsi="Arial"/>
          <w:sz w:val="16"/>
          <w:szCs w:val="16"/>
          <w:color w:val="auto"/>
        </w:rPr>
        <w:t>In 2016 through 2020, the Company entered into twelve collaboration agreements with two third parties for the development, manufacturing and commercialization of ten product candidates (including an agreement assumed by the Company in August 2018, following the transfer of an in-process research and development product candidate from a related party). See detailed information in note 7b.</w:t>
      </w:r>
    </w:p>
    <w:p>
      <w:pPr>
        <w:spacing w:after="0" w:line="213" w:lineRule="exact"/>
        <w:rPr>
          <w:rFonts w:ascii="Arial" w:cs="Arial" w:eastAsia="Arial" w:hAnsi="Arial"/>
          <w:sz w:val="16"/>
          <w:szCs w:val="16"/>
          <w:color w:val="auto"/>
        </w:rPr>
      </w:pPr>
    </w:p>
    <w:p>
      <w:pPr>
        <w:ind w:left="580" w:right="200" w:hanging="278"/>
        <w:spacing w:after="0" w:line="253" w:lineRule="auto"/>
        <w:tabs>
          <w:tab w:leader="none" w:pos="580" w:val="left"/>
        </w:tabs>
        <w:numPr>
          <w:ilvl w:val="0"/>
          <w:numId w:val="169"/>
        </w:numPr>
        <w:rPr>
          <w:rFonts w:ascii="Arial" w:cs="Arial" w:eastAsia="Arial" w:hAnsi="Arial"/>
          <w:sz w:val="16"/>
          <w:szCs w:val="16"/>
          <w:color w:val="auto"/>
        </w:rPr>
      </w:pPr>
      <w:r>
        <w:rPr>
          <w:rFonts w:ascii="Arial" w:cs="Arial" w:eastAsia="Arial" w:hAnsi="Arial"/>
          <w:sz w:val="16"/>
          <w:szCs w:val="16"/>
          <w:color w:val="auto"/>
        </w:rPr>
        <w:t>In October 2017, the Company entered into a Clinical Development Master Services Agreement with a third party, to retain it as clinical research organization for certain product candidate, subject to task work orders to be issued by the Company. As consideration for its services the Company will pay a total amount of approximately $13,955 during the term of the engagement and based on achievement of certain milestones, out of which $13,801 were recognized as an expense until December 31, 2020.</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69" w:name="page170"/>
    <w:bookmarkEnd w:id="169"/>
    <w:p>
      <w:pPr>
        <w:jc w:val="center"/>
        <w:ind w:left="320"/>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left="320"/>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left="320"/>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 xml:space="preserve">NOTE 6 — COMMITMENTS </w:t>
      </w:r>
      <w:r>
        <w:rPr>
          <w:rFonts w:ascii="Arial" w:cs="Arial" w:eastAsia="Arial" w:hAnsi="Arial"/>
          <w:sz w:val="19"/>
          <w:szCs w:val="19"/>
          <w:color w:val="auto"/>
        </w:rPr>
        <w:t>(continued):</w:t>
      </w:r>
    </w:p>
    <w:p>
      <w:pPr>
        <w:spacing w:after="0" w:line="255" w:lineRule="exact"/>
        <w:rPr>
          <w:sz w:val="20"/>
          <w:szCs w:val="20"/>
          <w:color w:val="auto"/>
        </w:rPr>
      </w:pPr>
    </w:p>
    <w:p>
      <w:pPr>
        <w:jc w:val="both"/>
        <w:ind w:left="585" w:hanging="278"/>
        <w:spacing w:after="0" w:line="311" w:lineRule="auto"/>
        <w:tabs>
          <w:tab w:leader="none" w:pos="585" w:val="left"/>
        </w:tabs>
        <w:numPr>
          <w:ilvl w:val="0"/>
          <w:numId w:val="170"/>
        </w:numPr>
        <w:rPr>
          <w:rFonts w:ascii="Arial" w:cs="Arial" w:eastAsia="Arial" w:hAnsi="Arial"/>
          <w:sz w:val="14"/>
          <w:szCs w:val="14"/>
          <w:color w:val="auto"/>
        </w:rPr>
      </w:pPr>
      <w:r>
        <w:rPr>
          <w:rFonts w:ascii="Arial" w:cs="Arial" w:eastAsia="Arial" w:hAnsi="Arial"/>
          <w:sz w:val="14"/>
          <w:szCs w:val="14"/>
          <w:color w:val="auto"/>
        </w:rPr>
        <w:t>In July 2018, the Company signed on a Master Services Agreement to receive certain clinical research services for certain product candidate subject to task work orders to be issued by the Company. As consideration for the services in the first work order the Company will pay a total amount of approximately $2,234 during the term of the engagement and based on achievement of certain milestones, out of which $2,099 were recognized as an expense until December 31, 2020.</w:t>
      </w:r>
    </w:p>
    <w:p>
      <w:pPr>
        <w:spacing w:after="0" w:line="178"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7 — COLLABORATION AGREEMENTS</w:t>
      </w:r>
    </w:p>
    <w:p>
      <w:pPr>
        <w:spacing w:after="0" w:line="255" w:lineRule="exact"/>
        <w:rPr>
          <w:sz w:val="20"/>
          <w:szCs w:val="20"/>
          <w:color w:val="auto"/>
        </w:rPr>
      </w:pPr>
    </w:p>
    <w:p>
      <w:pPr>
        <w:ind w:left="585" w:right="240" w:hanging="278"/>
        <w:spacing w:after="0" w:line="268" w:lineRule="auto"/>
        <w:tabs>
          <w:tab w:leader="none" w:pos="585" w:val="left"/>
        </w:tabs>
        <w:numPr>
          <w:ilvl w:val="0"/>
          <w:numId w:val="171"/>
        </w:numPr>
        <w:rPr>
          <w:rFonts w:ascii="Arial" w:cs="Arial" w:eastAsia="Arial" w:hAnsi="Arial"/>
          <w:sz w:val="16"/>
          <w:szCs w:val="16"/>
          <w:color w:val="auto"/>
        </w:rPr>
      </w:pPr>
      <w:r>
        <w:rPr>
          <w:rFonts w:ascii="Arial" w:cs="Arial" w:eastAsia="Arial" w:hAnsi="Arial"/>
          <w:sz w:val="16"/>
          <w:szCs w:val="16"/>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204" w:lineRule="exact"/>
        <w:rPr>
          <w:rFonts w:ascii="Arial" w:cs="Arial" w:eastAsia="Arial" w:hAnsi="Arial"/>
          <w:sz w:val="16"/>
          <w:szCs w:val="16"/>
          <w:color w:val="auto"/>
        </w:rPr>
      </w:pPr>
    </w:p>
    <w:p>
      <w:pPr>
        <w:ind w:left="585" w:right="120" w:hanging="278"/>
        <w:spacing w:after="0" w:line="301" w:lineRule="auto"/>
        <w:tabs>
          <w:tab w:leader="none" w:pos="585" w:val="left"/>
        </w:tabs>
        <w:numPr>
          <w:ilvl w:val="0"/>
          <w:numId w:val="171"/>
        </w:numPr>
        <w:rPr>
          <w:rFonts w:ascii="Arial" w:cs="Arial" w:eastAsia="Arial" w:hAnsi="Arial"/>
          <w:sz w:val="14"/>
          <w:szCs w:val="14"/>
          <w:color w:val="auto"/>
        </w:rPr>
      </w:pPr>
      <w:r>
        <w:rPr>
          <w:rFonts w:ascii="Arial" w:cs="Arial" w:eastAsia="Arial" w:hAnsi="Arial"/>
          <w:sz w:val="14"/>
          <w:szCs w:val="14"/>
          <w:color w:val="auto"/>
        </w:rPr>
        <w:t>In 2016 through 2020, the Company entered into several collaboration agreements with two third parties for the development, manufacturing and commercialization of several generic product candidates. Under the agreements, the third parties are obligated to conduct regulatory, scientific, clinical and technical activities necessary to develop the product and prepare and file ANDA, with the FDA and gain regulatory approval. The Company participates in the development of the product candidates, including participation in joint steering committees and is obligated for sourcing the active pharmaceutical ingredient (API) during the development phase.</w:t>
      </w:r>
    </w:p>
    <w:p>
      <w:pPr>
        <w:spacing w:after="0" w:line="138" w:lineRule="exact"/>
        <w:rPr>
          <w:rFonts w:ascii="Arial" w:cs="Arial" w:eastAsia="Arial" w:hAnsi="Arial"/>
          <w:sz w:val="14"/>
          <w:szCs w:val="14"/>
          <w:color w:val="auto"/>
        </w:rPr>
      </w:pPr>
    </w:p>
    <w:p>
      <w:pPr>
        <w:ind w:left="585" w:right="80"/>
        <w:spacing w:after="0" w:line="257" w:lineRule="auto"/>
        <w:rPr>
          <w:rFonts w:ascii="Arial" w:cs="Arial" w:eastAsia="Arial" w:hAnsi="Arial"/>
          <w:sz w:val="14"/>
          <w:szCs w:val="14"/>
          <w:color w:val="auto"/>
        </w:rPr>
      </w:pPr>
      <w:r>
        <w:rPr>
          <w:rFonts w:ascii="Arial" w:cs="Arial" w:eastAsia="Arial" w:hAnsi="Arial"/>
          <w:sz w:val="16"/>
          <w:szCs w:val="16"/>
          <w:color w:val="auto"/>
        </w:rPr>
        <w:t>Upon FDA approval, the third parties have exclusive rights and are required to use diligent efforts to commercialize these products in territories defined under the agreements, including all required sales, marketing and distributing activities associated with the agreements. The Company is entitled to 50% of the third parties’ gross profits related to the sale of these products, as such term is defined in the agreements.</w:t>
      </w:r>
    </w:p>
    <w:p>
      <w:pPr>
        <w:spacing w:after="0" w:line="165" w:lineRule="exact"/>
        <w:rPr>
          <w:rFonts w:ascii="Arial" w:cs="Arial" w:eastAsia="Arial" w:hAnsi="Arial"/>
          <w:sz w:val="14"/>
          <w:szCs w:val="14"/>
          <w:color w:val="auto"/>
        </w:rPr>
      </w:pPr>
    </w:p>
    <w:p>
      <w:pPr>
        <w:ind w:left="585"/>
        <w:spacing w:after="0"/>
        <w:rPr>
          <w:rFonts w:ascii="Arial" w:cs="Arial" w:eastAsia="Arial" w:hAnsi="Arial"/>
          <w:sz w:val="14"/>
          <w:szCs w:val="14"/>
          <w:color w:val="auto"/>
        </w:rPr>
      </w:pPr>
      <w:r>
        <w:rPr>
          <w:rFonts w:ascii="Arial" w:cs="Arial" w:eastAsia="Arial" w:hAnsi="Arial"/>
          <w:sz w:val="16"/>
          <w:szCs w:val="16"/>
          <w:color w:val="auto"/>
        </w:rPr>
        <w:t>As of December 31, 2020, the Company decided not to pursue one of the agreements with one of the third parties collaborators.</w:t>
      </w:r>
    </w:p>
    <w:p>
      <w:pPr>
        <w:spacing w:after="0" w:line="194" w:lineRule="exact"/>
        <w:rPr>
          <w:rFonts w:ascii="Arial" w:cs="Arial" w:eastAsia="Arial" w:hAnsi="Arial"/>
          <w:sz w:val="14"/>
          <w:szCs w:val="14"/>
          <w:color w:val="auto"/>
        </w:rPr>
      </w:pPr>
    </w:p>
    <w:p>
      <w:pPr>
        <w:ind w:left="585" w:right="120"/>
        <w:spacing w:after="0" w:line="257" w:lineRule="auto"/>
        <w:rPr>
          <w:rFonts w:ascii="Arial" w:cs="Arial" w:eastAsia="Arial" w:hAnsi="Arial"/>
          <w:sz w:val="14"/>
          <w:szCs w:val="14"/>
          <w:color w:val="auto"/>
        </w:rPr>
      </w:pPr>
      <w:r>
        <w:rPr>
          <w:rFonts w:ascii="Arial" w:cs="Arial" w:eastAsia="Arial" w:hAnsi="Arial"/>
          <w:sz w:val="16"/>
          <w:szCs w:val="16"/>
          <w:color w:val="auto"/>
        </w:rPr>
        <w:t>In February 2019, the Company announced that a third party has received final approval from the FDA for the first generic version of a drug product. During the years ended December 31, 2019 and 2020, the Company recognized collaboration revenues related to sales of products in the U.S. under this agreement in the amounts of $22,775 and $8,673, respectively.</w:t>
      </w:r>
    </w:p>
    <w:p>
      <w:pPr>
        <w:spacing w:after="0" w:line="165" w:lineRule="exact"/>
        <w:rPr>
          <w:rFonts w:ascii="Arial" w:cs="Arial" w:eastAsia="Arial" w:hAnsi="Arial"/>
          <w:sz w:val="14"/>
          <w:szCs w:val="14"/>
          <w:color w:val="auto"/>
        </w:rPr>
      </w:pPr>
    </w:p>
    <w:p>
      <w:pPr>
        <w:ind w:left="585" w:right="80"/>
        <w:spacing w:after="0" w:line="515" w:lineRule="auto"/>
        <w:rPr>
          <w:rFonts w:ascii="Arial" w:cs="Arial" w:eastAsia="Arial" w:hAnsi="Arial"/>
          <w:sz w:val="14"/>
          <w:szCs w:val="14"/>
          <w:color w:val="auto"/>
        </w:rPr>
      </w:pPr>
      <w:r>
        <w:rPr>
          <w:rFonts w:ascii="Arial" w:cs="Arial" w:eastAsia="Arial" w:hAnsi="Arial"/>
          <w:sz w:val="16"/>
          <w:szCs w:val="16"/>
          <w:color w:val="auto"/>
        </w:rPr>
        <w:t>This Agreement is considered to be within the scope of ASC 808, as the parties are active participants and exposed to the risks and rewards of the collaborative activity. The Company recognizes collaboration revenues when the related sales occur.</w:t>
      </w:r>
    </w:p>
    <w:p>
      <w:pPr>
        <w:spacing w:after="0" w:line="14"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8— SHARE CAPITAL</w:t>
      </w:r>
    </w:p>
    <w:p>
      <w:pPr>
        <w:spacing w:after="0" w:line="251" w:lineRule="exact"/>
        <w:rPr>
          <w:sz w:val="20"/>
          <w:szCs w:val="20"/>
          <w:color w:val="auto"/>
        </w:rPr>
      </w:pPr>
    </w:p>
    <w:p>
      <w:pPr>
        <w:ind w:left="285" w:hanging="285"/>
        <w:spacing w:after="0"/>
        <w:tabs>
          <w:tab w:leader="none" w:pos="285" w:val="left"/>
        </w:tabs>
        <w:numPr>
          <w:ilvl w:val="0"/>
          <w:numId w:val="172"/>
        </w:numPr>
        <w:rPr>
          <w:rFonts w:ascii="Arial" w:cs="Arial" w:eastAsia="Arial" w:hAnsi="Arial"/>
          <w:sz w:val="16"/>
          <w:szCs w:val="16"/>
          <w:b w:val="1"/>
          <w:bCs w:val="1"/>
          <w:color w:val="auto"/>
        </w:rPr>
      </w:pPr>
      <w:r>
        <w:rPr>
          <w:rFonts w:ascii="Arial" w:cs="Arial" w:eastAsia="Arial" w:hAnsi="Arial"/>
          <w:sz w:val="16"/>
          <w:szCs w:val="16"/>
          <w:b w:val="1"/>
          <w:bCs w:val="1"/>
          <w:color w:val="auto"/>
        </w:rPr>
        <w:t>Ordinary shares</w:t>
      </w:r>
    </w:p>
    <w:p>
      <w:pPr>
        <w:spacing w:after="0" w:line="241" w:lineRule="exact"/>
        <w:rPr>
          <w:rFonts w:ascii="Arial" w:cs="Arial" w:eastAsia="Arial" w:hAnsi="Arial"/>
          <w:sz w:val="16"/>
          <w:szCs w:val="16"/>
          <w:b w:val="1"/>
          <w:bCs w:val="1"/>
          <w:color w:val="auto"/>
        </w:rPr>
      </w:pPr>
    </w:p>
    <w:p>
      <w:pPr>
        <w:ind w:left="585" w:hanging="278"/>
        <w:spacing w:after="0"/>
        <w:tabs>
          <w:tab w:leader="none" w:pos="585" w:val="left"/>
        </w:tabs>
        <w:numPr>
          <w:ilvl w:val="1"/>
          <w:numId w:val="172"/>
        </w:numPr>
        <w:rPr>
          <w:rFonts w:ascii="Arial" w:cs="Arial" w:eastAsia="Arial" w:hAnsi="Arial"/>
          <w:sz w:val="16"/>
          <w:szCs w:val="16"/>
          <w:color w:val="auto"/>
        </w:rPr>
      </w:pPr>
      <w:r>
        <w:rPr>
          <w:rFonts w:ascii="Arial" w:cs="Arial" w:eastAsia="Arial" w:hAnsi="Arial"/>
          <w:sz w:val="16"/>
          <w:szCs w:val="16"/>
          <w:b w:val="1"/>
          <w:bCs w:val="1"/>
          <w:color w:val="auto"/>
        </w:rPr>
        <w:t>Rights of the Company’s ordinary shares</w:t>
      </w:r>
    </w:p>
    <w:p>
      <w:pPr>
        <w:spacing w:after="0" w:line="198" w:lineRule="exact"/>
        <w:rPr>
          <w:rFonts w:ascii="Arial" w:cs="Arial" w:eastAsia="Arial" w:hAnsi="Arial"/>
          <w:sz w:val="16"/>
          <w:szCs w:val="16"/>
          <w:color w:val="auto"/>
        </w:rPr>
      </w:pPr>
    </w:p>
    <w:p>
      <w:pPr>
        <w:ind w:left="585" w:right="420"/>
        <w:spacing w:after="0" w:line="268" w:lineRule="auto"/>
        <w:rPr>
          <w:rFonts w:ascii="Arial" w:cs="Arial" w:eastAsia="Arial" w:hAnsi="Arial"/>
          <w:sz w:val="16"/>
          <w:szCs w:val="16"/>
          <w:color w:val="auto"/>
        </w:rPr>
      </w:pPr>
      <w:r>
        <w:rPr>
          <w:rFonts w:ascii="Arial" w:cs="Arial" w:eastAsia="Arial" w:hAnsi="Arial"/>
          <w:sz w:val="16"/>
          <w:szCs w:val="16"/>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363"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70" w:name="page171"/>
    <w:bookmarkEnd w:id="170"/>
    <w:p>
      <w:pPr>
        <w:ind w:left="4485"/>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ind w:left="2465"/>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ind w:left="3225"/>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8 — SHARE CAPITAL (</w:t>
      </w:r>
      <w:r>
        <w:rPr>
          <w:rFonts w:ascii="Arial" w:cs="Arial" w:eastAsia="Arial" w:hAnsi="Arial"/>
          <w:sz w:val="19"/>
          <w:szCs w:val="19"/>
          <w:color w:val="auto"/>
        </w:rPr>
        <w:t>continued):</w:t>
      </w:r>
    </w:p>
    <w:p>
      <w:pPr>
        <w:spacing w:after="0" w:line="255" w:lineRule="exact"/>
        <w:rPr>
          <w:sz w:val="20"/>
          <w:szCs w:val="20"/>
          <w:color w:val="auto"/>
        </w:rPr>
      </w:pPr>
    </w:p>
    <w:p>
      <w:pPr>
        <w:ind w:left="585" w:right="360" w:hanging="278"/>
        <w:spacing w:after="0" w:line="296" w:lineRule="auto"/>
        <w:tabs>
          <w:tab w:leader="none" w:pos="585" w:val="left"/>
        </w:tabs>
        <w:numPr>
          <w:ilvl w:val="0"/>
          <w:numId w:val="173"/>
        </w:numPr>
        <w:rPr>
          <w:rFonts w:ascii="Arial" w:cs="Arial" w:eastAsia="Arial" w:hAnsi="Arial"/>
          <w:sz w:val="14"/>
          <w:szCs w:val="14"/>
          <w:color w:val="auto"/>
        </w:rPr>
      </w:pPr>
      <w:r>
        <w:rPr>
          <w:rFonts w:ascii="Arial" w:cs="Arial" w:eastAsia="Arial" w:hAnsi="Arial"/>
          <w:sz w:val="14"/>
          <w:szCs w:val="14"/>
          <w:color w:val="auto"/>
        </w:rPr>
        <w:t>On January 19, 2018, the Company executed a 1-for-1.8 share split of the Company’s shares by way of an issuance of bonus shares for each share. Upon the effectiveness of the share split, (i) 0.8 bonus shares were issued for each outstanding share, (ii) the number of ordinary shares into which each outstanding option to purchase ordinary shares is exercisable was proportionally increased, and (iii) the exercise price of each outstanding option to purchase ordinary shares was proportionately decreased. Unless otherwise indicated, and except for authorized capital, all of the share numbers, loss per share amounts, share prices and option exercise prices in these financial statements have been adjusted, on a retroactive basis, to reflect this 1-for-1.8 share split.</w:t>
      </w:r>
    </w:p>
    <w:p>
      <w:pPr>
        <w:spacing w:after="0" w:line="189" w:lineRule="exact"/>
        <w:rPr>
          <w:rFonts w:ascii="Arial" w:cs="Arial" w:eastAsia="Arial" w:hAnsi="Arial"/>
          <w:sz w:val="14"/>
          <w:szCs w:val="14"/>
          <w:color w:val="auto"/>
        </w:rPr>
      </w:pPr>
    </w:p>
    <w:p>
      <w:pPr>
        <w:ind w:left="585" w:right="120" w:hanging="278"/>
        <w:spacing w:after="0" w:line="290" w:lineRule="auto"/>
        <w:tabs>
          <w:tab w:leader="none" w:pos="585" w:val="left"/>
        </w:tabs>
        <w:numPr>
          <w:ilvl w:val="0"/>
          <w:numId w:val="173"/>
        </w:numPr>
        <w:rPr>
          <w:rFonts w:ascii="Arial" w:cs="Arial" w:eastAsia="Arial" w:hAnsi="Arial"/>
          <w:sz w:val="14"/>
          <w:szCs w:val="14"/>
          <w:color w:val="auto"/>
        </w:rPr>
      </w:pPr>
      <w:r>
        <w:rPr>
          <w:rFonts w:ascii="Arial" w:cs="Arial" w:eastAsia="Arial" w:hAnsi="Arial"/>
          <w:sz w:val="14"/>
          <w:szCs w:val="14"/>
          <w:color w:val="auto"/>
        </w:rPr>
        <w:t>In January 2018, the Company completed an Initial Public Offering ("IPO") on the NASDAQ Stock Market, in which it issued 6,250,000 Ordinary shares at a price per share of $12. During February 2018 the underwriters exercised their green shoe option and purchased additional 937,500 ordinary shares at the same price per</w:t>
      </w:r>
    </w:p>
    <w:p>
      <w:pPr>
        <w:ind w:left="585"/>
        <w:spacing w:after="0"/>
        <w:rPr>
          <w:rFonts w:ascii="Arial" w:cs="Arial" w:eastAsia="Arial" w:hAnsi="Arial"/>
          <w:sz w:val="14"/>
          <w:szCs w:val="14"/>
          <w:color w:val="auto"/>
        </w:rPr>
      </w:pPr>
      <w:r>
        <w:rPr>
          <w:rFonts w:ascii="Arial" w:cs="Arial" w:eastAsia="Arial" w:hAnsi="Arial"/>
          <w:sz w:val="16"/>
          <w:szCs w:val="16"/>
          <w:color w:val="auto"/>
        </w:rPr>
        <w:t>share. The total proceeds received from the IPO, net of issuance costs, were $78,775.</w:t>
      </w:r>
    </w:p>
    <w:p>
      <w:pPr>
        <w:spacing w:after="0" w:line="183" w:lineRule="exact"/>
        <w:rPr>
          <w:rFonts w:ascii="Arial" w:cs="Arial" w:eastAsia="Arial" w:hAnsi="Arial"/>
          <w:sz w:val="14"/>
          <w:szCs w:val="14"/>
          <w:color w:val="auto"/>
        </w:rPr>
      </w:pPr>
    </w:p>
    <w:p>
      <w:pPr>
        <w:ind w:left="585" w:right="360"/>
        <w:spacing w:after="0" w:line="268" w:lineRule="auto"/>
        <w:rPr>
          <w:rFonts w:ascii="Arial" w:cs="Arial" w:eastAsia="Arial" w:hAnsi="Arial"/>
          <w:sz w:val="14"/>
          <w:szCs w:val="14"/>
          <w:color w:val="auto"/>
        </w:rPr>
      </w:pPr>
      <w:r>
        <w:rPr>
          <w:rFonts w:ascii="Arial" w:cs="Arial" w:eastAsia="Arial" w:hAnsi="Arial"/>
          <w:sz w:val="16"/>
          <w:szCs w:val="16"/>
          <w:color w:val="auto"/>
        </w:rPr>
        <w:t>Immediately prior to the closing of the IPO, the outstanding promissory note received from its current controlling shareholder (the "Controlling Shareholder") were automatically converted into 5,444,825 Ordinary shares of the Company based on the IPO price of $12 per ordinary share.</w:t>
      </w:r>
    </w:p>
    <w:p>
      <w:pPr>
        <w:spacing w:after="0" w:line="204" w:lineRule="exact"/>
        <w:rPr>
          <w:rFonts w:ascii="Arial" w:cs="Arial" w:eastAsia="Arial" w:hAnsi="Arial"/>
          <w:sz w:val="14"/>
          <w:szCs w:val="14"/>
          <w:color w:val="auto"/>
        </w:rPr>
      </w:pPr>
    </w:p>
    <w:p>
      <w:pPr>
        <w:ind w:left="585" w:right="100" w:hanging="278"/>
        <w:spacing w:after="0" w:line="254" w:lineRule="auto"/>
        <w:tabs>
          <w:tab w:leader="none" w:pos="585" w:val="left"/>
        </w:tabs>
        <w:numPr>
          <w:ilvl w:val="0"/>
          <w:numId w:val="173"/>
        </w:numPr>
        <w:rPr>
          <w:rFonts w:ascii="Arial" w:cs="Arial" w:eastAsia="Arial" w:hAnsi="Arial"/>
          <w:sz w:val="16"/>
          <w:szCs w:val="16"/>
          <w:color w:val="auto"/>
        </w:rPr>
      </w:pPr>
      <w:r>
        <w:rPr>
          <w:rFonts w:ascii="Arial" w:cs="Arial" w:eastAsia="Arial" w:hAnsi="Arial"/>
          <w:sz w:val="16"/>
          <w:szCs w:val="16"/>
          <w:color w:val="auto"/>
        </w:rPr>
        <w:t>On August 12, 2019, the Company completed an underwritten follow-on public offering, in which it issued 1,437,500 ordinary shares, including the full exercise by the underwriters of their option to purchase 187,500 additional ordinary shares, at a public offering price of $8.00 per ordinary share.</w:t>
      </w:r>
    </w:p>
    <w:p>
      <w:pPr>
        <w:ind w:left="585"/>
        <w:spacing w:after="0"/>
        <w:rPr>
          <w:rFonts w:ascii="Arial" w:cs="Arial" w:eastAsia="Arial" w:hAnsi="Arial"/>
          <w:sz w:val="16"/>
          <w:szCs w:val="16"/>
          <w:color w:val="auto"/>
        </w:rPr>
      </w:pPr>
      <w:r>
        <w:rPr>
          <w:rFonts w:ascii="Arial" w:cs="Arial" w:eastAsia="Arial" w:hAnsi="Arial"/>
          <w:sz w:val="16"/>
          <w:szCs w:val="16"/>
          <w:color w:val="auto"/>
        </w:rPr>
        <w:t>The total proceeds received from the offering, net of issuance costs, were approximately $10,613.</w:t>
      </w:r>
    </w:p>
    <w:p>
      <w:pPr>
        <w:spacing w:after="0" w:line="230" w:lineRule="exact"/>
        <w:rPr>
          <w:rFonts w:ascii="Arial" w:cs="Arial" w:eastAsia="Arial" w:hAnsi="Arial"/>
          <w:sz w:val="16"/>
          <w:szCs w:val="16"/>
          <w:color w:val="auto"/>
        </w:rPr>
      </w:pPr>
    </w:p>
    <w:p>
      <w:pPr>
        <w:ind w:left="585" w:right="140" w:hanging="278"/>
        <w:spacing w:after="0" w:line="253" w:lineRule="auto"/>
        <w:tabs>
          <w:tab w:leader="none" w:pos="585" w:val="left"/>
        </w:tabs>
        <w:numPr>
          <w:ilvl w:val="0"/>
          <w:numId w:val="173"/>
        </w:numPr>
        <w:rPr>
          <w:rFonts w:ascii="Arial" w:cs="Arial" w:eastAsia="Arial" w:hAnsi="Arial"/>
          <w:sz w:val="16"/>
          <w:szCs w:val="16"/>
          <w:color w:val="auto"/>
        </w:rPr>
      </w:pPr>
      <w:r>
        <w:rPr>
          <w:rFonts w:ascii="Arial" w:cs="Arial" w:eastAsia="Arial" w:hAnsi="Arial"/>
          <w:sz w:val="16"/>
          <w:szCs w:val="16"/>
          <w:color w:val="auto"/>
        </w:rPr>
        <w:t>On February 19, 2020, the Company completed an underwritten public offering, in which it issued 2,091,907 ordinary shares and 2,091,907 warrants to purchase up to 1,673,525 ordinary shares, at a public offering price of $11.00 per ordinary shares. The warrants are exercisable over a three-years period from the date of issuance at a per share exercise price of $14, subject to certain adjustments as defined in the agreement. The total proceeds received from the offering, net of issuance costs, were approximately $21,306.</w:t>
      </w:r>
    </w:p>
    <w:p>
      <w:pPr>
        <w:spacing w:after="0" w:line="223" w:lineRule="exact"/>
        <w:rPr>
          <w:sz w:val="20"/>
          <w:szCs w:val="20"/>
          <w:color w:val="auto"/>
        </w:rPr>
      </w:pPr>
    </w:p>
    <w:p>
      <w:pPr>
        <w:ind w:left="605" w:right="140"/>
        <w:spacing w:after="0" w:line="265" w:lineRule="auto"/>
        <w:rPr>
          <w:sz w:val="20"/>
          <w:szCs w:val="20"/>
          <w:color w:val="auto"/>
        </w:rPr>
      </w:pPr>
      <w:r>
        <w:rPr>
          <w:rFonts w:ascii="Arial" w:cs="Arial" w:eastAsia="Arial" w:hAnsi="Arial"/>
          <w:sz w:val="19"/>
          <w:szCs w:val="19"/>
          <w:color w:val="auto"/>
        </w:rPr>
        <w:t>In addition and in parallel to the public offering, the Company signed an agreement for a private placement with its controlling shareholder for an additional investment of approximately $5,000 in consideration of 454,628 ordinary shares and 454,628 warrants to purchase up to 363,702 ordinary shares, at the same terms of the underwritten public offering mentioned above. The private placement agreement was contingent on certain conditions and was approved by the company’s shareholders on April 8, 2020. The total proceeds of $5,000 were received in April 2020.</w:t>
      </w:r>
    </w:p>
    <w:p>
      <w:pPr>
        <w:spacing w:after="0" w:line="204" w:lineRule="exact"/>
        <w:rPr>
          <w:sz w:val="20"/>
          <w:szCs w:val="20"/>
          <w:color w:val="auto"/>
        </w:rPr>
      </w:pPr>
    </w:p>
    <w:p>
      <w:pPr>
        <w:ind w:left="285" w:hanging="285"/>
        <w:spacing w:after="0"/>
        <w:tabs>
          <w:tab w:leader="none" w:pos="285" w:val="left"/>
        </w:tabs>
        <w:numPr>
          <w:ilvl w:val="0"/>
          <w:numId w:val="174"/>
        </w:numPr>
        <w:rPr>
          <w:rFonts w:ascii="Arial" w:cs="Arial" w:eastAsia="Arial" w:hAnsi="Arial"/>
          <w:sz w:val="16"/>
          <w:szCs w:val="16"/>
          <w:b w:val="1"/>
          <w:bCs w:val="1"/>
          <w:color w:val="auto"/>
        </w:rPr>
      </w:pPr>
      <w:r>
        <w:rPr>
          <w:rFonts w:ascii="Arial" w:cs="Arial" w:eastAsia="Arial" w:hAnsi="Arial"/>
          <w:sz w:val="16"/>
          <w:szCs w:val="16"/>
          <w:b w:val="1"/>
          <w:bCs w:val="1"/>
          <w:color w:val="auto"/>
        </w:rPr>
        <w:t>Share-based compensation:</w:t>
      </w:r>
    </w:p>
    <w:p>
      <w:pPr>
        <w:spacing w:after="0" w:line="241" w:lineRule="exact"/>
        <w:rPr>
          <w:rFonts w:ascii="Arial" w:cs="Arial" w:eastAsia="Arial" w:hAnsi="Arial"/>
          <w:sz w:val="16"/>
          <w:szCs w:val="16"/>
          <w:b w:val="1"/>
          <w:bCs w:val="1"/>
          <w:color w:val="auto"/>
        </w:rPr>
      </w:pPr>
    </w:p>
    <w:p>
      <w:pPr>
        <w:ind w:left="585" w:hanging="278"/>
        <w:spacing w:after="0"/>
        <w:tabs>
          <w:tab w:leader="none" w:pos="585" w:val="left"/>
        </w:tabs>
        <w:numPr>
          <w:ilvl w:val="1"/>
          <w:numId w:val="174"/>
        </w:numPr>
        <w:rPr>
          <w:rFonts w:ascii="Arial" w:cs="Arial" w:eastAsia="Arial" w:hAnsi="Arial"/>
          <w:sz w:val="16"/>
          <w:szCs w:val="16"/>
          <w:color w:val="auto"/>
        </w:rPr>
      </w:pPr>
      <w:r>
        <w:rPr>
          <w:rFonts w:ascii="Arial" w:cs="Arial" w:eastAsia="Arial" w:hAnsi="Arial"/>
          <w:sz w:val="16"/>
          <w:szCs w:val="16"/>
          <w:b w:val="1"/>
          <w:bCs w:val="1"/>
          <w:color w:val="auto"/>
        </w:rPr>
        <w:t>Option plan</w:t>
      </w:r>
    </w:p>
    <w:p>
      <w:pPr>
        <w:spacing w:after="0" w:line="251" w:lineRule="exact"/>
        <w:rPr>
          <w:sz w:val="20"/>
          <w:szCs w:val="20"/>
          <w:color w:val="auto"/>
        </w:rPr>
      </w:pPr>
    </w:p>
    <w:p>
      <w:pPr>
        <w:jc w:val="both"/>
        <w:ind w:left="605"/>
        <w:spacing w:after="0" w:line="308" w:lineRule="auto"/>
        <w:rPr>
          <w:sz w:val="20"/>
          <w:szCs w:val="20"/>
          <w:color w:val="auto"/>
        </w:rPr>
      </w:pPr>
      <w:r>
        <w:rPr>
          <w:rFonts w:ascii="Arial" w:cs="Arial" w:eastAsia="Arial" w:hAnsi="Arial"/>
          <w:sz w:val="17"/>
          <w:szCs w:val="17"/>
          <w:color w:val="auto"/>
        </w:rPr>
        <w:t>In December, 2014, the Company’s Board of Directors approved a Share Incentive Plan (hereafter — the Plan) and reserved a pool of 629,025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 employees, consultants, directors and other service providers.</w:t>
      </w:r>
    </w:p>
    <w:p>
      <w:pPr>
        <w:spacing w:after="0" w:line="179" w:lineRule="exact"/>
        <w:rPr>
          <w:sz w:val="20"/>
          <w:szCs w:val="20"/>
          <w:color w:val="auto"/>
        </w:rPr>
      </w:pPr>
    </w:p>
    <w:p>
      <w:pPr>
        <w:jc w:val="both"/>
        <w:ind w:left="605"/>
        <w:spacing w:after="0" w:line="271" w:lineRule="auto"/>
        <w:rPr>
          <w:sz w:val="20"/>
          <w:szCs w:val="20"/>
          <w:color w:val="auto"/>
        </w:rPr>
      </w:pPr>
      <w:r>
        <w:rPr>
          <w:rFonts w:ascii="Arial" w:cs="Arial" w:eastAsia="Arial" w:hAnsi="Arial"/>
          <w:sz w:val="19"/>
          <w:szCs w:val="19"/>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 and under Internal revenue Code Section 422.</w:t>
      </w:r>
    </w:p>
    <w:p>
      <w:pPr>
        <w:spacing w:after="0" w:line="360"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7">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7" w:right="319" w:bottom="1440" w:gutter="0" w:footer="0" w:header="0"/>
        </w:sectPr>
      </w:pPr>
    </w:p>
    <w:bookmarkStart w:id="171" w:name="page172"/>
    <w:bookmarkEnd w:id="171"/>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8 — SHARE CAPITAL (</w:t>
      </w:r>
      <w:r>
        <w:rPr>
          <w:rFonts w:ascii="Arial" w:cs="Arial" w:eastAsia="Arial" w:hAnsi="Arial"/>
          <w:sz w:val="19"/>
          <w:szCs w:val="19"/>
          <w:color w:val="auto"/>
        </w:rPr>
        <w:t>continued):</w:t>
      </w:r>
    </w:p>
    <w:p>
      <w:pPr>
        <w:spacing w:after="0" w:line="261" w:lineRule="exact"/>
        <w:rPr>
          <w:sz w:val="20"/>
          <w:szCs w:val="20"/>
          <w:color w:val="auto"/>
        </w:rPr>
      </w:pPr>
    </w:p>
    <w:p>
      <w:pPr>
        <w:jc w:val="both"/>
        <w:ind w:left="600"/>
        <w:spacing w:after="0" w:line="318" w:lineRule="auto"/>
        <w:rPr>
          <w:sz w:val="20"/>
          <w:szCs w:val="20"/>
          <w:color w:val="auto"/>
        </w:rPr>
      </w:pPr>
      <w:r>
        <w:rPr>
          <w:rFonts w:ascii="Arial" w:cs="Arial" w:eastAsia="Arial" w:hAnsi="Arial"/>
          <w:sz w:val="17"/>
          <w:szCs w:val="17"/>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comparable peer companies.</w:t>
      </w:r>
    </w:p>
    <w:p>
      <w:pPr>
        <w:spacing w:after="0" w:line="169" w:lineRule="exact"/>
        <w:rPr>
          <w:sz w:val="20"/>
          <w:szCs w:val="20"/>
          <w:color w:val="auto"/>
        </w:rPr>
      </w:pPr>
    </w:p>
    <w:p>
      <w:pPr>
        <w:ind w:left="600" w:right="260"/>
        <w:spacing w:after="0" w:line="271" w:lineRule="auto"/>
        <w:rPr>
          <w:sz w:val="20"/>
          <w:szCs w:val="20"/>
          <w:color w:val="auto"/>
        </w:rPr>
      </w:pPr>
      <w:r>
        <w:rPr>
          <w:rFonts w:ascii="Arial" w:cs="Arial" w:eastAsia="Arial" w:hAnsi="Arial"/>
          <w:sz w:val="19"/>
          <w:szCs w:val="19"/>
          <w:color w:val="auto"/>
        </w:rPr>
        <w:t>The risk-free interest rate assumption is based on observed interest rates appropriate for the expected term of the options granted in dollar terms. The expected term of the options is estimated based on the simplified method, as its historical experience for options grants as a public company is insufficient.</w:t>
      </w:r>
    </w:p>
    <w:p>
      <w:pPr>
        <w:spacing w:after="0" w:line="206" w:lineRule="exact"/>
        <w:rPr>
          <w:sz w:val="20"/>
          <w:szCs w:val="20"/>
          <w:color w:val="auto"/>
        </w:rPr>
      </w:pPr>
    </w:p>
    <w:p>
      <w:pPr>
        <w:ind w:left="600" w:right="100"/>
        <w:spacing w:after="0" w:line="284" w:lineRule="auto"/>
        <w:rPr>
          <w:sz w:val="20"/>
          <w:szCs w:val="20"/>
          <w:color w:val="auto"/>
        </w:rPr>
      </w:pPr>
      <w:r>
        <w:rPr>
          <w:rFonts w:ascii="Arial" w:cs="Arial" w:eastAsia="Arial" w:hAnsi="Arial"/>
          <w:sz w:val="19"/>
          <w:szCs w:val="19"/>
          <w:color w:val="auto"/>
        </w:rPr>
        <w:t>In December 2019, the Company’s Board of Directors approved an increase of the ordinary shares that may be issued under the Company’s Plan by reserving an additional amount of 912,230 ordinary shares.</w:t>
      </w:r>
    </w:p>
    <w:p>
      <w:pPr>
        <w:spacing w:after="0" w:line="193" w:lineRule="exact"/>
        <w:rPr>
          <w:sz w:val="20"/>
          <w:szCs w:val="20"/>
          <w:color w:val="auto"/>
        </w:rPr>
      </w:pPr>
    </w:p>
    <w:p>
      <w:pPr>
        <w:ind w:left="600"/>
        <w:spacing w:after="0"/>
        <w:rPr>
          <w:sz w:val="20"/>
          <w:szCs w:val="20"/>
          <w:color w:val="auto"/>
        </w:rPr>
      </w:pPr>
      <w:r>
        <w:rPr>
          <w:rFonts w:ascii="Arial" w:cs="Arial" w:eastAsia="Arial" w:hAnsi="Arial"/>
          <w:sz w:val="19"/>
          <w:szCs w:val="19"/>
          <w:color w:val="auto"/>
        </w:rPr>
        <w:t>As of December 31, 2020, 949,415 ordinary shares remain available for future grants under the Plan.</w:t>
      </w:r>
    </w:p>
    <w:p>
      <w:pPr>
        <w:spacing w:after="0" w:line="245" w:lineRule="exact"/>
        <w:rPr>
          <w:sz w:val="20"/>
          <w:szCs w:val="20"/>
          <w:color w:val="auto"/>
        </w:rPr>
      </w:pPr>
    </w:p>
    <w:p>
      <w:pPr>
        <w:ind w:left="580" w:hanging="278"/>
        <w:spacing w:after="0"/>
        <w:tabs>
          <w:tab w:leader="none" w:pos="580" w:val="left"/>
        </w:tabs>
        <w:numPr>
          <w:ilvl w:val="0"/>
          <w:numId w:val="175"/>
        </w:numPr>
        <w:rPr>
          <w:rFonts w:ascii="Arial" w:cs="Arial" w:eastAsia="Arial" w:hAnsi="Arial"/>
          <w:sz w:val="16"/>
          <w:szCs w:val="16"/>
          <w:color w:val="auto"/>
        </w:rPr>
      </w:pPr>
      <w:r>
        <w:rPr>
          <w:rFonts w:ascii="Arial" w:cs="Arial" w:eastAsia="Arial" w:hAnsi="Arial"/>
          <w:sz w:val="16"/>
          <w:szCs w:val="16"/>
          <w:b w:val="1"/>
          <w:bCs w:val="1"/>
          <w:color w:val="auto"/>
        </w:rPr>
        <w:t>Options grants</w:t>
      </w:r>
    </w:p>
    <w:p>
      <w:pPr>
        <w:spacing w:after="0" w:line="245" w:lineRule="exact"/>
        <w:rPr>
          <w:rFonts w:ascii="Arial" w:cs="Arial" w:eastAsia="Arial" w:hAnsi="Arial"/>
          <w:sz w:val="16"/>
          <w:szCs w:val="16"/>
          <w:color w:val="auto"/>
        </w:rPr>
      </w:pPr>
    </w:p>
    <w:p>
      <w:pPr>
        <w:ind w:left="840"/>
        <w:spacing w:after="0"/>
        <w:rPr>
          <w:rFonts w:ascii="Arial" w:cs="Arial" w:eastAsia="Arial" w:hAnsi="Arial"/>
          <w:sz w:val="16"/>
          <w:szCs w:val="16"/>
          <w:color w:val="auto"/>
        </w:rPr>
      </w:pPr>
      <w:r>
        <w:rPr>
          <w:rFonts w:ascii="Arial" w:cs="Arial" w:eastAsia="Arial" w:hAnsi="Arial"/>
          <w:sz w:val="16"/>
          <w:szCs w:val="16"/>
          <w:color w:val="auto"/>
        </w:rPr>
        <w:t>a.  Option granted to employees and directors</w:t>
      </w:r>
    </w:p>
    <w:p>
      <w:pPr>
        <w:spacing w:after="0" w:line="241" w:lineRule="exact"/>
        <w:rPr>
          <w:rFonts w:ascii="Arial" w:cs="Arial" w:eastAsia="Arial" w:hAnsi="Arial"/>
          <w:sz w:val="16"/>
          <w:szCs w:val="16"/>
          <w:color w:val="auto"/>
        </w:rPr>
      </w:pPr>
    </w:p>
    <w:p>
      <w:pPr>
        <w:ind w:left="1660" w:right="300" w:hanging="329"/>
        <w:spacing w:after="0" w:line="268" w:lineRule="auto"/>
        <w:tabs>
          <w:tab w:leader="none" w:pos="1660" w:val="left"/>
        </w:tabs>
        <w:numPr>
          <w:ilvl w:val="2"/>
          <w:numId w:val="175"/>
        </w:numPr>
        <w:rPr>
          <w:rFonts w:ascii="Arial" w:cs="Arial" w:eastAsia="Arial" w:hAnsi="Arial"/>
          <w:sz w:val="16"/>
          <w:szCs w:val="16"/>
          <w:color w:val="auto"/>
        </w:rPr>
      </w:pPr>
      <w:r>
        <w:rPr>
          <w:rFonts w:ascii="Arial" w:cs="Arial" w:eastAsia="Arial" w:hAnsi="Arial"/>
          <w:sz w:val="16"/>
          <w:szCs w:val="16"/>
          <w:color w:val="auto"/>
        </w:rPr>
        <w:t>In January 2019, the Company granted a total of 80,000 options to an executive officer to purchase ordinary shares at an exercise price of $5.95 per share.</w:t>
      </w:r>
    </w:p>
    <w:p>
      <w:pPr>
        <w:spacing w:after="0" w:line="204" w:lineRule="exact"/>
        <w:rPr>
          <w:rFonts w:ascii="Arial" w:cs="Arial" w:eastAsia="Arial" w:hAnsi="Arial"/>
          <w:sz w:val="16"/>
          <w:szCs w:val="16"/>
          <w:color w:val="auto"/>
        </w:rPr>
      </w:pPr>
    </w:p>
    <w:p>
      <w:pPr>
        <w:ind w:left="1660" w:hanging="329"/>
        <w:spacing w:after="0"/>
        <w:tabs>
          <w:tab w:leader="none" w:pos="1660" w:val="left"/>
        </w:tabs>
        <w:numPr>
          <w:ilvl w:val="2"/>
          <w:numId w:val="175"/>
        </w:numPr>
        <w:rPr>
          <w:rFonts w:ascii="Arial" w:cs="Arial" w:eastAsia="Arial" w:hAnsi="Arial"/>
          <w:sz w:val="14"/>
          <w:szCs w:val="14"/>
          <w:color w:val="auto"/>
        </w:rPr>
      </w:pPr>
      <w:r>
        <w:rPr>
          <w:rFonts w:ascii="Arial" w:cs="Arial" w:eastAsia="Arial" w:hAnsi="Arial"/>
          <w:sz w:val="14"/>
          <w:szCs w:val="14"/>
          <w:color w:val="auto"/>
        </w:rPr>
        <w:t>In May 2019, the Company granted a total of 9,000 options to several employees to purchase ordinary shares at an exercise price of $7.32 per share.</w:t>
      </w:r>
    </w:p>
    <w:p>
      <w:pPr>
        <w:spacing w:after="0" w:line="264" w:lineRule="exact"/>
        <w:rPr>
          <w:rFonts w:ascii="Arial" w:cs="Arial" w:eastAsia="Arial" w:hAnsi="Arial"/>
          <w:sz w:val="14"/>
          <w:szCs w:val="14"/>
          <w:color w:val="auto"/>
        </w:rPr>
      </w:pPr>
    </w:p>
    <w:p>
      <w:pPr>
        <w:ind w:left="1660" w:right="300" w:hanging="329"/>
        <w:spacing w:after="0" w:line="268" w:lineRule="auto"/>
        <w:tabs>
          <w:tab w:leader="none" w:pos="1660" w:val="left"/>
        </w:tabs>
        <w:numPr>
          <w:ilvl w:val="2"/>
          <w:numId w:val="175"/>
        </w:numPr>
        <w:rPr>
          <w:rFonts w:ascii="Arial" w:cs="Arial" w:eastAsia="Arial" w:hAnsi="Arial"/>
          <w:sz w:val="16"/>
          <w:szCs w:val="16"/>
          <w:color w:val="auto"/>
        </w:rPr>
      </w:pPr>
      <w:r>
        <w:rPr>
          <w:rFonts w:ascii="Arial" w:cs="Arial" w:eastAsia="Arial" w:hAnsi="Arial"/>
          <w:sz w:val="16"/>
          <w:szCs w:val="16"/>
          <w:color w:val="auto"/>
        </w:rPr>
        <w:t>In December 2019, the Company granted a total of 6,300 options to several employees to purchase ordinary shares at an exercise price of $8.32 per share.</w:t>
      </w:r>
    </w:p>
    <w:p>
      <w:pPr>
        <w:spacing w:after="0" w:line="209" w:lineRule="exact"/>
        <w:rPr>
          <w:sz w:val="20"/>
          <w:szCs w:val="20"/>
          <w:color w:val="auto"/>
        </w:rPr>
      </w:pPr>
    </w:p>
    <w:p>
      <w:pPr>
        <w:ind w:left="1140"/>
        <w:spacing w:after="0" w:line="271" w:lineRule="auto"/>
        <w:rPr>
          <w:sz w:val="20"/>
          <w:szCs w:val="20"/>
          <w:color w:val="auto"/>
        </w:rPr>
      </w:pPr>
      <w:r>
        <w:rPr>
          <w:rFonts w:ascii="Arial" w:cs="Arial" w:eastAsia="Arial" w:hAnsi="Arial"/>
          <w:sz w:val="19"/>
          <w:szCs w:val="19"/>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206" w:lineRule="exact"/>
        <w:rPr>
          <w:sz w:val="20"/>
          <w:szCs w:val="20"/>
          <w:color w:val="auto"/>
        </w:rPr>
      </w:pPr>
    </w:p>
    <w:p>
      <w:pPr>
        <w:ind w:left="1140" w:right="40"/>
        <w:spacing w:after="0" w:line="284" w:lineRule="auto"/>
        <w:rPr>
          <w:sz w:val="20"/>
          <w:szCs w:val="20"/>
          <w:color w:val="auto"/>
        </w:rPr>
      </w:pPr>
      <w:r>
        <w:rPr>
          <w:rFonts w:ascii="Arial" w:cs="Arial" w:eastAsia="Arial" w:hAnsi="Arial"/>
          <w:sz w:val="19"/>
          <w:szCs w:val="19"/>
          <w:color w:val="auto"/>
        </w:rPr>
        <w:t>The fair value of options granted to employees and directors in 2018 and 2019 were $878 and $485 respectively. The underlying data used for computing the fair value of the options are as follows:</w:t>
      </w:r>
    </w:p>
    <w:p>
      <w:pPr>
        <w:spacing w:after="0" w:line="183" w:lineRule="exact"/>
        <w:rPr>
          <w:sz w:val="20"/>
          <w:szCs w:val="20"/>
          <w:color w:val="auto"/>
        </w:rPr>
      </w:pPr>
    </w:p>
    <w:tbl>
      <w:tblPr>
        <w:tblLayout w:type="fixed"/>
        <w:tblInd w:w="1120" w:type="dxa"/>
        <w:tblCellMar>
          <w:top w:w="0" w:type="dxa"/>
          <w:left w:w="0" w:type="dxa"/>
          <w:bottom w:w="0" w:type="dxa"/>
          <w:right w:w="0" w:type="dxa"/>
        </w:tblCellMar>
      </w:tblPr>
      <w:tr>
        <w:trPr>
          <w:trHeight w:val="209"/>
        </w:trPr>
        <w:tc>
          <w:tcPr>
            <w:tcW w:w="4700" w:type="dxa"/>
            <w:vAlign w:val="bottom"/>
          </w:tcPr>
          <w:p>
            <w:pPr>
              <w:spacing w:after="0"/>
              <w:rPr>
                <w:sz w:val="18"/>
                <w:szCs w:val="18"/>
                <w:color w:val="auto"/>
              </w:rPr>
            </w:pPr>
          </w:p>
        </w:tc>
        <w:tc>
          <w:tcPr>
            <w:tcW w:w="2540" w:type="dxa"/>
            <w:vAlign w:val="bottom"/>
          </w:tcPr>
          <w:p>
            <w:pPr>
              <w:jc w:val="center"/>
              <w:spacing w:after="0"/>
              <w:rPr>
                <w:sz w:val="20"/>
                <w:szCs w:val="20"/>
                <w:color w:val="auto"/>
              </w:rPr>
            </w:pPr>
            <w:r>
              <w:rPr>
                <w:rFonts w:ascii="Arial" w:cs="Arial" w:eastAsia="Arial" w:hAnsi="Arial"/>
                <w:sz w:val="16"/>
                <w:szCs w:val="16"/>
                <w:b w:val="1"/>
                <w:bCs w:val="1"/>
                <w:color w:val="auto"/>
                <w:w w:val="89"/>
              </w:rPr>
              <w:t>2018</w:t>
            </w:r>
          </w:p>
        </w:tc>
        <w:tc>
          <w:tcPr>
            <w:tcW w:w="2720" w:type="dxa"/>
            <w:vAlign w:val="bottom"/>
            <w:gridSpan w:val="2"/>
          </w:tcPr>
          <w:p>
            <w:pPr>
              <w:jc w:val="center"/>
              <w:ind w:left="81"/>
              <w:spacing w:after="0"/>
              <w:rPr>
                <w:sz w:val="20"/>
                <w:szCs w:val="20"/>
                <w:color w:val="auto"/>
              </w:rPr>
            </w:pPr>
            <w:r>
              <w:rPr>
                <w:rFonts w:ascii="Arial" w:cs="Arial" w:eastAsia="Arial" w:hAnsi="Arial"/>
                <w:sz w:val="16"/>
                <w:szCs w:val="16"/>
                <w:b w:val="1"/>
                <w:bCs w:val="1"/>
                <w:color w:val="auto"/>
                <w:w w:val="89"/>
              </w:rPr>
              <w:t>2019</w:t>
            </w:r>
          </w:p>
        </w:tc>
        <w:tc>
          <w:tcPr>
            <w:tcW w:w="180" w:type="dxa"/>
            <w:vAlign w:val="bottom"/>
          </w:tcPr>
          <w:p>
            <w:pPr>
              <w:spacing w:after="0"/>
              <w:rPr>
                <w:sz w:val="18"/>
                <w:szCs w:val="18"/>
                <w:color w:val="auto"/>
              </w:rPr>
            </w:pPr>
          </w:p>
        </w:tc>
      </w:tr>
      <w:tr>
        <w:trPr>
          <w:trHeight w:val="229"/>
        </w:trPr>
        <w:tc>
          <w:tcPr>
            <w:tcW w:w="4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Value of one ordinary share</w:t>
            </w:r>
          </w:p>
        </w:tc>
        <w:tc>
          <w:tcPr>
            <w:tcW w:w="25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$6.24-$10.40</w:t>
            </w:r>
          </w:p>
        </w:tc>
        <w:tc>
          <w:tcPr>
            <w:tcW w:w="180" w:type="dxa"/>
            <w:vAlign w:val="bottom"/>
            <w:tcBorders>
              <w:bottom w:val="single" w:sz="8" w:color="CCEEFF"/>
            </w:tcBorders>
            <w:shd w:val="clear" w:color="auto" w:fill="CCEEFF"/>
          </w:tcPr>
          <w:p>
            <w:pPr>
              <w:spacing w:after="0"/>
              <w:rPr>
                <w:sz w:val="19"/>
                <w:szCs w:val="19"/>
                <w:color w:val="auto"/>
              </w:rPr>
            </w:pPr>
          </w:p>
        </w:tc>
        <w:tc>
          <w:tcPr>
            <w:tcW w:w="25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8"/>
              </w:rPr>
              <w:t>$6.08-$8.59</w:t>
            </w:r>
          </w:p>
        </w:tc>
        <w:tc>
          <w:tcPr>
            <w:tcW w:w="180" w:type="dxa"/>
            <w:vAlign w:val="bottom"/>
            <w:tcBorders>
              <w:bottom w:val="single" w:sz="8" w:color="CCEEFF"/>
            </w:tcBorders>
            <w:shd w:val="clear" w:color="auto" w:fill="CCEEFF"/>
          </w:tcPr>
          <w:p>
            <w:pPr>
              <w:spacing w:after="0"/>
              <w:rPr>
                <w:sz w:val="19"/>
                <w:szCs w:val="19"/>
                <w:color w:val="auto"/>
              </w:rPr>
            </w:pPr>
          </w:p>
        </w:tc>
      </w:tr>
      <w:tr>
        <w:trPr>
          <w:trHeight w:val="177"/>
        </w:trPr>
        <w:tc>
          <w:tcPr>
            <w:tcW w:w="4700" w:type="dxa"/>
            <w:vAlign w:val="bottom"/>
          </w:tcPr>
          <w:p>
            <w:pPr>
              <w:ind w:left="20"/>
              <w:spacing w:after="0" w:line="177" w:lineRule="exact"/>
              <w:rPr>
                <w:sz w:val="20"/>
                <w:szCs w:val="20"/>
                <w:color w:val="auto"/>
              </w:rPr>
            </w:pPr>
            <w:r>
              <w:rPr>
                <w:rFonts w:ascii="Arial" w:cs="Arial" w:eastAsia="Arial" w:hAnsi="Arial"/>
                <w:sz w:val="16"/>
                <w:szCs w:val="16"/>
                <w:color w:val="auto"/>
              </w:rPr>
              <w:t>Dividend yield</w:t>
            </w:r>
          </w:p>
        </w:tc>
        <w:tc>
          <w:tcPr>
            <w:tcW w:w="2540" w:type="dxa"/>
            <w:vAlign w:val="bottom"/>
          </w:tcPr>
          <w:p>
            <w:pPr>
              <w:jc w:val="center"/>
              <w:spacing w:after="0" w:line="177" w:lineRule="exact"/>
              <w:rPr>
                <w:sz w:val="20"/>
                <w:szCs w:val="20"/>
                <w:color w:val="auto"/>
              </w:rPr>
            </w:pPr>
            <w:r>
              <w:rPr>
                <w:rFonts w:ascii="Arial" w:cs="Arial" w:eastAsia="Arial" w:hAnsi="Arial"/>
                <w:sz w:val="16"/>
                <w:szCs w:val="16"/>
                <w:color w:val="auto"/>
                <w:w w:val="86"/>
              </w:rPr>
              <w:t>0%</w:t>
            </w:r>
          </w:p>
        </w:tc>
        <w:tc>
          <w:tcPr>
            <w:tcW w:w="2720" w:type="dxa"/>
            <w:vAlign w:val="bottom"/>
            <w:gridSpan w:val="2"/>
          </w:tcPr>
          <w:p>
            <w:pPr>
              <w:jc w:val="center"/>
              <w:ind w:left="81"/>
              <w:spacing w:after="0" w:line="177" w:lineRule="exact"/>
              <w:rPr>
                <w:sz w:val="20"/>
                <w:szCs w:val="20"/>
                <w:color w:val="auto"/>
              </w:rPr>
            </w:pPr>
            <w:r>
              <w:rPr>
                <w:rFonts w:ascii="Arial" w:cs="Arial" w:eastAsia="Arial" w:hAnsi="Arial"/>
                <w:sz w:val="16"/>
                <w:szCs w:val="16"/>
                <w:color w:val="auto"/>
                <w:w w:val="86"/>
              </w:rPr>
              <w:t>0%</w:t>
            </w:r>
          </w:p>
        </w:tc>
        <w:tc>
          <w:tcPr>
            <w:tcW w:w="180" w:type="dxa"/>
            <w:vAlign w:val="bottom"/>
          </w:tcPr>
          <w:p>
            <w:pPr>
              <w:spacing w:after="0"/>
              <w:rPr>
                <w:sz w:val="15"/>
                <w:szCs w:val="15"/>
                <w:color w:val="auto"/>
              </w:rPr>
            </w:pPr>
          </w:p>
        </w:tc>
      </w:tr>
      <w:tr>
        <w:trPr>
          <w:trHeight w:val="20"/>
        </w:trPr>
        <w:tc>
          <w:tcPr>
            <w:tcW w:w="4700" w:type="dxa"/>
            <w:vAlign w:val="bottom"/>
          </w:tcPr>
          <w:p>
            <w:pPr>
              <w:spacing w:after="0" w:line="20" w:lineRule="exact"/>
              <w:rPr>
                <w:sz w:val="1"/>
                <w:szCs w:val="1"/>
                <w:color w:val="auto"/>
              </w:rPr>
            </w:pPr>
          </w:p>
        </w:tc>
        <w:tc>
          <w:tcPr>
            <w:tcW w:w="2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17"/>
        </w:trPr>
        <w:tc>
          <w:tcPr>
            <w:tcW w:w="4700" w:type="dxa"/>
            <w:vAlign w:val="bottom"/>
            <w:tcBorders>
              <w:bottom w:val="single" w:sz="8" w:color="CCEEFF"/>
            </w:tcBorders>
            <w:shd w:val="clear" w:color="auto" w:fill="CCEEFF"/>
          </w:tcPr>
          <w:p>
            <w:pPr>
              <w:ind w:left="20"/>
              <w:spacing w:after="0" w:line="177" w:lineRule="exact"/>
              <w:rPr>
                <w:sz w:val="20"/>
                <w:szCs w:val="20"/>
                <w:color w:val="auto"/>
              </w:rPr>
            </w:pPr>
            <w:r>
              <w:rPr>
                <w:rFonts w:ascii="Arial" w:cs="Arial" w:eastAsia="Arial" w:hAnsi="Arial"/>
                <w:sz w:val="16"/>
                <w:szCs w:val="16"/>
                <w:color w:val="auto"/>
              </w:rPr>
              <w:t>Expected volatility</w:t>
            </w:r>
          </w:p>
        </w:tc>
        <w:tc>
          <w:tcPr>
            <w:tcW w:w="2540" w:type="dxa"/>
            <w:vAlign w:val="bottom"/>
            <w:tcBorders>
              <w:bottom w:val="single" w:sz="8" w:color="auto"/>
            </w:tcBorders>
            <w:shd w:val="clear" w:color="auto" w:fill="CCEEFF"/>
          </w:tcPr>
          <w:p>
            <w:pPr>
              <w:jc w:val="center"/>
              <w:spacing w:after="0" w:line="177" w:lineRule="exact"/>
              <w:rPr>
                <w:sz w:val="20"/>
                <w:szCs w:val="20"/>
                <w:color w:val="auto"/>
              </w:rPr>
            </w:pPr>
            <w:r>
              <w:rPr>
                <w:rFonts w:ascii="Arial" w:cs="Arial" w:eastAsia="Arial" w:hAnsi="Arial"/>
                <w:sz w:val="16"/>
                <w:szCs w:val="16"/>
                <w:color w:val="auto"/>
                <w:w w:val="89"/>
              </w:rPr>
              <w:t>70.43 %-73.35%</w:t>
            </w:r>
          </w:p>
        </w:tc>
        <w:tc>
          <w:tcPr>
            <w:tcW w:w="180" w:type="dxa"/>
            <w:vAlign w:val="bottom"/>
            <w:tcBorders>
              <w:bottom w:val="single" w:sz="8" w:color="CCEEFF"/>
            </w:tcBorders>
            <w:shd w:val="clear" w:color="auto" w:fill="CCEEFF"/>
          </w:tcPr>
          <w:p>
            <w:pPr>
              <w:spacing w:after="0"/>
              <w:rPr>
                <w:sz w:val="18"/>
                <w:szCs w:val="18"/>
                <w:color w:val="auto"/>
              </w:rPr>
            </w:pPr>
          </w:p>
        </w:tc>
        <w:tc>
          <w:tcPr>
            <w:tcW w:w="2540" w:type="dxa"/>
            <w:vAlign w:val="bottom"/>
            <w:tcBorders>
              <w:bottom w:val="single" w:sz="8" w:color="auto"/>
            </w:tcBorders>
            <w:shd w:val="clear" w:color="auto" w:fill="CCEEFF"/>
          </w:tcPr>
          <w:p>
            <w:pPr>
              <w:jc w:val="center"/>
              <w:spacing w:after="0" w:line="177" w:lineRule="exact"/>
              <w:rPr>
                <w:sz w:val="20"/>
                <w:szCs w:val="20"/>
                <w:color w:val="auto"/>
              </w:rPr>
            </w:pPr>
            <w:r>
              <w:rPr>
                <w:rFonts w:ascii="Arial" w:cs="Arial" w:eastAsia="Arial" w:hAnsi="Arial"/>
                <w:sz w:val="16"/>
                <w:szCs w:val="16"/>
                <w:color w:val="auto"/>
                <w:w w:val="89"/>
              </w:rPr>
              <w:t>74.87%-77.83 %</w:t>
            </w:r>
          </w:p>
        </w:tc>
        <w:tc>
          <w:tcPr>
            <w:tcW w:w="180" w:type="dxa"/>
            <w:vAlign w:val="bottom"/>
            <w:tcBorders>
              <w:bottom w:val="single" w:sz="8" w:color="CCEEFF"/>
            </w:tcBorders>
            <w:shd w:val="clear" w:color="auto" w:fill="CCEEFF"/>
          </w:tcPr>
          <w:p>
            <w:pPr>
              <w:spacing w:after="0"/>
              <w:rPr>
                <w:sz w:val="18"/>
                <w:szCs w:val="18"/>
                <w:color w:val="auto"/>
              </w:rPr>
            </w:pPr>
          </w:p>
        </w:tc>
      </w:tr>
      <w:tr>
        <w:trPr>
          <w:trHeight w:val="177"/>
        </w:trPr>
        <w:tc>
          <w:tcPr>
            <w:tcW w:w="4700" w:type="dxa"/>
            <w:vAlign w:val="bottom"/>
          </w:tcPr>
          <w:p>
            <w:pPr>
              <w:ind w:left="20"/>
              <w:spacing w:after="0" w:line="177" w:lineRule="exact"/>
              <w:rPr>
                <w:sz w:val="20"/>
                <w:szCs w:val="20"/>
                <w:color w:val="auto"/>
              </w:rPr>
            </w:pPr>
            <w:r>
              <w:rPr>
                <w:rFonts w:ascii="Arial" w:cs="Arial" w:eastAsia="Arial" w:hAnsi="Arial"/>
                <w:sz w:val="16"/>
                <w:szCs w:val="16"/>
                <w:color w:val="auto"/>
              </w:rPr>
              <w:t>Risk-free interest rate</w:t>
            </w:r>
          </w:p>
        </w:tc>
        <w:tc>
          <w:tcPr>
            <w:tcW w:w="2540" w:type="dxa"/>
            <w:vAlign w:val="bottom"/>
          </w:tcPr>
          <w:p>
            <w:pPr>
              <w:jc w:val="center"/>
              <w:spacing w:after="0" w:line="177" w:lineRule="exact"/>
              <w:rPr>
                <w:sz w:val="20"/>
                <w:szCs w:val="20"/>
                <w:color w:val="auto"/>
              </w:rPr>
            </w:pPr>
            <w:r>
              <w:rPr>
                <w:rFonts w:ascii="Arial" w:cs="Arial" w:eastAsia="Arial" w:hAnsi="Arial"/>
                <w:sz w:val="16"/>
                <w:szCs w:val="16"/>
                <w:color w:val="auto"/>
                <w:w w:val="89"/>
              </w:rPr>
              <w:t>2.67%-2.83%</w:t>
            </w:r>
          </w:p>
        </w:tc>
        <w:tc>
          <w:tcPr>
            <w:tcW w:w="2720" w:type="dxa"/>
            <w:vAlign w:val="bottom"/>
            <w:gridSpan w:val="2"/>
          </w:tcPr>
          <w:p>
            <w:pPr>
              <w:jc w:val="center"/>
              <w:ind w:left="101"/>
              <w:spacing w:after="0" w:line="177" w:lineRule="exact"/>
              <w:rPr>
                <w:sz w:val="20"/>
                <w:szCs w:val="20"/>
                <w:color w:val="auto"/>
              </w:rPr>
            </w:pPr>
            <w:r>
              <w:rPr>
                <w:rFonts w:ascii="Arial" w:cs="Arial" w:eastAsia="Arial" w:hAnsi="Arial"/>
                <w:sz w:val="16"/>
                <w:szCs w:val="16"/>
                <w:color w:val="auto"/>
                <w:w w:val="89"/>
              </w:rPr>
              <w:t>1.82%-2.75%</w:t>
            </w:r>
          </w:p>
        </w:tc>
        <w:tc>
          <w:tcPr>
            <w:tcW w:w="180" w:type="dxa"/>
            <w:vAlign w:val="bottom"/>
          </w:tcPr>
          <w:p>
            <w:pPr>
              <w:spacing w:after="0"/>
              <w:rPr>
                <w:sz w:val="15"/>
                <w:szCs w:val="15"/>
                <w:color w:val="auto"/>
              </w:rPr>
            </w:pPr>
          </w:p>
        </w:tc>
      </w:tr>
      <w:tr>
        <w:trPr>
          <w:trHeight w:val="20"/>
        </w:trPr>
        <w:tc>
          <w:tcPr>
            <w:tcW w:w="4700" w:type="dxa"/>
            <w:vAlign w:val="bottom"/>
          </w:tcPr>
          <w:p>
            <w:pPr>
              <w:spacing w:after="0" w:line="20" w:lineRule="exact"/>
              <w:rPr>
                <w:sz w:val="1"/>
                <w:szCs w:val="1"/>
                <w:color w:val="auto"/>
              </w:rPr>
            </w:pPr>
          </w:p>
        </w:tc>
        <w:tc>
          <w:tcPr>
            <w:tcW w:w="2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17"/>
        </w:trPr>
        <w:tc>
          <w:tcPr>
            <w:tcW w:w="4700" w:type="dxa"/>
            <w:vAlign w:val="bottom"/>
            <w:tcBorders>
              <w:bottom w:val="single" w:sz="8" w:color="CCEEFF"/>
            </w:tcBorders>
            <w:shd w:val="clear" w:color="auto" w:fill="CCEEFF"/>
          </w:tcPr>
          <w:p>
            <w:pPr>
              <w:ind w:left="20"/>
              <w:spacing w:after="0" w:line="177" w:lineRule="exact"/>
              <w:rPr>
                <w:sz w:val="20"/>
                <w:szCs w:val="20"/>
                <w:color w:val="auto"/>
              </w:rPr>
            </w:pPr>
            <w:r>
              <w:rPr>
                <w:rFonts w:ascii="Arial" w:cs="Arial" w:eastAsia="Arial" w:hAnsi="Arial"/>
                <w:sz w:val="16"/>
                <w:szCs w:val="16"/>
                <w:color w:val="auto"/>
              </w:rPr>
              <w:t>Expected term</w:t>
            </w:r>
          </w:p>
        </w:tc>
        <w:tc>
          <w:tcPr>
            <w:tcW w:w="2540" w:type="dxa"/>
            <w:vAlign w:val="bottom"/>
            <w:tcBorders>
              <w:bottom w:val="single" w:sz="8" w:color="auto"/>
            </w:tcBorders>
            <w:shd w:val="clear" w:color="auto" w:fill="CCEEFF"/>
          </w:tcPr>
          <w:p>
            <w:pPr>
              <w:ind w:left="880"/>
              <w:spacing w:after="0" w:line="177" w:lineRule="exact"/>
              <w:rPr>
                <w:sz w:val="20"/>
                <w:szCs w:val="20"/>
                <w:color w:val="auto"/>
              </w:rPr>
            </w:pPr>
            <w:r>
              <w:rPr>
                <w:rFonts w:ascii="Arial" w:cs="Arial" w:eastAsia="Arial" w:hAnsi="Arial"/>
                <w:sz w:val="16"/>
                <w:szCs w:val="16"/>
                <w:color w:val="auto"/>
              </w:rPr>
              <w:t>5.50-7 years</w:t>
            </w:r>
          </w:p>
        </w:tc>
        <w:tc>
          <w:tcPr>
            <w:tcW w:w="180" w:type="dxa"/>
            <w:vAlign w:val="bottom"/>
            <w:tcBorders>
              <w:bottom w:val="single" w:sz="8" w:color="CCEEFF"/>
            </w:tcBorders>
            <w:shd w:val="clear" w:color="auto" w:fill="CCEEFF"/>
          </w:tcPr>
          <w:p>
            <w:pPr>
              <w:spacing w:after="0"/>
              <w:rPr>
                <w:sz w:val="18"/>
                <w:szCs w:val="18"/>
                <w:color w:val="auto"/>
              </w:rPr>
            </w:pPr>
          </w:p>
        </w:tc>
        <w:tc>
          <w:tcPr>
            <w:tcW w:w="2540" w:type="dxa"/>
            <w:vAlign w:val="bottom"/>
            <w:tcBorders>
              <w:bottom w:val="single" w:sz="8" w:color="auto"/>
            </w:tcBorders>
            <w:shd w:val="clear" w:color="auto" w:fill="CCEEFF"/>
          </w:tcPr>
          <w:p>
            <w:pPr>
              <w:ind w:left="940"/>
              <w:spacing w:after="0" w:line="177" w:lineRule="exact"/>
              <w:rPr>
                <w:sz w:val="20"/>
                <w:szCs w:val="20"/>
                <w:color w:val="auto"/>
              </w:rPr>
            </w:pPr>
            <w:r>
              <w:rPr>
                <w:rFonts w:ascii="Arial" w:cs="Arial" w:eastAsia="Arial" w:hAnsi="Arial"/>
                <w:sz w:val="16"/>
                <w:szCs w:val="16"/>
                <w:color w:val="auto"/>
              </w:rPr>
              <w:t>6.11 years</w:t>
            </w:r>
          </w:p>
        </w:tc>
        <w:tc>
          <w:tcPr>
            <w:tcW w:w="180" w:type="dxa"/>
            <w:vAlign w:val="bottom"/>
            <w:tcBorders>
              <w:bottom w:val="single" w:sz="8" w:color="CCEEFF"/>
            </w:tcBorders>
            <w:shd w:val="clear" w:color="auto" w:fill="CCEEFF"/>
          </w:tcPr>
          <w:p>
            <w:pPr>
              <w:spacing w:after="0"/>
              <w:rPr>
                <w:sz w:val="18"/>
                <w:szCs w:val="18"/>
                <w:color w:val="auto"/>
              </w:rPr>
            </w:pPr>
          </w:p>
        </w:tc>
      </w:tr>
    </w:tbl>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72" w:name="page173"/>
    <w:bookmarkEnd w:id="172"/>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8 — SHARE CAPITAL (</w:t>
      </w:r>
      <w:r>
        <w:rPr>
          <w:rFonts w:ascii="Arial" w:cs="Arial" w:eastAsia="Arial" w:hAnsi="Arial"/>
          <w:sz w:val="19"/>
          <w:szCs w:val="19"/>
          <w:color w:val="auto"/>
        </w:rPr>
        <w:t>continued)</w:t>
      </w:r>
    </w:p>
    <w:p>
      <w:pPr>
        <w:spacing w:after="0" w:line="261" w:lineRule="exact"/>
        <w:rPr>
          <w:sz w:val="20"/>
          <w:szCs w:val="20"/>
          <w:color w:val="auto"/>
        </w:rPr>
      </w:pPr>
    </w:p>
    <w:p>
      <w:pPr>
        <w:ind w:left="1140" w:right="280"/>
        <w:spacing w:after="0" w:line="284" w:lineRule="auto"/>
        <w:rPr>
          <w:sz w:val="20"/>
          <w:szCs w:val="20"/>
          <w:color w:val="auto"/>
        </w:rPr>
      </w:pPr>
      <w:r>
        <w:rPr>
          <w:rFonts w:ascii="Arial" w:cs="Arial" w:eastAsia="Arial" w:hAnsi="Arial"/>
          <w:sz w:val="19"/>
          <w:szCs w:val="19"/>
          <w:color w:val="auto"/>
        </w:rPr>
        <w:t>The total unrecognized compensation cost of employee options at December 31, 2020 is $271, which is expected to be recognized over a period of 2.96 years.</w:t>
      </w:r>
    </w:p>
    <w:p>
      <w:pPr>
        <w:spacing w:after="0" w:line="193" w:lineRule="exact"/>
        <w:rPr>
          <w:sz w:val="20"/>
          <w:szCs w:val="20"/>
          <w:color w:val="auto"/>
        </w:rPr>
      </w:pPr>
    </w:p>
    <w:p>
      <w:pPr>
        <w:ind w:left="1140" w:right="140"/>
        <w:spacing w:after="0" w:line="284" w:lineRule="auto"/>
        <w:rPr>
          <w:sz w:val="20"/>
          <w:szCs w:val="20"/>
          <w:color w:val="auto"/>
        </w:rPr>
      </w:pPr>
      <w:r>
        <w:rPr>
          <w:rFonts w:ascii="Arial" w:cs="Arial" w:eastAsia="Arial" w:hAnsi="Arial"/>
          <w:sz w:val="19"/>
          <w:szCs w:val="19"/>
          <w:color w:val="auto"/>
        </w:rPr>
        <w:t>The following table summarizes the number of options granted to employees under the Plan for the years ended December 31, 2019 and 2020, and related information:</w:t>
      </w:r>
    </w:p>
    <w:p>
      <w:pPr>
        <w:spacing w:after="0" w:line="183" w:lineRule="exact"/>
        <w:rPr>
          <w:sz w:val="20"/>
          <w:szCs w:val="20"/>
          <w:color w:val="auto"/>
        </w:rPr>
      </w:pPr>
    </w:p>
    <w:tbl>
      <w:tblPr>
        <w:tblLayout w:type="fixed"/>
        <w:tblInd w:w="1120" w:type="dxa"/>
        <w:tblCellMar>
          <w:top w:w="0" w:type="dxa"/>
          <w:left w:w="0" w:type="dxa"/>
          <w:bottom w:w="0" w:type="dxa"/>
          <w:right w:w="0" w:type="dxa"/>
        </w:tblCellMar>
      </w:tblPr>
      <w:tr>
        <w:trPr>
          <w:trHeight w:val="209"/>
        </w:trPr>
        <w:tc>
          <w:tcPr>
            <w:tcW w:w="2960" w:type="dxa"/>
            <w:vAlign w:val="bottom"/>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2400" w:type="dxa"/>
            <w:vAlign w:val="bottom"/>
            <w:tcBorders>
              <w:bottom w:val="single" w:sz="8" w:color="auto"/>
            </w:tcBorders>
            <w:gridSpan w:val="4"/>
          </w:tcPr>
          <w:p>
            <w:pPr>
              <w:jc w:val="right"/>
              <w:ind w:right="500"/>
              <w:spacing w:after="0"/>
              <w:rPr>
                <w:sz w:val="20"/>
                <w:szCs w:val="20"/>
                <w:color w:val="auto"/>
              </w:rPr>
            </w:pPr>
            <w:r>
              <w:rPr>
                <w:rFonts w:ascii="Arial" w:cs="Arial" w:eastAsia="Arial" w:hAnsi="Arial"/>
                <w:sz w:val="16"/>
                <w:szCs w:val="16"/>
                <w:b w:val="1"/>
                <w:bCs w:val="1"/>
                <w:color w:val="auto"/>
                <w:w w:val="98"/>
              </w:rPr>
              <w:t>Year ended December 31</w:t>
            </w: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93"/>
        </w:trPr>
        <w:tc>
          <w:tcPr>
            <w:tcW w:w="296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81"/>
              <w:spacing w:after="0"/>
              <w:rPr>
                <w:sz w:val="20"/>
                <w:szCs w:val="20"/>
                <w:color w:val="auto"/>
              </w:rPr>
            </w:pPr>
            <w:r>
              <w:rPr>
                <w:rFonts w:ascii="Arial" w:cs="Arial" w:eastAsia="Arial" w:hAnsi="Arial"/>
                <w:sz w:val="16"/>
                <w:szCs w:val="16"/>
                <w:b w:val="1"/>
                <w:bCs w:val="1"/>
                <w:color w:val="auto"/>
                <w:w w:val="89"/>
              </w:rPr>
              <w:t>2019</w:t>
            </w: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1"/>
              <w:spacing w:after="0"/>
              <w:rPr>
                <w:sz w:val="20"/>
                <w:szCs w:val="20"/>
                <w:color w:val="auto"/>
              </w:rPr>
            </w:pPr>
            <w:r>
              <w:rPr>
                <w:rFonts w:ascii="Arial" w:cs="Arial" w:eastAsia="Arial" w:hAnsi="Arial"/>
                <w:sz w:val="16"/>
                <w:szCs w:val="16"/>
                <w:b w:val="1"/>
                <w:bCs w:val="1"/>
                <w:color w:val="auto"/>
                <w:w w:val="89"/>
              </w:rPr>
              <w:t>2020</w:t>
            </w:r>
          </w:p>
        </w:tc>
        <w:tc>
          <w:tcPr>
            <w:tcW w:w="2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73"/>
        </w:trPr>
        <w:tc>
          <w:tcPr>
            <w:tcW w:w="29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20" w:type="dxa"/>
            <w:vAlign w:val="bottom"/>
          </w:tcPr>
          <w:p>
            <w:pPr>
              <w:jc w:val="center"/>
              <w:spacing w:after="0" w:line="173" w:lineRule="exact"/>
              <w:rPr>
                <w:sz w:val="20"/>
                <w:szCs w:val="20"/>
                <w:color w:val="auto"/>
              </w:rPr>
            </w:pPr>
            <w:r>
              <w:rPr>
                <w:rFonts w:ascii="Arial" w:cs="Arial" w:eastAsia="Arial" w:hAnsi="Arial"/>
                <w:sz w:val="16"/>
                <w:szCs w:val="16"/>
                <w:b w:val="1"/>
                <w:bCs w:val="1"/>
                <w:color w:val="auto"/>
                <w:w w:val="88"/>
              </w:rPr>
              <w:t>Weighted</w:t>
            </w:r>
          </w:p>
        </w:tc>
        <w:tc>
          <w:tcPr>
            <w:tcW w:w="1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jc w:val="center"/>
              <w:spacing w:after="0" w:line="173" w:lineRule="exact"/>
              <w:rPr>
                <w:sz w:val="20"/>
                <w:szCs w:val="20"/>
                <w:color w:val="auto"/>
              </w:rPr>
            </w:pPr>
            <w:r>
              <w:rPr>
                <w:rFonts w:ascii="Arial" w:cs="Arial" w:eastAsia="Arial" w:hAnsi="Arial"/>
                <w:sz w:val="16"/>
                <w:szCs w:val="16"/>
                <w:b w:val="1"/>
                <w:bCs w:val="1"/>
                <w:color w:val="auto"/>
                <w:w w:val="88"/>
              </w:rPr>
              <w:t>Weighted</w:t>
            </w:r>
          </w:p>
        </w:tc>
        <w:tc>
          <w:tcPr>
            <w:tcW w:w="100" w:type="dxa"/>
            <w:vAlign w:val="bottom"/>
          </w:tcPr>
          <w:p>
            <w:pPr>
              <w:spacing w:after="0"/>
              <w:rPr>
                <w:sz w:val="15"/>
                <w:szCs w:val="15"/>
                <w:color w:val="auto"/>
              </w:rPr>
            </w:pPr>
          </w:p>
        </w:tc>
      </w:tr>
      <w:tr>
        <w:trPr>
          <w:trHeight w:val="189"/>
        </w:trPr>
        <w:tc>
          <w:tcPr>
            <w:tcW w:w="29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gridSpan w:val="2"/>
          </w:tcPr>
          <w:p>
            <w:pPr>
              <w:jc w:val="center"/>
              <w:ind w:right="200"/>
              <w:spacing w:after="0"/>
              <w:rPr>
                <w:sz w:val="20"/>
                <w:szCs w:val="20"/>
                <w:color w:val="auto"/>
              </w:rPr>
            </w:pPr>
            <w:r>
              <w:rPr>
                <w:rFonts w:ascii="Arial" w:cs="Arial" w:eastAsia="Arial" w:hAnsi="Arial"/>
                <w:sz w:val="16"/>
                <w:szCs w:val="16"/>
                <w:b w:val="1"/>
                <w:bCs w:val="1"/>
                <w:color w:val="auto"/>
                <w:w w:val="85"/>
              </w:rPr>
              <w:t>average</w:t>
            </w:r>
          </w:p>
        </w:tc>
        <w:tc>
          <w:tcPr>
            <w:tcW w:w="10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5"/>
              </w:rPr>
              <w:t>average</w:t>
            </w:r>
          </w:p>
        </w:tc>
      </w:tr>
      <w:tr>
        <w:trPr>
          <w:trHeight w:val="189"/>
        </w:trPr>
        <w:tc>
          <w:tcPr>
            <w:tcW w:w="29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88"/>
              </w:rPr>
              <w:t>Weighted</w:t>
            </w:r>
          </w:p>
        </w:tc>
        <w:tc>
          <w:tcPr>
            <w:tcW w:w="120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1"/>
              </w:rPr>
              <w:t>remaining</w:t>
            </w:r>
          </w:p>
        </w:tc>
        <w:tc>
          <w:tcPr>
            <w:tcW w:w="10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Weighted</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remaining</w:t>
            </w:r>
          </w:p>
        </w:tc>
      </w:tr>
      <w:tr>
        <w:trPr>
          <w:trHeight w:val="189"/>
        </w:trPr>
        <w:tc>
          <w:tcPr>
            <w:tcW w:w="2960" w:type="dxa"/>
            <w:vAlign w:val="bottom"/>
          </w:tcPr>
          <w:p>
            <w:pPr>
              <w:spacing w:after="0"/>
              <w:rPr>
                <w:sz w:val="16"/>
                <w:szCs w:val="16"/>
                <w:color w:val="auto"/>
              </w:rPr>
            </w:pPr>
          </w:p>
        </w:tc>
        <w:tc>
          <w:tcPr>
            <w:tcW w:w="1240" w:type="dxa"/>
            <w:vAlign w:val="bottom"/>
            <w:gridSpan w:val="2"/>
          </w:tcPr>
          <w:p>
            <w:pPr>
              <w:jc w:val="right"/>
              <w:ind w:right="360"/>
              <w:spacing w:after="0"/>
              <w:rPr>
                <w:sz w:val="20"/>
                <w:szCs w:val="20"/>
                <w:color w:val="auto"/>
              </w:rPr>
            </w:pPr>
            <w:r>
              <w:rPr>
                <w:rFonts w:ascii="Arial" w:cs="Arial" w:eastAsia="Arial" w:hAnsi="Arial"/>
                <w:sz w:val="16"/>
                <w:szCs w:val="16"/>
                <w:b w:val="1"/>
                <w:bCs w:val="1"/>
                <w:color w:val="auto"/>
              </w:rPr>
              <w:t>Number of</w:t>
            </w:r>
          </w:p>
        </w:tc>
        <w:tc>
          <w:tcPr>
            <w:tcW w:w="140" w:type="dxa"/>
            <w:vAlign w:val="bottom"/>
          </w:tcPr>
          <w:p>
            <w:pPr>
              <w:spacing w:after="0"/>
              <w:rPr>
                <w:sz w:val="16"/>
                <w:szCs w:val="16"/>
                <w:color w:val="auto"/>
              </w:rPr>
            </w:pPr>
          </w:p>
        </w:tc>
        <w:tc>
          <w:tcPr>
            <w:tcW w:w="1100" w:type="dxa"/>
            <w:vAlign w:val="bottom"/>
            <w:gridSpan w:val="2"/>
          </w:tcPr>
          <w:p>
            <w:pPr>
              <w:jc w:val="center"/>
              <w:ind w:right="360"/>
              <w:spacing w:after="0"/>
              <w:rPr>
                <w:sz w:val="20"/>
                <w:szCs w:val="20"/>
                <w:color w:val="auto"/>
              </w:rPr>
            </w:pPr>
            <w:r>
              <w:rPr>
                <w:rFonts w:ascii="Arial" w:cs="Arial" w:eastAsia="Arial" w:hAnsi="Arial"/>
                <w:sz w:val="16"/>
                <w:szCs w:val="16"/>
                <w:b w:val="1"/>
                <w:bCs w:val="1"/>
                <w:color w:val="auto"/>
                <w:w w:val="89"/>
              </w:rPr>
              <w:t>average</w:t>
            </w:r>
          </w:p>
        </w:tc>
        <w:tc>
          <w:tcPr>
            <w:tcW w:w="120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0"/>
              </w:rPr>
              <w:t>contractual</w:t>
            </w:r>
          </w:p>
        </w:tc>
        <w:tc>
          <w:tcPr>
            <w:tcW w:w="1200" w:type="dxa"/>
            <w:vAlign w:val="bottom"/>
            <w:gridSpan w:val="2"/>
          </w:tcPr>
          <w:p>
            <w:pPr>
              <w:jc w:val="right"/>
              <w:ind w:right="320"/>
              <w:spacing w:after="0"/>
              <w:rPr>
                <w:sz w:val="20"/>
                <w:szCs w:val="20"/>
                <w:color w:val="auto"/>
              </w:rPr>
            </w:pPr>
            <w:r>
              <w:rPr>
                <w:rFonts w:ascii="Arial" w:cs="Arial" w:eastAsia="Arial" w:hAnsi="Arial"/>
                <w:sz w:val="16"/>
                <w:szCs w:val="16"/>
                <w:b w:val="1"/>
                <w:bCs w:val="1"/>
                <w:color w:val="auto"/>
              </w:rPr>
              <w:t>Number of</w:t>
            </w:r>
          </w:p>
        </w:tc>
        <w:tc>
          <w:tcPr>
            <w:tcW w:w="120" w:type="dxa"/>
            <w:vAlign w:val="bottom"/>
          </w:tcPr>
          <w:p>
            <w:pPr>
              <w:spacing w:after="0"/>
              <w:rPr>
                <w:sz w:val="16"/>
                <w:szCs w:val="16"/>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5"/>
              </w:rPr>
              <w:t>average</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contractual</w:t>
            </w:r>
          </w:p>
        </w:tc>
      </w:tr>
      <w:tr>
        <w:trPr>
          <w:trHeight w:val="209"/>
        </w:trPr>
        <w:tc>
          <w:tcPr>
            <w:tcW w:w="2960" w:type="dxa"/>
            <w:vAlign w:val="bottom"/>
          </w:tcPr>
          <w:p>
            <w:pPr>
              <w:spacing w:after="0"/>
              <w:rPr>
                <w:sz w:val="18"/>
                <w:szCs w:val="18"/>
                <w:color w:val="auto"/>
              </w:rPr>
            </w:pPr>
          </w:p>
        </w:tc>
        <w:tc>
          <w:tcPr>
            <w:tcW w:w="1240" w:type="dxa"/>
            <w:vAlign w:val="bottom"/>
            <w:gridSpan w:val="2"/>
          </w:tcPr>
          <w:p>
            <w:pPr>
              <w:jc w:val="right"/>
              <w:ind w:right="480"/>
              <w:spacing w:after="0"/>
              <w:rPr>
                <w:sz w:val="20"/>
                <w:szCs w:val="20"/>
                <w:color w:val="auto"/>
              </w:rPr>
            </w:pPr>
            <w:r>
              <w:rPr>
                <w:rFonts w:ascii="Arial" w:cs="Arial" w:eastAsia="Arial" w:hAnsi="Arial"/>
                <w:sz w:val="16"/>
                <w:szCs w:val="16"/>
                <w:b w:val="1"/>
                <w:bCs w:val="1"/>
                <w:color w:val="auto"/>
              </w:rPr>
              <w:t>options</w:t>
            </w:r>
          </w:p>
        </w:tc>
        <w:tc>
          <w:tcPr>
            <w:tcW w:w="1240" w:type="dxa"/>
            <w:vAlign w:val="bottom"/>
            <w:gridSpan w:val="3"/>
          </w:tcPr>
          <w:p>
            <w:pPr>
              <w:jc w:val="center"/>
              <w:ind w:right="220"/>
              <w:spacing w:after="0"/>
              <w:rPr>
                <w:sz w:val="20"/>
                <w:szCs w:val="20"/>
                <w:color w:val="auto"/>
              </w:rPr>
            </w:pPr>
            <w:r>
              <w:rPr>
                <w:rFonts w:ascii="Arial" w:cs="Arial" w:eastAsia="Arial" w:hAnsi="Arial"/>
                <w:sz w:val="16"/>
                <w:szCs w:val="16"/>
                <w:b w:val="1"/>
                <w:bCs w:val="1"/>
                <w:color w:val="auto"/>
                <w:w w:val="84"/>
              </w:rPr>
              <w:t>exercise price</w:t>
            </w:r>
          </w:p>
        </w:tc>
        <w:tc>
          <w:tcPr>
            <w:tcW w:w="120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4"/>
              </w:rPr>
              <w:t>life</w:t>
            </w:r>
          </w:p>
        </w:tc>
        <w:tc>
          <w:tcPr>
            <w:tcW w:w="1200" w:type="dxa"/>
            <w:vAlign w:val="bottom"/>
            <w:gridSpan w:val="2"/>
          </w:tcPr>
          <w:p>
            <w:pPr>
              <w:jc w:val="right"/>
              <w:ind w:right="440"/>
              <w:spacing w:after="0"/>
              <w:rPr>
                <w:sz w:val="20"/>
                <w:szCs w:val="20"/>
                <w:color w:val="auto"/>
              </w:rPr>
            </w:pPr>
            <w:r>
              <w:rPr>
                <w:rFonts w:ascii="Arial" w:cs="Arial" w:eastAsia="Arial" w:hAnsi="Arial"/>
                <w:sz w:val="16"/>
                <w:szCs w:val="16"/>
                <w:b w:val="1"/>
                <w:bCs w:val="1"/>
                <w:color w:val="auto"/>
              </w:rPr>
              <w:t>options</w:t>
            </w:r>
          </w:p>
        </w:tc>
        <w:tc>
          <w:tcPr>
            <w:tcW w:w="1200" w:type="dxa"/>
            <w:vAlign w:val="bottom"/>
            <w:gridSpan w:val="3"/>
          </w:tcPr>
          <w:p>
            <w:pPr>
              <w:jc w:val="center"/>
              <w:ind w:right="200"/>
              <w:spacing w:after="0"/>
              <w:rPr>
                <w:sz w:val="20"/>
                <w:szCs w:val="20"/>
                <w:color w:val="auto"/>
              </w:rPr>
            </w:pPr>
            <w:r>
              <w:rPr>
                <w:rFonts w:ascii="Arial" w:cs="Arial" w:eastAsia="Arial" w:hAnsi="Arial"/>
                <w:sz w:val="16"/>
                <w:szCs w:val="16"/>
                <w:b w:val="1"/>
                <w:bCs w:val="1"/>
                <w:color w:val="auto"/>
                <w:w w:val="86"/>
              </w:rPr>
              <w:t>exercise price</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life</w:t>
            </w:r>
          </w:p>
        </w:tc>
      </w:tr>
      <w:tr>
        <w:trPr>
          <w:trHeight w:val="177"/>
        </w:trPr>
        <w:tc>
          <w:tcPr>
            <w:tcW w:w="2960" w:type="dxa"/>
            <w:vAlign w:val="bottom"/>
            <w:shd w:val="clear" w:color="auto" w:fill="CCEEFF"/>
          </w:tcPr>
          <w:p>
            <w:pPr>
              <w:ind w:left="20"/>
              <w:spacing w:after="0" w:line="177" w:lineRule="exact"/>
              <w:rPr>
                <w:sz w:val="20"/>
                <w:szCs w:val="20"/>
                <w:color w:val="auto"/>
              </w:rPr>
            </w:pPr>
            <w:r>
              <w:rPr>
                <w:rFonts w:ascii="Arial" w:cs="Arial" w:eastAsia="Arial" w:hAnsi="Arial"/>
                <w:sz w:val="16"/>
                <w:szCs w:val="16"/>
                <w:color w:val="auto"/>
                <w:w w:val="95"/>
              </w:rPr>
              <w:t>Options outstanding at the beginning of the</w:t>
            </w:r>
          </w:p>
        </w:tc>
        <w:tc>
          <w:tcPr>
            <w:tcW w:w="102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20" w:type="dxa"/>
            <w:vAlign w:val="bottom"/>
            <w:tcBorders>
              <w:top w:val="single" w:sz="8" w:color="auto"/>
            </w:tcBorders>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200" w:type="dxa"/>
            <w:vAlign w:val="bottom"/>
            <w:tcBorders>
              <w:right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02"/>
        </w:trPr>
        <w:tc>
          <w:tcPr>
            <w:tcW w:w="29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year</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938,090</w:t>
            </w: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4.47</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7.89</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1,031,591</w:t>
            </w:r>
          </w:p>
        </w:tc>
        <w:tc>
          <w:tcPr>
            <w:tcW w:w="20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4.74</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7.25</w:t>
            </w:r>
          </w:p>
        </w:tc>
      </w:tr>
      <w:tr>
        <w:trPr>
          <w:trHeight w:val="189"/>
        </w:trPr>
        <w:tc>
          <w:tcPr>
            <w:tcW w:w="2960" w:type="dxa"/>
            <w:vAlign w:val="bottom"/>
          </w:tcPr>
          <w:p>
            <w:pPr>
              <w:ind w:left="20"/>
              <w:spacing w:after="0"/>
              <w:rPr>
                <w:sz w:val="20"/>
                <w:szCs w:val="20"/>
                <w:color w:val="auto"/>
              </w:rPr>
            </w:pPr>
            <w:r>
              <w:rPr>
                <w:rFonts w:ascii="Arial" w:cs="Arial" w:eastAsia="Arial" w:hAnsi="Arial"/>
                <w:sz w:val="16"/>
                <w:szCs w:val="16"/>
                <w:color w:val="auto"/>
              </w:rPr>
              <w:t>Granted</w:t>
            </w: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95,300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6.24</w:t>
            </w:r>
          </w:p>
        </w:tc>
        <w:tc>
          <w:tcPr>
            <w:tcW w:w="1200" w:type="dxa"/>
            <w:vAlign w:val="bottom"/>
            <w:gridSpan w:val="2"/>
          </w:tcPr>
          <w:p>
            <w:pPr>
              <w:jc w:val="right"/>
              <w:ind w:right="180"/>
              <w:spacing w:after="0"/>
              <w:rPr>
                <w:sz w:val="20"/>
                <w:szCs w:val="20"/>
                <w:color w:val="auto"/>
              </w:rPr>
            </w:pPr>
            <w:r>
              <w:rPr>
                <w:rFonts w:ascii="Arial" w:cs="Arial" w:eastAsia="Arial" w:hAnsi="Arial"/>
                <w:sz w:val="16"/>
                <w:szCs w:val="16"/>
                <w:color w:val="auto"/>
              </w:rPr>
              <w:t>9.17</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18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Exercised</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(28,447)</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5.27</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189"/>
        </w:trPr>
        <w:tc>
          <w:tcPr>
            <w:tcW w:w="2960" w:type="dxa"/>
            <w:vAlign w:val="bottom"/>
          </w:tcPr>
          <w:p>
            <w:pPr>
              <w:ind w:left="20"/>
              <w:spacing w:after="0"/>
              <w:rPr>
                <w:sz w:val="20"/>
                <w:szCs w:val="20"/>
                <w:color w:val="auto"/>
              </w:rPr>
            </w:pPr>
            <w:r>
              <w:rPr>
                <w:rFonts w:ascii="Arial" w:cs="Arial" w:eastAsia="Arial" w:hAnsi="Arial"/>
                <w:sz w:val="16"/>
                <w:szCs w:val="16"/>
                <w:color w:val="auto"/>
              </w:rPr>
              <w:t>Expired</w:t>
            </w: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(563)</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5.57</w:t>
            </w:r>
          </w:p>
        </w:tc>
        <w:tc>
          <w:tcPr>
            <w:tcW w:w="12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18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Forfeited</w:t>
            </w:r>
          </w:p>
        </w:tc>
        <w:tc>
          <w:tcPr>
            <w:tcW w:w="12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(1,238)</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5.57</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(2,250)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7.77</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r>
      <w:tr>
        <w:trPr>
          <w:trHeight w:val="24"/>
        </w:trPr>
        <w:tc>
          <w:tcPr>
            <w:tcW w:w="2960" w:type="dxa"/>
            <w:vAlign w:val="bottom"/>
            <w:shd w:val="clear" w:color="auto" w:fill="CCEEFF"/>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200" w:type="dxa"/>
            <w:vAlign w:val="bottom"/>
            <w:tcBorders>
              <w:right w:val="single" w:sz="8" w:color="CCEEFF"/>
            </w:tcBorders>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189"/>
        </w:trPr>
        <w:tc>
          <w:tcPr>
            <w:tcW w:w="2960" w:type="dxa"/>
            <w:vAlign w:val="bottom"/>
          </w:tcPr>
          <w:p>
            <w:pPr>
              <w:ind w:left="20"/>
              <w:spacing w:after="0"/>
              <w:rPr>
                <w:sz w:val="20"/>
                <w:szCs w:val="20"/>
                <w:color w:val="auto"/>
              </w:rPr>
            </w:pPr>
            <w:r>
              <w:rPr>
                <w:rFonts w:ascii="Arial" w:cs="Arial" w:eastAsia="Arial" w:hAnsi="Arial"/>
                <w:sz w:val="16"/>
                <w:szCs w:val="16"/>
                <w:color w:val="auto"/>
                <w:w w:val="97"/>
              </w:rPr>
              <w:t>Options outstanding at the end of the year</w:t>
            </w:r>
          </w:p>
        </w:tc>
        <w:tc>
          <w:tcPr>
            <w:tcW w:w="1020" w:type="dxa"/>
            <w:vAlign w:val="bottom"/>
          </w:tcPr>
          <w:p>
            <w:pPr>
              <w:jc w:val="right"/>
              <w:spacing w:after="0"/>
              <w:rPr>
                <w:sz w:val="20"/>
                <w:szCs w:val="20"/>
                <w:color w:val="auto"/>
              </w:rPr>
            </w:pPr>
            <w:r>
              <w:rPr>
                <w:rFonts w:ascii="Arial" w:cs="Arial" w:eastAsia="Arial" w:hAnsi="Arial"/>
                <w:sz w:val="16"/>
                <w:szCs w:val="16"/>
                <w:color w:val="auto"/>
              </w:rPr>
              <w:t>1,031,591</w:t>
            </w:r>
          </w:p>
        </w:tc>
        <w:tc>
          <w:tcPr>
            <w:tcW w:w="2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4.74</w:t>
            </w:r>
          </w:p>
        </w:tc>
        <w:tc>
          <w:tcPr>
            <w:tcW w:w="1200" w:type="dxa"/>
            <w:vAlign w:val="bottom"/>
            <w:gridSpan w:val="2"/>
          </w:tcPr>
          <w:p>
            <w:pPr>
              <w:jc w:val="right"/>
              <w:ind w:right="180"/>
              <w:spacing w:after="0"/>
              <w:rPr>
                <w:sz w:val="20"/>
                <w:szCs w:val="20"/>
                <w:color w:val="auto"/>
              </w:rPr>
            </w:pPr>
            <w:r>
              <w:rPr>
                <w:rFonts w:ascii="Arial" w:cs="Arial" w:eastAsia="Arial" w:hAnsi="Arial"/>
                <w:sz w:val="16"/>
                <w:szCs w:val="16"/>
                <w:color w:val="auto"/>
              </w:rPr>
              <w:t>7.25</w:t>
            </w:r>
          </w:p>
        </w:tc>
        <w:tc>
          <w:tcPr>
            <w:tcW w:w="1000" w:type="dxa"/>
            <w:vAlign w:val="bottom"/>
          </w:tcPr>
          <w:p>
            <w:pPr>
              <w:jc w:val="right"/>
              <w:spacing w:after="0"/>
              <w:rPr>
                <w:sz w:val="20"/>
                <w:szCs w:val="20"/>
                <w:color w:val="auto"/>
              </w:rPr>
            </w:pPr>
            <w:r>
              <w:rPr>
                <w:rFonts w:ascii="Arial" w:cs="Arial" w:eastAsia="Arial" w:hAnsi="Arial"/>
                <w:sz w:val="16"/>
                <w:szCs w:val="16"/>
                <w:color w:val="auto"/>
              </w:rPr>
              <w:t>1,000,894</w:t>
            </w:r>
          </w:p>
        </w:tc>
        <w:tc>
          <w:tcPr>
            <w:tcW w:w="2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4.63</w:t>
            </w:r>
          </w:p>
        </w:tc>
        <w:tc>
          <w:tcPr>
            <w:tcW w:w="1100" w:type="dxa"/>
            <w:vAlign w:val="bottom"/>
            <w:gridSpan w:val="2"/>
          </w:tcPr>
          <w:p>
            <w:pPr>
              <w:jc w:val="right"/>
              <w:ind w:right="100"/>
              <w:spacing w:after="0"/>
              <w:rPr>
                <w:sz w:val="20"/>
                <w:szCs w:val="20"/>
                <w:color w:val="auto"/>
              </w:rPr>
            </w:pPr>
            <w:r>
              <w:rPr>
                <w:rFonts w:ascii="Arial" w:cs="Arial" w:eastAsia="Arial" w:hAnsi="Arial"/>
                <w:sz w:val="16"/>
                <w:szCs w:val="16"/>
                <w:color w:val="auto"/>
              </w:rPr>
              <w:t>6.05</w:t>
            </w:r>
          </w:p>
        </w:tc>
      </w:tr>
      <w:tr>
        <w:trPr>
          <w:trHeight w:val="20"/>
        </w:trPr>
        <w:tc>
          <w:tcPr>
            <w:tcW w:w="296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7"/>
        </w:trPr>
        <w:tc>
          <w:tcPr>
            <w:tcW w:w="2960" w:type="dxa"/>
            <w:vAlign w:val="bottom"/>
            <w:tcBorders>
              <w:bottom w:val="single" w:sz="8" w:color="CCEEFF"/>
            </w:tcBorders>
            <w:shd w:val="clear" w:color="auto" w:fill="CCEEFF"/>
          </w:tcPr>
          <w:p>
            <w:pPr>
              <w:ind w:left="20"/>
              <w:spacing w:after="0" w:line="177" w:lineRule="exact"/>
              <w:rPr>
                <w:sz w:val="20"/>
                <w:szCs w:val="20"/>
                <w:color w:val="auto"/>
              </w:rPr>
            </w:pPr>
            <w:r>
              <w:rPr>
                <w:rFonts w:ascii="Arial" w:cs="Arial" w:eastAsia="Arial" w:hAnsi="Arial"/>
                <w:sz w:val="16"/>
                <w:szCs w:val="16"/>
                <w:color w:val="auto"/>
                <w:w w:val="98"/>
              </w:rPr>
              <w:t>Options exercisable at the end of the year</w:t>
            </w:r>
          </w:p>
        </w:tc>
        <w:tc>
          <w:tcPr>
            <w:tcW w:w="102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6"/>
                <w:szCs w:val="16"/>
                <w:color w:val="auto"/>
              </w:rPr>
              <w:t>683,979</w:t>
            </w:r>
          </w:p>
        </w:tc>
        <w:tc>
          <w:tcPr>
            <w:tcW w:w="2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6"/>
                <w:szCs w:val="16"/>
                <w:color w:val="auto"/>
              </w:rPr>
              <w:t>3.60</w:t>
            </w:r>
          </w:p>
        </w:tc>
        <w:tc>
          <w:tcPr>
            <w:tcW w:w="22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6"/>
                <w:szCs w:val="16"/>
                <w:color w:val="auto"/>
              </w:rPr>
              <w:t>6.56</w:t>
            </w:r>
          </w:p>
        </w:tc>
        <w:tc>
          <w:tcPr>
            <w:tcW w:w="18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6"/>
                <w:szCs w:val="16"/>
                <w:color w:val="auto"/>
              </w:rPr>
              <w:t>900,687</w:t>
            </w:r>
          </w:p>
        </w:tc>
        <w:tc>
          <w:tcPr>
            <w:tcW w:w="200" w:type="dxa"/>
            <w:vAlign w:val="bottom"/>
            <w:tcBorders>
              <w:bottom w:val="single" w:sz="8" w:color="CCEEFF"/>
              <w:right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6"/>
                <w:szCs w:val="16"/>
                <w:color w:val="auto"/>
              </w:rPr>
              <w:t>4.08</w:t>
            </w:r>
          </w:p>
        </w:tc>
        <w:tc>
          <w:tcPr>
            <w:tcW w:w="20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6"/>
                <w:szCs w:val="16"/>
                <w:color w:val="auto"/>
              </w:rPr>
              <w:t>5.67</w:t>
            </w:r>
          </w:p>
        </w:tc>
        <w:tc>
          <w:tcPr>
            <w:tcW w:w="100" w:type="dxa"/>
            <w:vAlign w:val="bottom"/>
            <w:tcBorders>
              <w:bottom w:val="single" w:sz="8" w:color="CCEEFF"/>
            </w:tcBorders>
            <w:shd w:val="clear" w:color="auto" w:fill="CCEEFF"/>
          </w:tcPr>
          <w:p>
            <w:pPr>
              <w:spacing w:after="0"/>
              <w:rPr>
                <w:sz w:val="18"/>
                <w:szCs w:val="18"/>
                <w:color w:val="auto"/>
              </w:rPr>
            </w:pPr>
          </w:p>
        </w:tc>
      </w:tr>
    </w:tbl>
    <w:p>
      <w:pPr>
        <w:spacing w:after="0" w:line="224" w:lineRule="exact"/>
        <w:rPr>
          <w:sz w:val="20"/>
          <w:szCs w:val="20"/>
          <w:color w:val="auto"/>
        </w:rPr>
      </w:pPr>
    </w:p>
    <w:p>
      <w:pPr>
        <w:ind w:left="840"/>
        <w:spacing w:after="0"/>
        <w:tabs>
          <w:tab w:leader="none" w:pos="1120" w:val="left"/>
        </w:tabs>
        <w:rPr>
          <w:sz w:val="20"/>
          <w:szCs w:val="20"/>
          <w:color w:val="auto"/>
        </w:rPr>
      </w:pPr>
      <w:r>
        <w:rPr>
          <w:rFonts w:ascii="Arial" w:cs="Arial" w:eastAsia="Arial" w:hAnsi="Arial"/>
          <w:sz w:val="16"/>
          <w:szCs w:val="16"/>
          <w:color w:val="auto"/>
        </w:rPr>
        <w:t>b.</w:t>
        <w:tab/>
        <w:t>Option granted to non-employees</w:t>
      </w:r>
    </w:p>
    <w:p>
      <w:pPr>
        <w:spacing w:after="0" w:line="247" w:lineRule="exact"/>
        <w:rPr>
          <w:sz w:val="20"/>
          <w:szCs w:val="20"/>
          <w:color w:val="auto"/>
        </w:rPr>
      </w:pPr>
    </w:p>
    <w:p>
      <w:pPr>
        <w:jc w:val="both"/>
        <w:ind w:left="1140" w:right="80"/>
        <w:spacing w:after="0" w:line="284" w:lineRule="auto"/>
        <w:rPr>
          <w:sz w:val="20"/>
          <w:szCs w:val="20"/>
          <w:color w:val="auto"/>
        </w:rPr>
      </w:pPr>
      <w:r>
        <w:rPr>
          <w:rFonts w:ascii="Arial" w:cs="Arial" w:eastAsia="Arial" w:hAnsi="Arial"/>
          <w:sz w:val="19"/>
          <w:szCs w:val="19"/>
          <w:color w:val="auto"/>
        </w:rPr>
        <w:t>In March 2018, the Company granted a total of 76,895 options to several consultants to purchase ordinary shares at an exercise price of $11.21 per share.</w:t>
      </w:r>
    </w:p>
    <w:p>
      <w:pPr>
        <w:spacing w:after="0" w:line="193" w:lineRule="exact"/>
        <w:rPr>
          <w:sz w:val="20"/>
          <w:szCs w:val="20"/>
          <w:color w:val="auto"/>
        </w:rPr>
      </w:pPr>
    </w:p>
    <w:p>
      <w:pPr>
        <w:ind w:left="1140" w:right="20"/>
        <w:spacing w:after="0" w:line="271" w:lineRule="auto"/>
        <w:rPr>
          <w:sz w:val="20"/>
          <w:szCs w:val="20"/>
          <w:color w:val="auto"/>
        </w:rPr>
      </w:pPr>
      <w:r>
        <w:rPr>
          <w:rFonts w:ascii="Arial" w:cs="Arial" w:eastAsia="Arial" w:hAnsi="Arial"/>
          <w:sz w:val="19"/>
          <w:szCs w:val="19"/>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206" w:lineRule="exact"/>
        <w:rPr>
          <w:sz w:val="20"/>
          <w:szCs w:val="20"/>
          <w:color w:val="auto"/>
        </w:rPr>
      </w:pPr>
    </w:p>
    <w:p>
      <w:pPr>
        <w:ind w:left="1140" w:right="200"/>
        <w:spacing w:after="0" w:line="284" w:lineRule="auto"/>
        <w:rPr>
          <w:sz w:val="20"/>
          <w:szCs w:val="20"/>
          <w:color w:val="auto"/>
        </w:rPr>
      </w:pPr>
      <w:r>
        <w:rPr>
          <w:rFonts w:ascii="Arial" w:cs="Arial" w:eastAsia="Arial" w:hAnsi="Arial"/>
          <w:sz w:val="19"/>
          <w:szCs w:val="19"/>
          <w:color w:val="auto"/>
        </w:rPr>
        <w:t>The fair value of options granted to non-employees in 2018 was $648. The underlying data used for computing the fair value of the options are as follows:</w:t>
      </w:r>
    </w:p>
    <w:p>
      <w:pPr>
        <w:spacing w:after="0" w:line="183" w:lineRule="exact"/>
        <w:rPr>
          <w:sz w:val="20"/>
          <w:szCs w:val="20"/>
          <w:color w:val="auto"/>
        </w:rPr>
      </w:pPr>
    </w:p>
    <w:tbl>
      <w:tblPr>
        <w:tblLayout w:type="fixed"/>
        <w:tblInd w:w="112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6620" w:type="dxa"/>
            <w:vAlign w:val="bottom"/>
          </w:tcPr>
          <w:p>
            <w:pPr>
              <w:spacing w:after="0"/>
              <w:rPr>
                <w:sz w:val="18"/>
                <w:szCs w:val="18"/>
                <w:color w:val="auto"/>
              </w:rPr>
            </w:pPr>
          </w:p>
        </w:tc>
        <w:tc>
          <w:tcPr>
            <w:tcW w:w="22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4"/>
              </w:rPr>
              <w:t>2018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6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Value of one ordinary share</w:t>
            </w:r>
          </w:p>
        </w:tc>
        <w:tc>
          <w:tcPr>
            <w:tcW w:w="22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6"/>
              </w:rPr>
              <w:t>$ 10.40</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6620" w:type="dxa"/>
            <w:vAlign w:val="bottom"/>
          </w:tcPr>
          <w:p>
            <w:pPr>
              <w:spacing w:after="0" w:line="177" w:lineRule="exact"/>
              <w:rPr>
                <w:sz w:val="20"/>
                <w:szCs w:val="20"/>
                <w:color w:val="auto"/>
              </w:rPr>
            </w:pPr>
            <w:r>
              <w:rPr>
                <w:rFonts w:ascii="Arial" w:cs="Arial" w:eastAsia="Arial" w:hAnsi="Arial"/>
                <w:sz w:val="16"/>
                <w:szCs w:val="16"/>
                <w:color w:val="auto"/>
              </w:rPr>
              <w:t>Dividend yield</w:t>
            </w:r>
          </w:p>
        </w:tc>
        <w:tc>
          <w:tcPr>
            <w:tcW w:w="2240" w:type="dxa"/>
            <w:vAlign w:val="bottom"/>
            <w:tcBorders>
              <w:bottom w:val="single" w:sz="8" w:color="auto"/>
            </w:tcBorders>
          </w:tcPr>
          <w:p>
            <w:pPr>
              <w:jc w:val="center"/>
              <w:spacing w:after="0" w:line="177" w:lineRule="exact"/>
              <w:rPr>
                <w:sz w:val="20"/>
                <w:szCs w:val="20"/>
                <w:color w:val="auto"/>
              </w:rPr>
            </w:pPr>
            <w:r>
              <w:rPr>
                <w:rFonts w:ascii="Arial" w:cs="Arial" w:eastAsia="Arial" w:hAnsi="Arial"/>
                <w:sz w:val="16"/>
                <w:szCs w:val="16"/>
                <w:color w:val="auto"/>
                <w:w w:val="94"/>
              </w:rPr>
              <w:t>0%</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c>
          <w:tcPr>
            <w:tcW w:w="2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vMerge w:val="continue"/>
          </w:tcPr>
          <w:p>
            <w:pPr>
              <w:spacing w:after="0"/>
              <w:rPr>
                <w:sz w:val="18"/>
                <w:szCs w:val="18"/>
                <w:color w:val="auto"/>
              </w:rPr>
            </w:pPr>
          </w:p>
        </w:tc>
        <w:tc>
          <w:tcPr>
            <w:tcW w:w="6620" w:type="dxa"/>
            <w:vAlign w:val="bottom"/>
            <w:tcBorders>
              <w:bottom w:val="single" w:sz="8" w:color="CCEEFF"/>
            </w:tcBorders>
            <w:shd w:val="clear" w:color="auto" w:fill="CCEEFF"/>
          </w:tcPr>
          <w:p>
            <w:pPr>
              <w:spacing w:after="0" w:line="177" w:lineRule="exact"/>
              <w:rPr>
                <w:sz w:val="20"/>
                <w:szCs w:val="20"/>
                <w:color w:val="auto"/>
              </w:rPr>
            </w:pPr>
            <w:r>
              <w:rPr>
                <w:rFonts w:ascii="Arial" w:cs="Arial" w:eastAsia="Arial" w:hAnsi="Arial"/>
                <w:sz w:val="16"/>
                <w:szCs w:val="16"/>
                <w:color w:val="auto"/>
              </w:rPr>
              <w:t>Expected volatility</w:t>
            </w:r>
          </w:p>
        </w:tc>
        <w:tc>
          <w:tcPr>
            <w:tcW w:w="2240" w:type="dxa"/>
            <w:vAlign w:val="bottom"/>
            <w:tcBorders>
              <w:bottom w:val="single" w:sz="8" w:color="auto"/>
            </w:tcBorders>
            <w:shd w:val="clear" w:color="auto" w:fill="CCEEFF"/>
          </w:tcPr>
          <w:p>
            <w:pPr>
              <w:jc w:val="center"/>
              <w:spacing w:after="0" w:line="177" w:lineRule="exact"/>
              <w:rPr>
                <w:sz w:val="20"/>
                <w:szCs w:val="20"/>
                <w:color w:val="auto"/>
              </w:rPr>
            </w:pPr>
            <w:r>
              <w:rPr>
                <w:rFonts w:ascii="Arial" w:cs="Arial" w:eastAsia="Arial" w:hAnsi="Arial"/>
                <w:sz w:val="16"/>
                <w:szCs w:val="16"/>
                <w:color w:val="auto"/>
                <w:w w:val="92"/>
              </w:rPr>
              <w:t>79.07%</w:t>
            </w:r>
          </w:p>
        </w:tc>
        <w:tc>
          <w:tcPr>
            <w:tcW w:w="12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6620" w:type="dxa"/>
            <w:vAlign w:val="bottom"/>
          </w:tcPr>
          <w:p>
            <w:pPr>
              <w:spacing w:after="0" w:line="177" w:lineRule="exact"/>
              <w:rPr>
                <w:sz w:val="20"/>
                <w:szCs w:val="20"/>
                <w:color w:val="auto"/>
              </w:rPr>
            </w:pPr>
            <w:r>
              <w:rPr>
                <w:rFonts w:ascii="Arial" w:cs="Arial" w:eastAsia="Arial" w:hAnsi="Arial"/>
                <w:sz w:val="16"/>
                <w:szCs w:val="16"/>
                <w:color w:val="auto"/>
              </w:rPr>
              <w:t>Risk-free interest rate</w:t>
            </w:r>
          </w:p>
        </w:tc>
        <w:tc>
          <w:tcPr>
            <w:tcW w:w="2240" w:type="dxa"/>
            <w:vAlign w:val="bottom"/>
            <w:tcBorders>
              <w:bottom w:val="single" w:sz="8" w:color="auto"/>
            </w:tcBorders>
          </w:tcPr>
          <w:p>
            <w:pPr>
              <w:jc w:val="center"/>
              <w:spacing w:after="0" w:line="177" w:lineRule="exact"/>
              <w:rPr>
                <w:sz w:val="20"/>
                <w:szCs w:val="20"/>
                <w:color w:val="auto"/>
              </w:rPr>
            </w:pPr>
            <w:r>
              <w:rPr>
                <w:rFonts w:ascii="Arial" w:cs="Arial" w:eastAsia="Arial" w:hAnsi="Arial"/>
                <w:sz w:val="16"/>
                <w:szCs w:val="16"/>
                <w:color w:val="auto"/>
                <w:w w:val="92"/>
              </w:rPr>
              <w:t>2.86%</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620" w:type="dxa"/>
            <w:vAlign w:val="bottom"/>
          </w:tcPr>
          <w:p>
            <w:pPr>
              <w:spacing w:after="0" w:line="20" w:lineRule="exact"/>
              <w:rPr>
                <w:sz w:val="1"/>
                <w:szCs w:val="1"/>
                <w:color w:val="auto"/>
              </w:rPr>
            </w:pPr>
          </w:p>
        </w:tc>
        <w:tc>
          <w:tcPr>
            <w:tcW w:w="2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20" w:type="dxa"/>
            <w:vAlign w:val="bottom"/>
            <w:vMerge w:val="continue"/>
          </w:tcPr>
          <w:p>
            <w:pPr>
              <w:spacing w:after="0"/>
              <w:rPr>
                <w:sz w:val="18"/>
                <w:szCs w:val="18"/>
                <w:color w:val="auto"/>
              </w:rPr>
            </w:pPr>
          </w:p>
        </w:tc>
        <w:tc>
          <w:tcPr>
            <w:tcW w:w="6620" w:type="dxa"/>
            <w:vAlign w:val="bottom"/>
            <w:tcBorders>
              <w:bottom w:val="single" w:sz="8" w:color="CCEEFF"/>
            </w:tcBorders>
            <w:shd w:val="clear" w:color="auto" w:fill="CCEEFF"/>
          </w:tcPr>
          <w:p>
            <w:pPr>
              <w:spacing w:after="0" w:line="177" w:lineRule="exact"/>
              <w:rPr>
                <w:sz w:val="20"/>
                <w:szCs w:val="20"/>
                <w:color w:val="auto"/>
              </w:rPr>
            </w:pPr>
            <w:r>
              <w:rPr>
                <w:rFonts w:ascii="Arial" w:cs="Arial" w:eastAsia="Arial" w:hAnsi="Arial"/>
                <w:sz w:val="16"/>
                <w:szCs w:val="16"/>
                <w:color w:val="auto"/>
              </w:rPr>
              <w:t>Expected term</w:t>
            </w:r>
          </w:p>
        </w:tc>
        <w:tc>
          <w:tcPr>
            <w:tcW w:w="2240" w:type="dxa"/>
            <w:vAlign w:val="bottom"/>
            <w:tcBorders>
              <w:bottom w:val="single" w:sz="8" w:color="auto"/>
            </w:tcBorders>
            <w:shd w:val="clear" w:color="auto" w:fill="CCEEFF"/>
          </w:tcPr>
          <w:p>
            <w:pPr>
              <w:ind w:left="840"/>
              <w:spacing w:after="0" w:line="177" w:lineRule="exact"/>
              <w:rPr>
                <w:sz w:val="20"/>
                <w:szCs w:val="20"/>
                <w:color w:val="auto"/>
              </w:rPr>
            </w:pPr>
            <w:r>
              <w:rPr>
                <w:rFonts w:ascii="Arial" w:cs="Arial" w:eastAsia="Arial" w:hAnsi="Arial"/>
                <w:sz w:val="16"/>
                <w:szCs w:val="16"/>
                <w:color w:val="auto"/>
              </w:rPr>
              <w:t>10 years</w:t>
            </w:r>
          </w:p>
        </w:tc>
        <w:tc>
          <w:tcPr>
            <w:tcW w:w="12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1140" w:right="800"/>
        <w:spacing w:after="0" w:line="284" w:lineRule="auto"/>
        <w:rPr>
          <w:sz w:val="20"/>
          <w:szCs w:val="20"/>
          <w:color w:val="auto"/>
        </w:rPr>
      </w:pPr>
      <w:r>
        <w:rPr>
          <w:rFonts w:ascii="Arial" w:cs="Arial" w:eastAsia="Arial" w:hAnsi="Arial"/>
          <w:sz w:val="19"/>
          <w:szCs w:val="19"/>
          <w:color w:val="auto"/>
        </w:rPr>
        <w:t>The total unrecognized compensation cost of non-employees' options at December 31, 2020 is $25, which is expected to be recognized over a period of 1.23 years.</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73" w:name="page174"/>
    <w:bookmarkEnd w:id="173"/>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NOTE 8 — SHARE CAPITAL </w:t>
      </w:r>
      <w:r>
        <w:rPr>
          <w:rFonts w:ascii="Arial" w:cs="Arial" w:eastAsia="Arial" w:hAnsi="Arial"/>
          <w:sz w:val="19"/>
          <w:szCs w:val="19"/>
          <w:color w:val="auto"/>
        </w:rPr>
        <w:t>(continued)</w:t>
      </w:r>
    </w:p>
    <w:p>
      <w:pPr>
        <w:spacing w:after="0" w:line="261" w:lineRule="exact"/>
        <w:rPr>
          <w:sz w:val="20"/>
          <w:szCs w:val="20"/>
          <w:color w:val="auto"/>
        </w:rPr>
      </w:pPr>
    </w:p>
    <w:p>
      <w:pPr>
        <w:ind w:left="1120" w:right="300"/>
        <w:spacing w:after="0" w:line="284" w:lineRule="auto"/>
        <w:rPr>
          <w:sz w:val="20"/>
          <w:szCs w:val="20"/>
          <w:color w:val="auto"/>
        </w:rPr>
      </w:pPr>
      <w:r>
        <w:rPr>
          <w:rFonts w:ascii="Arial" w:cs="Arial" w:eastAsia="Arial" w:hAnsi="Arial"/>
          <w:sz w:val="19"/>
          <w:szCs w:val="19"/>
          <w:color w:val="auto"/>
        </w:rPr>
        <w:t>The following table summarizes the number of options granted to non-employees under the Plan for the year ended December 31, 2019 and 2020, and related information:</w:t>
      </w:r>
    </w:p>
    <w:p>
      <w:pPr>
        <w:spacing w:after="0" w:line="183" w:lineRule="exact"/>
        <w:rPr>
          <w:sz w:val="20"/>
          <w:szCs w:val="20"/>
          <w:color w:val="auto"/>
        </w:rPr>
      </w:pPr>
    </w:p>
    <w:tbl>
      <w:tblPr>
        <w:tblLayout w:type="fixed"/>
        <w:tblInd w:w="1120" w:type="dxa"/>
        <w:tblCellMar>
          <w:top w:w="0" w:type="dxa"/>
          <w:left w:w="0" w:type="dxa"/>
          <w:bottom w:w="0" w:type="dxa"/>
          <w:right w:w="0" w:type="dxa"/>
        </w:tblCellMar>
      </w:tblPr>
      <w:tr>
        <w:trPr>
          <w:trHeight w:val="209"/>
        </w:trPr>
        <w:tc>
          <w:tcPr>
            <w:tcW w:w="2960" w:type="dxa"/>
            <w:vAlign w:val="bottom"/>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2200" w:type="dxa"/>
            <w:vAlign w:val="bottom"/>
            <w:tcBorders>
              <w:bottom w:val="single" w:sz="8" w:color="auto"/>
            </w:tcBorders>
            <w:gridSpan w:val="3"/>
          </w:tcPr>
          <w:p>
            <w:pPr>
              <w:jc w:val="right"/>
              <w:ind w:right="221"/>
              <w:spacing w:after="0"/>
              <w:rPr>
                <w:sz w:val="20"/>
                <w:szCs w:val="20"/>
                <w:color w:val="auto"/>
              </w:rPr>
            </w:pPr>
            <w:r>
              <w:rPr>
                <w:rFonts w:ascii="Arial" w:cs="Arial" w:eastAsia="Arial" w:hAnsi="Arial"/>
                <w:sz w:val="16"/>
                <w:szCs w:val="16"/>
                <w:b w:val="1"/>
                <w:bCs w:val="1"/>
                <w:color w:val="auto"/>
                <w:w w:val="98"/>
              </w:rPr>
              <w:t>Year ended December 31</w:t>
            </w:r>
          </w:p>
        </w:tc>
        <w:tc>
          <w:tcPr>
            <w:tcW w:w="2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93"/>
        </w:trPr>
        <w:tc>
          <w:tcPr>
            <w:tcW w:w="296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81"/>
              <w:spacing w:after="0"/>
              <w:rPr>
                <w:sz w:val="20"/>
                <w:szCs w:val="20"/>
                <w:color w:val="auto"/>
              </w:rPr>
            </w:pPr>
            <w:r>
              <w:rPr>
                <w:rFonts w:ascii="Arial" w:cs="Arial" w:eastAsia="Arial" w:hAnsi="Arial"/>
                <w:sz w:val="16"/>
                <w:szCs w:val="16"/>
                <w:b w:val="1"/>
                <w:bCs w:val="1"/>
                <w:color w:val="auto"/>
                <w:w w:val="89"/>
              </w:rPr>
              <w:t>2019</w:t>
            </w: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41"/>
              <w:spacing w:after="0"/>
              <w:rPr>
                <w:sz w:val="20"/>
                <w:szCs w:val="20"/>
                <w:color w:val="auto"/>
              </w:rPr>
            </w:pPr>
            <w:r>
              <w:rPr>
                <w:rFonts w:ascii="Arial" w:cs="Arial" w:eastAsia="Arial" w:hAnsi="Arial"/>
                <w:sz w:val="16"/>
                <w:szCs w:val="16"/>
                <w:b w:val="1"/>
                <w:bCs w:val="1"/>
                <w:color w:val="auto"/>
                <w:w w:val="89"/>
              </w:rPr>
              <w:t>2020</w:t>
            </w:r>
          </w:p>
        </w:tc>
        <w:tc>
          <w:tcPr>
            <w:tcW w:w="2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73"/>
        </w:trPr>
        <w:tc>
          <w:tcPr>
            <w:tcW w:w="29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20" w:type="dxa"/>
            <w:vAlign w:val="bottom"/>
          </w:tcPr>
          <w:p>
            <w:pPr>
              <w:jc w:val="center"/>
              <w:spacing w:after="0" w:line="173" w:lineRule="exact"/>
              <w:rPr>
                <w:sz w:val="20"/>
                <w:szCs w:val="20"/>
                <w:color w:val="auto"/>
              </w:rPr>
            </w:pPr>
            <w:r>
              <w:rPr>
                <w:rFonts w:ascii="Arial" w:cs="Arial" w:eastAsia="Arial" w:hAnsi="Arial"/>
                <w:sz w:val="16"/>
                <w:szCs w:val="16"/>
                <w:b w:val="1"/>
                <w:bCs w:val="1"/>
                <w:color w:val="auto"/>
                <w:w w:val="88"/>
              </w:rPr>
              <w:t>Weighted</w:t>
            </w:r>
          </w:p>
        </w:tc>
        <w:tc>
          <w:tcPr>
            <w:tcW w:w="1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0" w:type="dxa"/>
            <w:vAlign w:val="bottom"/>
          </w:tcPr>
          <w:p>
            <w:pPr>
              <w:jc w:val="center"/>
              <w:spacing w:after="0" w:line="173" w:lineRule="exact"/>
              <w:rPr>
                <w:sz w:val="20"/>
                <w:szCs w:val="20"/>
                <w:color w:val="auto"/>
              </w:rPr>
            </w:pPr>
            <w:r>
              <w:rPr>
                <w:rFonts w:ascii="Arial" w:cs="Arial" w:eastAsia="Arial" w:hAnsi="Arial"/>
                <w:sz w:val="16"/>
                <w:szCs w:val="16"/>
                <w:b w:val="1"/>
                <w:bCs w:val="1"/>
                <w:color w:val="auto"/>
                <w:w w:val="88"/>
              </w:rPr>
              <w:t>Weighted</w:t>
            </w:r>
          </w:p>
        </w:tc>
        <w:tc>
          <w:tcPr>
            <w:tcW w:w="100" w:type="dxa"/>
            <w:vAlign w:val="bottom"/>
          </w:tcPr>
          <w:p>
            <w:pPr>
              <w:spacing w:after="0"/>
              <w:rPr>
                <w:sz w:val="15"/>
                <w:szCs w:val="15"/>
                <w:color w:val="auto"/>
              </w:rPr>
            </w:pPr>
          </w:p>
        </w:tc>
      </w:tr>
      <w:tr>
        <w:trPr>
          <w:trHeight w:val="189"/>
        </w:trPr>
        <w:tc>
          <w:tcPr>
            <w:tcW w:w="29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gridSpan w:val="2"/>
          </w:tcPr>
          <w:p>
            <w:pPr>
              <w:jc w:val="center"/>
              <w:ind w:right="200"/>
              <w:spacing w:after="0"/>
              <w:rPr>
                <w:sz w:val="20"/>
                <w:szCs w:val="20"/>
                <w:color w:val="auto"/>
              </w:rPr>
            </w:pPr>
            <w:r>
              <w:rPr>
                <w:rFonts w:ascii="Arial" w:cs="Arial" w:eastAsia="Arial" w:hAnsi="Arial"/>
                <w:sz w:val="16"/>
                <w:szCs w:val="16"/>
                <w:b w:val="1"/>
                <w:bCs w:val="1"/>
                <w:color w:val="auto"/>
                <w:w w:val="85"/>
              </w:rPr>
              <w:t>average</w:t>
            </w:r>
          </w:p>
        </w:tc>
        <w:tc>
          <w:tcPr>
            <w:tcW w:w="10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5"/>
              </w:rPr>
              <w:t>average</w:t>
            </w:r>
          </w:p>
        </w:tc>
      </w:tr>
      <w:tr>
        <w:trPr>
          <w:trHeight w:val="189"/>
        </w:trPr>
        <w:tc>
          <w:tcPr>
            <w:tcW w:w="296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88"/>
              </w:rPr>
              <w:t>Weighted</w:t>
            </w:r>
          </w:p>
        </w:tc>
        <w:tc>
          <w:tcPr>
            <w:tcW w:w="120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1"/>
              </w:rPr>
              <w:t>remaining</w:t>
            </w:r>
          </w:p>
        </w:tc>
        <w:tc>
          <w:tcPr>
            <w:tcW w:w="10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Weighted</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remaining</w:t>
            </w:r>
          </w:p>
        </w:tc>
      </w:tr>
      <w:tr>
        <w:trPr>
          <w:trHeight w:val="189"/>
        </w:trPr>
        <w:tc>
          <w:tcPr>
            <w:tcW w:w="2960" w:type="dxa"/>
            <w:vAlign w:val="bottom"/>
          </w:tcPr>
          <w:p>
            <w:pPr>
              <w:spacing w:after="0"/>
              <w:rPr>
                <w:sz w:val="16"/>
                <w:szCs w:val="16"/>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92"/>
              </w:rPr>
              <w:t>Number of</w:t>
            </w:r>
          </w:p>
        </w:tc>
        <w:tc>
          <w:tcPr>
            <w:tcW w:w="140" w:type="dxa"/>
            <w:vAlign w:val="bottom"/>
          </w:tcPr>
          <w:p>
            <w:pPr>
              <w:spacing w:after="0"/>
              <w:rPr>
                <w:sz w:val="16"/>
                <w:szCs w:val="16"/>
                <w:color w:val="auto"/>
              </w:rPr>
            </w:pPr>
          </w:p>
        </w:tc>
        <w:tc>
          <w:tcPr>
            <w:tcW w:w="1100" w:type="dxa"/>
            <w:vAlign w:val="bottom"/>
            <w:gridSpan w:val="2"/>
          </w:tcPr>
          <w:p>
            <w:pPr>
              <w:jc w:val="center"/>
              <w:ind w:right="360"/>
              <w:spacing w:after="0"/>
              <w:rPr>
                <w:sz w:val="20"/>
                <w:szCs w:val="20"/>
                <w:color w:val="auto"/>
              </w:rPr>
            </w:pPr>
            <w:r>
              <w:rPr>
                <w:rFonts w:ascii="Arial" w:cs="Arial" w:eastAsia="Arial" w:hAnsi="Arial"/>
                <w:sz w:val="16"/>
                <w:szCs w:val="16"/>
                <w:b w:val="1"/>
                <w:bCs w:val="1"/>
                <w:color w:val="auto"/>
                <w:w w:val="89"/>
              </w:rPr>
              <w:t>average</w:t>
            </w:r>
          </w:p>
        </w:tc>
        <w:tc>
          <w:tcPr>
            <w:tcW w:w="120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0"/>
              </w:rPr>
              <w:t>contractual</w:t>
            </w:r>
          </w:p>
        </w:tc>
        <w:tc>
          <w:tcPr>
            <w:tcW w:w="1000" w:type="dxa"/>
            <w:vAlign w:val="bottom"/>
          </w:tcPr>
          <w:p>
            <w:pPr>
              <w:jc w:val="right"/>
              <w:ind w:right="41"/>
              <w:spacing w:after="0"/>
              <w:rPr>
                <w:sz w:val="20"/>
                <w:szCs w:val="20"/>
                <w:color w:val="auto"/>
              </w:rPr>
            </w:pPr>
            <w:r>
              <w:rPr>
                <w:rFonts w:ascii="Arial" w:cs="Arial" w:eastAsia="Arial" w:hAnsi="Arial"/>
                <w:sz w:val="16"/>
                <w:szCs w:val="16"/>
                <w:b w:val="1"/>
                <w:bCs w:val="1"/>
                <w:color w:val="auto"/>
              </w:rPr>
              <w:t>Number of</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5"/>
              </w:rPr>
              <w:t>average</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8"/>
              </w:rPr>
              <w:t>contractual</w:t>
            </w:r>
          </w:p>
        </w:tc>
      </w:tr>
      <w:tr>
        <w:trPr>
          <w:trHeight w:val="209"/>
        </w:trPr>
        <w:tc>
          <w:tcPr>
            <w:tcW w:w="2960" w:type="dxa"/>
            <w:vAlign w:val="bottom"/>
          </w:tcPr>
          <w:p>
            <w:pPr>
              <w:spacing w:after="0"/>
              <w:rPr>
                <w:sz w:val="18"/>
                <w:szCs w:val="18"/>
                <w:color w:val="auto"/>
              </w:rPr>
            </w:pPr>
          </w:p>
        </w:tc>
        <w:tc>
          <w:tcPr>
            <w:tcW w:w="124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6"/>
              </w:rPr>
              <w:t>options</w:t>
            </w:r>
          </w:p>
        </w:tc>
        <w:tc>
          <w:tcPr>
            <w:tcW w:w="1240" w:type="dxa"/>
            <w:vAlign w:val="bottom"/>
            <w:gridSpan w:val="3"/>
          </w:tcPr>
          <w:p>
            <w:pPr>
              <w:jc w:val="center"/>
              <w:ind w:right="220"/>
              <w:spacing w:after="0"/>
              <w:rPr>
                <w:sz w:val="20"/>
                <w:szCs w:val="20"/>
                <w:color w:val="auto"/>
              </w:rPr>
            </w:pPr>
            <w:r>
              <w:rPr>
                <w:rFonts w:ascii="Arial" w:cs="Arial" w:eastAsia="Arial" w:hAnsi="Arial"/>
                <w:sz w:val="16"/>
                <w:szCs w:val="16"/>
                <w:b w:val="1"/>
                <w:bCs w:val="1"/>
                <w:color w:val="auto"/>
                <w:w w:val="84"/>
              </w:rPr>
              <w:t>exercise price</w:t>
            </w:r>
          </w:p>
        </w:tc>
        <w:tc>
          <w:tcPr>
            <w:tcW w:w="120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4"/>
              </w:rPr>
              <w:t>life</w:t>
            </w:r>
          </w:p>
        </w:tc>
        <w:tc>
          <w:tcPr>
            <w:tcW w:w="1000" w:type="dxa"/>
            <w:vAlign w:val="bottom"/>
          </w:tcPr>
          <w:p>
            <w:pPr>
              <w:jc w:val="right"/>
              <w:ind w:right="161"/>
              <w:spacing w:after="0"/>
              <w:rPr>
                <w:sz w:val="20"/>
                <w:szCs w:val="20"/>
                <w:color w:val="auto"/>
              </w:rPr>
            </w:pPr>
            <w:r>
              <w:rPr>
                <w:rFonts w:ascii="Arial" w:cs="Arial" w:eastAsia="Arial" w:hAnsi="Arial"/>
                <w:sz w:val="16"/>
                <w:szCs w:val="16"/>
                <w:b w:val="1"/>
                <w:bCs w:val="1"/>
                <w:color w:val="auto"/>
              </w:rPr>
              <w:t>options</w:t>
            </w:r>
          </w:p>
        </w:tc>
        <w:tc>
          <w:tcPr>
            <w:tcW w:w="200" w:type="dxa"/>
            <w:vAlign w:val="bottom"/>
          </w:tcPr>
          <w:p>
            <w:pPr>
              <w:spacing w:after="0"/>
              <w:rPr>
                <w:sz w:val="18"/>
                <w:szCs w:val="18"/>
                <w:color w:val="auto"/>
              </w:rPr>
            </w:pPr>
          </w:p>
        </w:tc>
        <w:tc>
          <w:tcPr>
            <w:tcW w:w="1200" w:type="dxa"/>
            <w:vAlign w:val="bottom"/>
            <w:gridSpan w:val="3"/>
          </w:tcPr>
          <w:p>
            <w:pPr>
              <w:jc w:val="center"/>
              <w:ind w:right="200"/>
              <w:spacing w:after="0"/>
              <w:rPr>
                <w:sz w:val="20"/>
                <w:szCs w:val="20"/>
                <w:color w:val="auto"/>
              </w:rPr>
            </w:pPr>
            <w:r>
              <w:rPr>
                <w:rFonts w:ascii="Arial" w:cs="Arial" w:eastAsia="Arial" w:hAnsi="Arial"/>
                <w:sz w:val="16"/>
                <w:szCs w:val="16"/>
                <w:b w:val="1"/>
                <w:bCs w:val="1"/>
                <w:color w:val="auto"/>
                <w:w w:val="86"/>
              </w:rPr>
              <w:t>exercise price</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86"/>
              </w:rPr>
              <w:t>life</w:t>
            </w:r>
          </w:p>
        </w:tc>
      </w:tr>
      <w:tr>
        <w:trPr>
          <w:trHeight w:val="177"/>
        </w:trPr>
        <w:tc>
          <w:tcPr>
            <w:tcW w:w="2960" w:type="dxa"/>
            <w:vAlign w:val="bottom"/>
            <w:shd w:val="clear" w:color="auto" w:fill="CCEEFF"/>
          </w:tcPr>
          <w:p>
            <w:pPr>
              <w:ind w:left="20"/>
              <w:spacing w:after="0" w:line="177" w:lineRule="exact"/>
              <w:rPr>
                <w:sz w:val="20"/>
                <w:szCs w:val="20"/>
                <w:color w:val="auto"/>
              </w:rPr>
            </w:pPr>
            <w:r>
              <w:rPr>
                <w:rFonts w:ascii="Arial" w:cs="Arial" w:eastAsia="Arial" w:hAnsi="Arial"/>
                <w:sz w:val="16"/>
                <w:szCs w:val="16"/>
                <w:color w:val="auto"/>
                <w:w w:val="95"/>
              </w:rPr>
              <w:t>Options outstanding at the beginning of the</w:t>
            </w:r>
          </w:p>
        </w:tc>
        <w:tc>
          <w:tcPr>
            <w:tcW w:w="102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20" w:type="dxa"/>
            <w:vAlign w:val="bottom"/>
            <w:tcBorders>
              <w:top w:val="single" w:sz="8" w:color="auto"/>
            </w:tcBorders>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000" w:type="dxa"/>
            <w:vAlign w:val="bottom"/>
            <w:tcBorders>
              <w:top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02"/>
        </w:trPr>
        <w:tc>
          <w:tcPr>
            <w:tcW w:w="29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year</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198,575</w:t>
            </w: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7.48</w:t>
            </w:r>
          </w:p>
        </w:tc>
        <w:tc>
          <w:tcPr>
            <w:tcW w:w="12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8.81</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198,575</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80" w:type="dxa"/>
            <w:vAlign w:val="bottom"/>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7.48</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7.84</w:t>
            </w:r>
          </w:p>
        </w:tc>
      </w:tr>
      <w:tr>
        <w:trPr>
          <w:trHeight w:val="193"/>
        </w:trPr>
        <w:tc>
          <w:tcPr>
            <w:tcW w:w="2960" w:type="dxa"/>
            <w:vAlign w:val="bottom"/>
          </w:tcPr>
          <w:p>
            <w:pPr>
              <w:ind w:left="20"/>
              <w:spacing w:after="0"/>
              <w:rPr>
                <w:sz w:val="20"/>
                <w:szCs w:val="20"/>
                <w:color w:val="auto"/>
              </w:rPr>
            </w:pPr>
            <w:r>
              <w:rPr>
                <w:rFonts w:ascii="Arial" w:cs="Arial" w:eastAsia="Arial" w:hAnsi="Arial"/>
                <w:sz w:val="16"/>
                <w:szCs w:val="16"/>
                <w:color w:val="auto"/>
              </w:rPr>
              <w:t>Granted</w:t>
            </w:r>
          </w:p>
        </w:tc>
        <w:tc>
          <w:tcPr>
            <w:tcW w:w="102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6"/>
                <w:szCs w:val="16"/>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r>
      <w:tr>
        <w:trPr>
          <w:trHeight w:val="229"/>
        </w:trPr>
        <w:tc>
          <w:tcPr>
            <w:tcW w:w="2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w w:val="97"/>
              </w:rPr>
              <w:t>Options outstanding at the end of the year</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198,575</w:t>
            </w:r>
          </w:p>
        </w:tc>
        <w:tc>
          <w:tcPr>
            <w:tcW w:w="2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7.48</w:t>
            </w:r>
          </w:p>
        </w:tc>
        <w:tc>
          <w:tcPr>
            <w:tcW w:w="22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7.84</w:t>
            </w:r>
          </w:p>
        </w:tc>
        <w:tc>
          <w:tcPr>
            <w:tcW w:w="18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198,575</w:t>
            </w:r>
          </w:p>
        </w:tc>
        <w:tc>
          <w:tcPr>
            <w:tcW w:w="2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7.70</w:t>
            </w:r>
          </w:p>
        </w:tc>
        <w:tc>
          <w:tcPr>
            <w:tcW w:w="20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177"/>
        </w:trPr>
        <w:tc>
          <w:tcPr>
            <w:tcW w:w="2960" w:type="dxa"/>
            <w:vAlign w:val="bottom"/>
          </w:tcPr>
          <w:p>
            <w:pPr>
              <w:ind w:left="20"/>
              <w:spacing w:after="0" w:line="177" w:lineRule="exact"/>
              <w:rPr>
                <w:sz w:val="20"/>
                <w:szCs w:val="20"/>
                <w:color w:val="auto"/>
              </w:rPr>
            </w:pPr>
            <w:r>
              <w:rPr>
                <w:rFonts w:ascii="Arial" w:cs="Arial" w:eastAsia="Arial" w:hAnsi="Arial"/>
                <w:sz w:val="16"/>
                <w:szCs w:val="16"/>
                <w:color w:val="auto"/>
                <w:w w:val="98"/>
              </w:rPr>
              <w:t>Options exercisable at the end of the year</w:t>
            </w:r>
          </w:p>
        </w:tc>
        <w:tc>
          <w:tcPr>
            <w:tcW w:w="1020" w:type="dxa"/>
            <w:vAlign w:val="bottom"/>
          </w:tcPr>
          <w:p>
            <w:pPr>
              <w:jc w:val="right"/>
              <w:spacing w:after="0" w:line="177" w:lineRule="exact"/>
              <w:rPr>
                <w:sz w:val="20"/>
                <w:szCs w:val="20"/>
                <w:color w:val="auto"/>
              </w:rPr>
            </w:pPr>
            <w:r>
              <w:rPr>
                <w:rFonts w:ascii="Arial" w:cs="Arial" w:eastAsia="Arial" w:hAnsi="Arial"/>
                <w:sz w:val="16"/>
                <w:szCs w:val="16"/>
                <w:color w:val="auto"/>
              </w:rPr>
              <w:t>96,588</w:t>
            </w:r>
          </w:p>
        </w:tc>
        <w:tc>
          <w:tcPr>
            <w:tcW w:w="2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220"/>
              <w:spacing w:after="0" w:line="177" w:lineRule="exact"/>
              <w:rPr>
                <w:sz w:val="20"/>
                <w:szCs w:val="20"/>
                <w:color w:val="auto"/>
              </w:rPr>
            </w:pPr>
            <w:r>
              <w:rPr>
                <w:rFonts w:ascii="Arial" w:cs="Arial" w:eastAsia="Arial" w:hAnsi="Arial"/>
                <w:sz w:val="16"/>
                <w:szCs w:val="16"/>
                <w:color w:val="auto"/>
              </w:rPr>
              <w:t>6.97</w:t>
            </w:r>
          </w:p>
        </w:tc>
        <w:tc>
          <w:tcPr>
            <w:tcW w:w="1200" w:type="dxa"/>
            <w:vAlign w:val="bottom"/>
            <w:gridSpan w:val="2"/>
          </w:tcPr>
          <w:p>
            <w:pPr>
              <w:jc w:val="right"/>
              <w:ind w:right="180"/>
              <w:spacing w:after="0" w:line="177" w:lineRule="exact"/>
              <w:rPr>
                <w:sz w:val="20"/>
                <w:szCs w:val="20"/>
                <w:color w:val="auto"/>
              </w:rPr>
            </w:pPr>
            <w:r>
              <w:rPr>
                <w:rFonts w:ascii="Arial" w:cs="Arial" w:eastAsia="Arial" w:hAnsi="Arial"/>
                <w:sz w:val="16"/>
                <w:szCs w:val="16"/>
                <w:color w:val="auto"/>
              </w:rPr>
              <w:t>7.78</w:t>
            </w:r>
          </w:p>
        </w:tc>
        <w:tc>
          <w:tcPr>
            <w:tcW w:w="1000" w:type="dxa"/>
            <w:vAlign w:val="bottom"/>
          </w:tcPr>
          <w:p>
            <w:pPr>
              <w:jc w:val="right"/>
              <w:spacing w:after="0" w:line="177" w:lineRule="exact"/>
              <w:rPr>
                <w:sz w:val="20"/>
                <w:szCs w:val="20"/>
                <w:color w:val="auto"/>
              </w:rPr>
            </w:pPr>
            <w:r>
              <w:rPr>
                <w:rFonts w:ascii="Arial" w:cs="Arial" w:eastAsia="Arial" w:hAnsi="Arial"/>
                <w:sz w:val="16"/>
                <w:szCs w:val="16"/>
                <w:color w:val="auto"/>
              </w:rPr>
              <w:t>137,771</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gridSpan w:val="2"/>
          </w:tcPr>
          <w:p>
            <w:pPr>
              <w:jc w:val="right"/>
              <w:ind w:right="200"/>
              <w:spacing w:after="0" w:line="177" w:lineRule="exact"/>
              <w:rPr>
                <w:sz w:val="20"/>
                <w:szCs w:val="20"/>
                <w:color w:val="auto"/>
              </w:rPr>
            </w:pPr>
            <w:r>
              <w:rPr>
                <w:rFonts w:ascii="Arial" w:cs="Arial" w:eastAsia="Arial" w:hAnsi="Arial"/>
                <w:sz w:val="16"/>
                <w:szCs w:val="16"/>
                <w:color w:val="auto"/>
              </w:rPr>
              <w:t>7.34</w:t>
            </w:r>
          </w:p>
        </w:tc>
        <w:tc>
          <w:tcPr>
            <w:tcW w:w="1100" w:type="dxa"/>
            <w:vAlign w:val="bottom"/>
            <w:gridSpan w:val="2"/>
          </w:tcPr>
          <w:p>
            <w:pPr>
              <w:jc w:val="right"/>
              <w:ind w:right="100"/>
              <w:spacing w:after="0" w:line="177" w:lineRule="exact"/>
              <w:rPr>
                <w:sz w:val="20"/>
                <w:szCs w:val="20"/>
                <w:color w:val="auto"/>
              </w:rPr>
            </w:pPr>
            <w:r>
              <w:rPr>
                <w:rFonts w:ascii="Arial" w:cs="Arial" w:eastAsia="Arial" w:hAnsi="Arial"/>
                <w:sz w:val="16"/>
                <w:szCs w:val="16"/>
                <w:color w:val="auto"/>
              </w:rPr>
              <w:t>6.8</w:t>
            </w:r>
          </w:p>
        </w:tc>
      </w:tr>
      <w:tr>
        <w:trPr>
          <w:trHeight w:val="20"/>
        </w:trPr>
        <w:tc>
          <w:tcPr>
            <w:tcW w:w="296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4" w:lineRule="exact"/>
        <w:rPr>
          <w:sz w:val="20"/>
          <w:szCs w:val="20"/>
          <w:color w:val="auto"/>
        </w:rPr>
      </w:pPr>
    </w:p>
    <w:p>
      <w:pPr>
        <w:ind w:left="1140" w:hanging="294"/>
        <w:spacing w:after="0"/>
        <w:tabs>
          <w:tab w:leader="none" w:pos="1140" w:val="left"/>
        </w:tabs>
        <w:numPr>
          <w:ilvl w:val="0"/>
          <w:numId w:val="176"/>
        </w:numPr>
        <w:rPr>
          <w:rFonts w:ascii="Arial" w:cs="Arial" w:eastAsia="Arial" w:hAnsi="Arial"/>
          <w:sz w:val="14"/>
          <w:szCs w:val="14"/>
          <w:color w:val="auto"/>
        </w:rPr>
      </w:pPr>
      <w:r>
        <w:rPr>
          <w:rFonts w:ascii="Arial" w:cs="Arial" w:eastAsia="Arial" w:hAnsi="Arial"/>
          <w:sz w:val="14"/>
          <w:szCs w:val="14"/>
          <w:color w:val="auto"/>
        </w:rPr>
        <w:t>The aggregate intrinsic value of the total outstanding and of total exercisable options as of December 31, 2020 is approximately $482 and $413, respectively.</w:t>
      </w:r>
    </w:p>
    <w:p>
      <w:pPr>
        <w:spacing w:after="0" w:line="264" w:lineRule="exact"/>
        <w:rPr>
          <w:rFonts w:ascii="Arial" w:cs="Arial" w:eastAsia="Arial" w:hAnsi="Arial"/>
          <w:sz w:val="14"/>
          <w:szCs w:val="14"/>
          <w:color w:val="auto"/>
        </w:rPr>
      </w:pPr>
    </w:p>
    <w:p>
      <w:pPr>
        <w:ind w:left="1140" w:hanging="294"/>
        <w:spacing w:after="0"/>
        <w:tabs>
          <w:tab w:leader="none" w:pos="1140" w:val="left"/>
        </w:tabs>
        <w:numPr>
          <w:ilvl w:val="0"/>
          <w:numId w:val="176"/>
        </w:numPr>
        <w:rPr>
          <w:rFonts w:ascii="Arial" w:cs="Arial" w:eastAsia="Arial" w:hAnsi="Arial"/>
          <w:sz w:val="16"/>
          <w:szCs w:val="16"/>
          <w:color w:val="auto"/>
        </w:rPr>
      </w:pPr>
      <w:r>
        <w:rPr>
          <w:rFonts w:ascii="Arial" w:cs="Arial" w:eastAsia="Arial" w:hAnsi="Arial"/>
          <w:sz w:val="16"/>
          <w:szCs w:val="16"/>
          <w:color w:val="auto"/>
        </w:rPr>
        <w:t>Restricted Share Units (RSUs) granted to Directors</w:t>
      </w:r>
    </w:p>
    <w:p>
      <w:pPr>
        <w:spacing w:after="0" w:line="194" w:lineRule="exact"/>
        <w:rPr>
          <w:rFonts w:ascii="Arial" w:cs="Arial" w:eastAsia="Arial" w:hAnsi="Arial"/>
          <w:sz w:val="16"/>
          <w:szCs w:val="16"/>
          <w:color w:val="auto"/>
        </w:rPr>
      </w:pPr>
    </w:p>
    <w:p>
      <w:pPr>
        <w:ind w:left="1140" w:right="160"/>
        <w:spacing w:after="0" w:line="282" w:lineRule="auto"/>
        <w:rPr>
          <w:rFonts w:ascii="Arial" w:cs="Arial" w:eastAsia="Arial" w:hAnsi="Arial"/>
          <w:sz w:val="16"/>
          <w:szCs w:val="16"/>
          <w:color w:val="auto"/>
        </w:rPr>
      </w:pPr>
      <w:r>
        <w:rPr>
          <w:rFonts w:ascii="Arial" w:cs="Arial" w:eastAsia="Arial" w:hAnsi="Arial"/>
          <w:sz w:val="15"/>
          <w:szCs w:val="15"/>
          <w:color w:val="auto"/>
        </w:rPr>
        <w:t>In February 2018 and September 2018, the board of directors approved and recommended the Company shareholders to approve a total grant of 46,000 and 11,500 RSUs, respectively, to its independent and external directors that vest annually in equal portions over a three-year period. The fair value of shares as of the date of grant was $495 and $105 respectively. As of December 31, 2020, 38,332 RSUs were vested.</w:t>
      </w:r>
    </w:p>
    <w:p>
      <w:pPr>
        <w:spacing w:after="0" w:line="196" w:lineRule="exact"/>
        <w:rPr>
          <w:rFonts w:ascii="Arial" w:cs="Arial" w:eastAsia="Arial" w:hAnsi="Arial"/>
          <w:sz w:val="16"/>
          <w:szCs w:val="16"/>
          <w:color w:val="auto"/>
        </w:rPr>
      </w:pPr>
    </w:p>
    <w:p>
      <w:pPr>
        <w:ind w:left="1140" w:hanging="294"/>
        <w:spacing w:after="0"/>
        <w:tabs>
          <w:tab w:leader="none" w:pos="1140" w:val="left"/>
        </w:tabs>
        <w:numPr>
          <w:ilvl w:val="0"/>
          <w:numId w:val="176"/>
        </w:numPr>
        <w:rPr>
          <w:rFonts w:ascii="Arial" w:cs="Arial" w:eastAsia="Arial" w:hAnsi="Arial"/>
          <w:sz w:val="16"/>
          <w:szCs w:val="16"/>
          <w:color w:val="auto"/>
        </w:rPr>
      </w:pPr>
      <w:r>
        <w:rPr>
          <w:rFonts w:ascii="Arial" w:cs="Arial" w:eastAsia="Arial" w:hAnsi="Arial"/>
          <w:sz w:val="16"/>
          <w:szCs w:val="16"/>
          <w:color w:val="auto"/>
        </w:rPr>
        <w:t>The following table illustrates the effect of share-based compensation on the statements of operations:</w:t>
      </w:r>
    </w:p>
    <w:p>
      <w:pPr>
        <w:spacing w:after="0" w:line="238" w:lineRule="exact"/>
        <w:rPr>
          <w:sz w:val="20"/>
          <w:szCs w:val="20"/>
          <w:color w:val="auto"/>
        </w:rPr>
      </w:pPr>
    </w:p>
    <w:tbl>
      <w:tblPr>
        <w:tblLayout w:type="fixed"/>
        <w:tblInd w:w="1120" w:type="dxa"/>
        <w:tblCellMar>
          <w:top w:w="0" w:type="dxa"/>
          <w:left w:w="0" w:type="dxa"/>
          <w:bottom w:w="0" w:type="dxa"/>
          <w:right w:w="0" w:type="dxa"/>
        </w:tblCellMar>
      </w:tblPr>
      <w:tr>
        <w:trPr>
          <w:trHeight w:val="189"/>
        </w:trPr>
        <w:tc>
          <w:tcPr>
            <w:tcW w:w="6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2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w w:val="88"/>
              </w:rPr>
              <w:t>Year ended</w:t>
            </w:r>
          </w:p>
        </w:tc>
        <w:tc>
          <w:tcPr>
            <w:tcW w:w="2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09"/>
        </w:trPr>
        <w:tc>
          <w:tcPr>
            <w:tcW w:w="6620" w:type="dxa"/>
            <w:vAlign w:val="bottom"/>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gridSpan w:val="3"/>
          </w:tcPr>
          <w:p>
            <w:pPr>
              <w:jc w:val="right"/>
              <w:ind w:right="280"/>
              <w:spacing w:after="0"/>
              <w:rPr>
                <w:sz w:val="20"/>
                <w:szCs w:val="20"/>
                <w:color w:val="auto"/>
              </w:rPr>
            </w:pPr>
            <w:r>
              <w:rPr>
                <w:rFonts w:ascii="Arial" w:cs="Arial" w:eastAsia="Arial" w:hAnsi="Arial"/>
                <w:sz w:val="16"/>
                <w:szCs w:val="16"/>
                <w:b w:val="1"/>
                <w:bCs w:val="1"/>
                <w:color w:val="auto"/>
                <w:w w:val="90"/>
              </w:rPr>
              <w:t>December 31</w:t>
            </w:r>
          </w:p>
        </w:tc>
        <w:tc>
          <w:tcPr>
            <w:tcW w:w="20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93"/>
        </w:trPr>
        <w:tc>
          <w:tcPr>
            <w:tcW w:w="6620" w:type="dxa"/>
            <w:vAlign w:val="bottom"/>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2018</w:t>
            </w:r>
          </w:p>
        </w:tc>
        <w:tc>
          <w:tcPr>
            <w:tcW w:w="3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61"/>
              <w:spacing w:after="0"/>
              <w:rPr>
                <w:sz w:val="20"/>
                <w:szCs w:val="20"/>
                <w:color w:val="auto"/>
              </w:rPr>
            </w:pPr>
            <w:r>
              <w:rPr>
                <w:rFonts w:ascii="Arial" w:cs="Arial" w:eastAsia="Arial" w:hAnsi="Arial"/>
                <w:sz w:val="16"/>
                <w:szCs w:val="16"/>
                <w:b w:val="1"/>
                <w:bCs w:val="1"/>
                <w:color w:val="auto"/>
              </w:rPr>
              <w:t>2019</w:t>
            </w:r>
          </w:p>
        </w:tc>
        <w:tc>
          <w:tcPr>
            <w:tcW w:w="2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61"/>
              <w:spacing w:after="0"/>
              <w:rPr>
                <w:sz w:val="20"/>
                <w:szCs w:val="20"/>
                <w:color w:val="auto"/>
              </w:rPr>
            </w:pPr>
            <w:r>
              <w:rPr>
                <w:rFonts w:ascii="Arial" w:cs="Arial" w:eastAsia="Arial" w:hAnsi="Arial"/>
                <w:sz w:val="16"/>
                <w:szCs w:val="16"/>
                <w:b w:val="1"/>
                <w:bCs w:val="1"/>
                <w:color w:val="auto"/>
              </w:rPr>
              <w:t>2020</w:t>
            </w:r>
          </w:p>
        </w:tc>
        <w:tc>
          <w:tcPr>
            <w:tcW w:w="100" w:type="dxa"/>
            <w:vAlign w:val="bottom"/>
          </w:tcPr>
          <w:p>
            <w:pPr>
              <w:spacing w:after="0"/>
              <w:rPr>
                <w:sz w:val="16"/>
                <w:szCs w:val="16"/>
                <w:color w:val="auto"/>
              </w:rPr>
            </w:pPr>
          </w:p>
        </w:tc>
      </w:tr>
      <w:tr>
        <w:trPr>
          <w:trHeight w:val="189"/>
        </w:trPr>
        <w:tc>
          <w:tcPr>
            <w:tcW w:w="662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Research and development expenses</w:t>
            </w:r>
          </w:p>
        </w:tc>
        <w:tc>
          <w:tcPr>
            <w:tcW w:w="660" w:type="dxa"/>
            <w:vAlign w:val="bottom"/>
            <w:shd w:val="clear" w:color="auto" w:fill="CCEEFF"/>
          </w:tcPr>
          <w:p>
            <w:pPr>
              <w:jc w:val="right"/>
              <w:ind w:right="542"/>
              <w:spacing w:after="0"/>
              <w:rPr>
                <w:sz w:val="20"/>
                <w:szCs w:val="20"/>
                <w:color w:val="auto"/>
              </w:rPr>
            </w:pPr>
            <w:r>
              <w:rPr>
                <w:rFonts w:ascii="Arial" w:cs="Arial" w:eastAsia="Arial" w:hAnsi="Arial"/>
                <w:sz w:val="10"/>
                <w:szCs w:val="10"/>
                <w:color w:val="auto"/>
                <w:w w:val="71"/>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79"/>
              </w:rPr>
              <w:t>2,708</w:t>
            </w:r>
          </w:p>
        </w:tc>
        <w:tc>
          <w:tcPr>
            <w:tcW w:w="220" w:type="dxa"/>
            <w:vAlign w:val="bottom"/>
            <w:shd w:val="clear" w:color="auto" w:fill="CCEEFF"/>
          </w:tcPr>
          <w:p>
            <w:pPr>
              <w:spacing w:after="0"/>
              <w:rPr>
                <w:sz w:val="16"/>
                <w:szCs w:val="16"/>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1,028</w:t>
            </w:r>
          </w:p>
        </w:tc>
        <w:tc>
          <w:tcPr>
            <w:tcW w:w="20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431</w:t>
            </w:r>
          </w:p>
        </w:tc>
        <w:tc>
          <w:tcPr>
            <w:tcW w:w="100" w:type="dxa"/>
            <w:vAlign w:val="bottom"/>
            <w:shd w:val="clear" w:color="auto" w:fill="CCEEFF"/>
          </w:tcPr>
          <w:p>
            <w:pPr>
              <w:spacing w:after="0"/>
              <w:rPr>
                <w:sz w:val="16"/>
                <w:szCs w:val="16"/>
                <w:color w:val="auto"/>
              </w:rPr>
            </w:pPr>
          </w:p>
        </w:tc>
      </w:tr>
      <w:tr>
        <w:trPr>
          <w:trHeight w:val="193"/>
        </w:trPr>
        <w:tc>
          <w:tcPr>
            <w:tcW w:w="6620" w:type="dxa"/>
            <w:vAlign w:val="bottom"/>
          </w:tcPr>
          <w:p>
            <w:pPr>
              <w:ind w:left="20"/>
              <w:spacing w:after="0"/>
              <w:rPr>
                <w:sz w:val="20"/>
                <w:szCs w:val="20"/>
                <w:color w:val="auto"/>
              </w:rPr>
            </w:pPr>
            <w:r>
              <w:rPr>
                <w:rFonts w:ascii="Arial" w:cs="Arial" w:eastAsia="Arial" w:hAnsi="Arial"/>
                <w:sz w:val="16"/>
                <w:szCs w:val="16"/>
                <w:color w:val="auto"/>
              </w:rPr>
              <w:t>General and administrative expenses</w:t>
            </w:r>
          </w:p>
        </w:tc>
        <w:tc>
          <w:tcPr>
            <w:tcW w:w="660" w:type="dxa"/>
            <w:vAlign w:val="bottom"/>
          </w:tcPr>
          <w:p>
            <w:pPr>
              <w:jc w:val="right"/>
              <w:ind w:right="542"/>
              <w:spacing w:after="0"/>
              <w:rPr>
                <w:sz w:val="20"/>
                <w:szCs w:val="20"/>
                <w:color w:val="auto"/>
              </w:rPr>
            </w:pPr>
            <w:r>
              <w:rPr>
                <w:rFonts w:ascii="Arial" w:cs="Arial" w:eastAsia="Arial" w:hAnsi="Arial"/>
                <w:sz w:val="10"/>
                <w:szCs w:val="10"/>
                <w:color w:val="auto"/>
                <w:w w:val="71"/>
              </w:rPr>
              <w:t>$</w:t>
            </w:r>
          </w:p>
        </w:tc>
        <w:tc>
          <w:tcPr>
            <w:tcW w:w="340" w:type="dxa"/>
            <w:vAlign w:val="bottom"/>
          </w:tcPr>
          <w:p>
            <w:pPr>
              <w:jc w:val="right"/>
              <w:spacing w:after="0"/>
              <w:rPr>
                <w:sz w:val="20"/>
                <w:szCs w:val="20"/>
                <w:color w:val="auto"/>
              </w:rPr>
            </w:pPr>
            <w:r>
              <w:rPr>
                <w:rFonts w:ascii="Arial" w:cs="Arial" w:eastAsia="Arial" w:hAnsi="Arial"/>
                <w:sz w:val="16"/>
                <w:szCs w:val="16"/>
                <w:color w:val="auto"/>
                <w:w w:val="79"/>
              </w:rPr>
              <w:t>1,946</w:t>
            </w:r>
          </w:p>
        </w:tc>
        <w:tc>
          <w:tcPr>
            <w:tcW w:w="3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6"/>
                <w:szCs w:val="16"/>
                <w:color w:val="auto"/>
              </w:rPr>
              <w:t>1,524</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6"/>
                <w:szCs w:val="16"/>
                <w:color w:val="auto"/>
              </w:rPr>
              <w:t>786</w:t>
            </w:r>
          </w:p>
        </w:tc>
      </w:tr>
      <w:tr>
        <w:trPr>
          <w:trHeight w:val="209"/>
        </w:trPr>
        <w:tc>
          <w:tcPr>
            <w:tcW w:w="6620" w:type="dxa"/>
            <w:vAlign w:val="bottom"/>
            <w:tcBorders>
              <w:right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ind w:right="542"/>
              <w:spacing w:after="0"/>
              <w:rPr>
                <w:sz w:val="20"/>
                <w:szCs w:val="20"/>
                <w:color w:val="auto"/>
              </w:rPr>
            </w:pPr>
            <w:r>
              <w:rPr>
                <w:rFonts w:ascii="Arial" w:cs="Arial" w:eastAsia="Arial" w:hAnsi="Arial"/>
                <w:sz w:val="10"/>
                <w:szCs w:val="10"/>
                <w:color w:val="auto"/>
                <w:w w:val="71"/>
              </w:rPr>
              <w:t>$</w:t>
            </w: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79"/>
              </w:rPr>
              <w:t>4,654</w:t>
            </w: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2,552</w:t>
            </w:r>
          </w:p>
        </w:tc>
        <w:tc>
          <w:tcPr>
            <w:tcW w:w="2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1,217</w:t>
            </w:r>
          </w:p>
        </w:tc>
        <w:tc>
          <w:tcPr>
            <w:tcW w:w="100" w:type="dxa"/>
            <w:vAlign w:val="bottom"/>
            <w:shd w:val="clear" w:color="auto" w:fill="CCEEFF"/>
          </w:tcPr>
          <w:p>
            <w:pPr>
              <w:spacing w:after="0"/>
              <w:rPr>
                <w:sz w:val="18"/>
                <w:szCs w:val="18"/>
                <w:color w:val="auto"/>
              </w:rPr>
            </w:pPr>
          </w:p>
        </w:tc>
      </w:tr>
      <w:tr>
        <w:trPr>
          <w:trHeight w:val="20"/>
        </w:trPr>
        <w:tc>
          <w:tcPr>
            <w:tcW w:w="662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38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46355</wp:posOffset>
            </wp:positionV>
            <wp:extent cx="7149465" cy="1524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74" w:name="page175"/>
    <w:bookmarkEnd w:id="174"/>
    <w:p>
      <w:pPr>
        <w:jc w:val="center"/>
        <w:ind w:right="-2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24"/>
        <w:spacing w:after="0"/>
        <w:rPr>
          <w:sz w:val="20"/>
          <w:szCs w:val="20"/>
          <w:color w:val="auto"/>
        </w:rPr>
      </w:pPr>
      <w:r>
        <w:rPr>
          <w:rFonts w:ascii="Arial" w:cs="Arial" w:eastAsia="Arial" w:hAnsi="Arial"/>
          <w:sz w:val="19"/>
          <w:szCs w:val="19"/>
          <w:b w:val="1"/>
          <w:bCs w:val="1"/>
          <w:color w:val="auto"/>
        </w:rPr>
        <w:t xml:space="preserve">NOTES TO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2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9 — TAXES ON INCOME</w:t>
      </w:r>
    </w:p>
    <w:p>
      <w:pPr>
        <w:spacing w:after="0" w:line="251" w:lineRule="exact"/>
        <w:rPr>
          <w:sz w:val="20"/>
          <w:szCs w:val="20"/>
          <w:color w:val="auto"/>
        </w:rPr>
      </w:pPr>
    </w:p>
    <w:p>
      <w:pPr>
        <w:ind w:left="305" w:hanging="305"/>
        <w:spacing w:after="0"/>
        <w:tabs>
          <w:tab w:leader="none" w:pos="305" w:val="left"/>
        </w:tabs>
        <w:numPr>
          <w:ilvl w:val="0"/>
          <w:numId w:val="177"/>
        </w:numPr>
        <w:rPr>
          <w:rFonts w:ascii="Arial" w:cs="Arial" w:eastAsia="Arial" w:hAnsi="Arial"/>
          <w:sz w:val="16"/>
          <w:szCs w:val="16"/>
          <w:b w:val="1"/>
          <w:bCs w:val="1"/>
          <w:color w:val="auto"/>
        </w:rPr>
      </w:pPr>
      <w:r>
        <w:rPr>
          <w:rFonts w:ascii="Arial" w:cs="Arial" w:eastAsia="Arial" w:hAnsi="Arial"/>
          <w:sz w:val="16"/>
          <w:szCs w:val="16"/>
          <w:b w:val="1"/>
          <w:bCs w:val="1"/>
          <w:color w:val="auto"/>
        </w:rPr>
        <w:t>Tax rates in Israel</w:t>
      </w:r>
    </w:p>
    <w:p>
      <w:pPr>
        <w:spacing w:after="0" w:line="251" w:lineRule="exact"/>
        <w:rPr>
          <w:sz w:val="20"/>
          <w:szCs w:val="20"/>
          <w:color w:val="auto"/>
        </w:rPr>
      </w:pPr>
    </w:p>
    <w:p>
      <w:pPr>
        <w:ind w:left="305" w:right="300"/>
        <w:spacing w:after="0" w:line="284" w:lineRule="auto"/>
        <w:rPr>
          <w:sz w:val="20"/>
          <w:szCs w:val="20"/>
          <w:color w:val="auto"/>
        </w:rPr>
      </w:pPr>
      <w:r>
        <w:rPr>
          <w:rFonts w:ascii="Arial" w:cs="Arial" w:eastAsia="Arial" w:hAnsi="Arial"/>
          <w:sz w:val="19"/>
          <w:szCs w:val="19"/>
          <w:color w:val="auto"/>
        </w:rPr>
        <w:t>The Company is taxed in accordance with Israeli tax laws. The corporate tax rates applicable to 2018, 2019 and 2020 is 23%. Capital gain is subject to capital gain tax according to the corporate tax rate in the year the assets are sold.</w:t>
      </w:r>
    </w:p>
    <w:p>
      <w:pPr>
        <w:spacing w:after="0" w:line="183" w:lineRule="exact"/>
        <w:rPr>
          <w:sz w:val="20"/>
          <w:szCs w:val="20"/>
          <w:color w:val="auto"/>
        </w:rPr>
      </w:pPr>
    </w:p>
    <w:p>
      <w:pPr>
        <w:ind w:left="305" w:hanging="305"/>
        <w:spacing w:after="0"/>
        <w:tabs>
          <w:tab w:leader="none" w:pos="305" w:val="left"/>
        </w:tabs>
        <w:numPr>
          <w:ilvl w:val="0"/>
          <w:numId w:val="178"/>
        </w:numPr>
        <w:rPr>
          <w:rFonts w:ascii="Arial" w:cs="Arial" w:eastAsia="Arial" w:hAnsi="Arial"/>
          <w:sz w:val="16"/>
          <w:szCs w:val="16"/>
          <w:b w:val="1"/>
          <w:bCs w:val="1"/>
          <w:color w:val="auto"/>
        </w:rPr>
      </w:pPr>
      <w:r>
        <w:rPr>
          <w:rFonts w:ascii="Arial" w:cs="Arial" w:eastAsia="Arial" w:hAnsi="Arial"/>
          <w:sz w:val="16"/>
          <w:szCs w:val="16"/>
          <w:b w:val="1"/>
          <w:bCs w:val="1"/>
          <w:color w:val="auto"/>
        </w:rPr>
        <w:t>Tax rates for the U.S Subsidiary</w:t>
      </w:r>
    </w:p>
    <w:p>
      <w:pPr>
        <w:spacing w:after="0" w:line="251" w:lineRule="exact"/>
        <w:rPr>
          <w:sz w:val="20"/>
          <w:szCs w:val="20"/>
          <w:color w:val="auto"/>
        </w:rPr>
      </w:pPr>
    </w:p>
    <w:p>
      <w:pPr>
        <w:ind w:left="305"/>
        <w:spacing w:after="0"/>
        <w:rPr>
          <w:sz w:val="20"/>
          <w:szCs w:val="20"/>
          <w:color w:val="auto"/>
        </w:rPr>
      </w:pPr>
      <w:r>
        <w:rPr>
          <w:rFonts w:ascii="Arial" w:cs="Arial" w:eastAsia="Arial" w:hAnsi="Arial"/>
          <w:sz w:val="18"/>
          <w:szCs w:val="18"/>
          <w:color w:val="auto"/>
        </w:rPr>
        <w:t>The subsidiary is taxed according to U.S. tax laws. The Company’s income is taxed in the United States at the federal rate of 21%.</w:t>
      </w:r>
    </w:p>
    <w:p>
      <w:pPr>
        <w:spacing w:after="0" w:line="257" w:lineRule="exact"/>
        <w:rPr>
          <w:sz w:val="20"/>
          <w:szCs w:val="20"/>
          <w:color w:val="auto"/>
        </w:rPr>
      </w:pPr>
    </w:p>
    <w:p>
      <w:pPr>
        <w:ind w:left="305" w:hanging="305"/>
        <w:spacing w:after="0"/>
        <w:tabs>
          <w:tab w:leader="none" w:pos="305" w:val="left"/>
        </w:tabs>
        <w:numPr>
          <w:ilvl w:val="0"/>
          <w:numId w:val="179"/>
        </w:numPr>
        <w:rPr>
          <w:rFonts w:ascii="Arial" w:cs="Arial" w:eastAsia="Arial" w:hAnsi="Arial"/>
          <w:sz w:val="16"/>
          <w:szCs w:val="16"/>
          <w:b w:val="1"/>
          <w:bCs w:val="1"/>
          <w:color w:val="auto"/>
        </w:rPr>
      </w:pPr>
      <w:r>
        <w:rPr>
          <w:rFonts w:ascii="Arial" w:cs="Arial" w:eastAsia="Arial" w:hAnsi="Arial"/>
          <w:sz w:val="16"/>
          <w:szCs w:val="16"/>
          <w:b w:val="1"/>
          <w:bCs w:val="1"/>
          <w:color w:val="auto"/>
        </w:rPr>
        <w:t>Tax benefits under the Law for the Encouragement of Capital Investments, 1959 (the “Investment Law”)</w:t>
      </w:r>
    </w:p>
    <w:p>
      <w:pPr>
        <w:spacing w:after="0" w:line="251" w:lineRule="exact"/>
        <w:rPr>
          <w:sz w:val="20"/>
          <w:szCs w:val="20"/>
          <w:color w:val="auto"/>
        </w:rPr>
      </w:pPr>
    </w:p>
    <w:p>
      <w:pPr>
        <w:ind w:left="305" w:right="260"/>
        <w:spacing w:after="0" w:line="284" w:lineRule="auto"/>
        <w:rPr>
          <w:sz w:val="20"/>
          <w:szCs w:val="20"/>
          <w:color w:val="auto"/>
        </w:rPr>
      </w:pPr>
      <w:r>
        <w:rPr>
          <w:rFonts w:ascii="Arial" w:cs="Arial" w:eastAsia="Arial" w:hAnsi="Arial"/>
          <w:sz w:val="19"/>
          <w:szCs w:val="19"/>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193" w:lineRule="exact"/>
        <w:rPr>
          <w:sz w:val="20"/>
          <w:szCs w:val="20"/>
          <w:color w:val="auto"/>
        </w:rPr>
      </w:pPr>
    </w:p>
    <w:p>
      <w:pPr>
        <w:ind w:left="305" w:right="360"/>
        <w:spacing w:after="0" w:line="267" w:lineRule="auto"/>
        <w:rPr>
          <w:sz w:val="20"/>
          <w:szCs w:val="20"/>
          <w:color w:val="auto"/>
        </w:rPr>
      </w:pPr>
      <w:r>
        <w:rPr>
          <w:rFonts w:ascii="Arial" w:cs="Arial" w:eastAsia="Arial" w:hAnsi="Arial"/>
          <w:sz w:val="19"/>
          <w:szCs w:val="19"/>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210" w:lineRule="exact"/>
        <w:rPr>
          <w:sz w:val="20"/>
          <w:szCs w:val="20"/>
          <w:color w:val="auto"/>
        </w:rPr>
      </w:pPr>
    </w:p>
    <w:p>
      <w:pPr>
        <w:ind w:left="305" w:right="100"/>
        <w:spacing w:after="0" w:line="284" w:lineRule="auto"/>
        <w:rPr>
          <w:sz w:val="20"/>
          <w:szCs w:val="20"/>
          <w:color w:val="auto"/>
        </w:rPr>
      </w:pPr>
      <w:r>
        <w:rPr>
          <w:rFonts w:ascii="Arial" w:cs="Arial" w:eastAsia="Arial" w:hAnsi="Arial"/>
          <w:sz w:val="19"/>
          <w:szCs w:val="19"/>
          <w:color w:val="auto"/>
        </w:rPr>
        <w:t>The period of tax benefits, as described above, is limited to 12 years from the beginning of the Benefited Enterprise election year (2012). As of December 31, 2020, the period of benefits has not yet commenced.</w:t>
      </w:r>
    </w:p>
    <w:p>
      <w:pPr>
        <w:spacing w:after="0" w:line="193" w:lineRule="exact"/>
        <w:rPr>
          <w:sz w:val="20"/>
          <w:szCs w:val="20"/>
          <w:color w:val="auto"/>
        </w:rPr>
      </w:pPr>
    </w:p>
    <w:p>
      <w:pPr>
        <w:ind w:left="305"/>
        <w:spacing w:after="0" w:line="271" w:lineRule="auto"/>
        <w:rPr>
          <w:sz w:val="20"/>
          <w:szCs w:val="20"/>
          <w:color w:val="auto"/>
        </w:rPr>
      </w:pPr>
      <w:r>
        <w:rPr>
          <w:rFonts w:ascii="Arial" w:cs="Arial" w:eastAsia="Arial" w:hAnsi="Arial"/>
          <w:sz w:val="19"/>
          <w:szCs w:val="19"/>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206" w:lineRule="exact"/>
        <w:rPr>
          <w:sz w:val="20"/>
          <w:szCs w:val="20"/>
          <w:color w:val="auto"/>
        </w:rPr>
      </w:pPr>
    </w:p>
    <w:p>
      <w:pPr>
        <w:ind w:left="305" w:right="220"/>
        <w:spacing w:after="0" w:line="284" w:lineRule="auto"/>
        <w:rPr>
          <w:sz w:val="20"/>
          <w:szCs w:val="20"/>
          <w:color w:val="auto"/>
        </w:rPr>
      </w:pPr>
      <w:r>
        <w:rPr>
          <w:rFonts w:ascii="Arial" w:cs="Arial" w:eastAsia="Arial" w:hAnsi="Arial"/>
          <w:sz w:val="19"/>
          <w:szCs w:val="19"/>
          <w:color w:val="auto"/>
        </w:rPr>
        <w:t>Entitlement to the above benefits is conditioned upon the Company fulfilling the conditions stipulated by the Investment Law and regulations published thereunder.</w:t>
      </w:r>
    </w:p>
    <w:p>
      <w:pPr>
        <w:spacing w:after="0" w:line="193" w:lineRule="exact"/>
        <w:rPr>
          <w:sz w:val="20"/>
          <w:szCs w:val="20"/>
          <w:color w:val="auto"/>
        </w:rPr>
      </w:pPr>
    </w:p>
    <w:p>
      <w:pPr>
        <w:ind w:left="305" w:right="60"/>
        <w:spacing w:after="0" w:line="313" w:lineRule="auto"/>
        <w:rPr>
          <w:sz w:val="20"/>
          <w:szCs w:val="20"/>
          <w:color w:val="auto"/>
        </w:rPr>
      </w:pPr>
      <w:r>
        <w:rPr>
          <w:rFonts w:ascii="Arial" w:cs="Arial" w:eastAsia="Arial" w:hAnsi="Arial"/>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170" w:lineRule="exact"/>
        <w:rPr>
          <w:sz w:val="20"/>
          <w:szCs w:val="20"/>
          <w:color w:val="auto"/>
        </w:rPr>
      </w:pPr>
    </w:p>
    <w:p>
      <w:pPr>
        <w:ind w:left="305" w:right="120"/>
        <w:spacing w:after="0" w:line="284" w:lineRule="auto"/>
        <w:rPr>
          <w:sz w:val="20"/>
          <w:szCs w:val="20"/>
          <w:color w:val="auto"/>
        </w:rPr>
      </w:pPr>
      <w:r>
        <w:rPr>
          <w:rFonts w:ascii="Arial" w:cs="Arial" w:eastAsia="Arial" w:hAnsi="Arial"/>
          <w:sz w:val="19"/>
          <w:szCs w:val="19"/>
          <w:color w:val="auto"/>
        </w:rPr>
        <w:t>The Investment Law was amended as part of the Economic Policy Law for the years 2011 – 2012 (the “Amendment”), which became effective on January 1, 2011 and was further amended in August 2013 and January 2017.</w:t>
      </w:r>
    </w:p>
    <w:p>
      <w:pPr>
        <w:spacing w:after="0" w:line="193" w:lineRule="exact"/>
        <w:rPr>
          <w:sz w:val="20"/>
          <w:szCs w:val="20"/>
          <w:color w:val="auto"/>
        </w:rPr>
      </w:pPr>
    </w:p>
    <w:p>
      <w:pPr>
        <w:ind w:left="305" w:right="180"/>
        <w:spacing w:after="0" w:line="279" w:lineRule="auto"/>
        <w:rPr>
          <w:sz w:val="20"/>
          <w:szCs w:val="20"/>
          <w:color w:val="auto"/>
        </w:rPr>
      </w:pPr>
      <w:r>
        <w:rPr>
          <w:rFonts w:ascii="Arial" w:cs="Arial" w:eastAsia="Arial" w:hAnsi="Arial"/>
          <w:sz w:val="18"/>
          <w:szCs w:val="18"/>
          <w:color w:val="auto"/>
        </w:rPr>
        <w:t>Under the 2017 Amendment, and provided the conditions stipulated therein are met, income derived by Preferred Companies from ‘Preferred Technological Enterprises’ (“PTE”) (as defined in the 2017 Amendment), would be subject to reduced corporate tax rates of 7.5% in Development Zone “A” and 12% elsewhere, or 6% in case of a ‘Special Preferred Technological Enterprise’ (“SPTE”) as defined in the 2017 Amendment) regardless of the company’s geographical location within Israel. A Preferred Company distributing dividends from income derived from its PTE or SPTE, would subject the recipient to a 20% tax (or lower, if so provided under an applicable tax treaty). The 2017 Amendment further provides that, in certain circumstances, a dividend distributed to a corporate shareholder who is not an Israeli resident for tax purposes would be subject to a 4% tax (inter alia, if the amount of foreign investors in the distributing company exceeds 90%). Such taxes would generally be withheld at source by the distributing company.</w:t>
      </w:r>
    </w:p>
    <w:p>
      <w:pPr>
        <w:spacing w:after="0" w:line="358" w:lineRule="exact"/>
        <w:rPr>
          <w:sz w:val="20"/>
          <w:szCs w:val="20"/>
          <w:color w:val="auto"/>
        </w:rPr>
      </w:pPr>
    </w:p>
    <w:p>
      <w:pPr>
        <w:jc w:val="center"/>
        <w:ind w:right="-24"/>
        <w:spacing w:after="0"/>
        <w:rPr>
          <w:sz w:val="20"/>
          <w:szCs w:val="20"/>
          <w:color w:val="auto"/>
        </w:rPr>
      </w:pPr>
      <w:r>
        <w:rPr>
          <w:rFonts w:ascii="Arial" w:cs="Arial" w:eastAsia="Arial" w:hAnsi="Arial"/>
          <w:sz w:val="19"/>
          <w:szCs w:val="19"/>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3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5"/>
          </w:cols>
          <w:pgMar w:left="315" w:top="363" w:right="339" w:bottom="1440" w:gutter="0" w:footer="0" w:header="0"/>
        </w:sectPr>
      </w:pPr>
    </w:p>
    <w:bookmarkStart w:id="175" w:name="page176"/>
    <w:bookmarkEnd w:id="175"/>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9 — TAXES ON INCOME (</w:t>
      </w:r>
      <w:r>
        <w:rPr>
          <w:rFonts w:ascii="Arial" w:cs="Arial" w:eastAsia="Arial" w:hAnsi="Arial"/>
          <w:sz w:val="19"/>
          <w:szCs w:val="19"/>
          <w:color w:val="auto"/>
        </w:rPr>
        <w:t>continued)</w:t>
      </w:r>
    </w:p>
    <w:p>
      <w:pPr>
        <w:spacing w:after="0" w:line="261" w:lineRule="exact"/>
        <w:rPr>
          <w:sz w:val="20"/>
          <w:szCs w:val="20"/>
          <w:color w:val="auto"/>
        </w:rPr>
      </w:pPr>
    </w:p>
    <w:p>
      <w:pPr>
        <w:ind w:left="305"/>
        <w:spacing w:after="0" w:line="276" w:lineRule="auto"/>
        <w:rPr>
          <w:sz w:val="20"/>
          <w:szCs w:val="20"/>
          <w:color w:val="auto"/>
        </w:rPr>
      </w:pPr>
      <w:r>
        <w:rPr>
          <w:rFonts w:ascii="Arial" w:cs="Arial" w:eastAsia="Arial" w:hAnsi="Arial"/>
          <w:sz w:val="18"/>
          <w:szCs w:val="18"/>
          <w:color w:val="auto"/>
        </w:rPr>
        <w:t>On June 14, 2017, the Encouragement of Capital Investments Regulations (Preferred Technology Income and Capital Profits for a Technological Enterprise), 2017 (the “Regulations”) were published, which adopted Action 5 under the base erosion and profit shifting (“BEPS”) regulations. The Regulations describe, inter alia, the mechanism used to determine the calculation of the benefits under the PTE and under the SPTE Regime and determine certain requirements relating to documentation of intellectual property for the purpose of the PTE. According to these provisions, a company that complies with the terms under the PTE regime may be entitled to certain tax benefits with respect to income generated during the company’s regular course of business and derived from the preferred intangible asset (as determined in the Investments Law), excluding income derived from intangible assets used for marketing and income attributed to production activity. In the event that intangible assets used for marketing purposes generate over 10% of the PTE’s income, the relevant portion, calculated using a transfer pricing study, would be subject to regular corporate income tax. If such income does not exceed 10%, the PTE will not be required to exclude the marketing income from the PTE’s total income. The Regulations set a presumption of direct production expenses plus 10% with respect to income related to production, which can be countered by the results of a supporting transfer pricing study. Tax rates applicable to such production income expenses will be similar to the tax rates under the Preferred Enterprise regime, to the extent such income would be considered as eligible. In order to calculate the preferred income, the PTE is required to take into account the income and the research and development expenses that are attributed to each single preferred intangible asset. Nevertheless, it should be noted that the transitional provisions allow companies to take into account the income and research and development expenses attributed to all of the preferred intangible assets they have.</w:t>
      </w:r>
    </w:p>
    <w:p>
      <w:pPr>
        <w:spacing w:after="0" w:line="212" w:lineRule="exact"/>
        <w:rPr>
          <w:sz w:val="20"/>
          <w:szCs w:val="20"/>
          <w:color w:val="auto"/>
        </w:rPr>
      </w:pPr>
    </w:p>
    <w:p>
      <w:pPr>
        <w:ind w:left="305" w:right="40"/>
        <w:spacing w:after="0" w:line="267" w:lineRule="auto"/>
        <w:rPr>
          <w:sz w:val="20"/>
          <w:szCs w:val="20"/>
          <w:color w:val="auto"/>
        </w:rPr>
      </w:pPr>
      <w:r>
        <w:rPr>
          <w:rFonts w:ascii="Arial" w:cs="Arial" w:eastAsia="Arial" w:hAnsi="Arial"/>
          <w:sz w:val="19"/>
          <w:szCs w:val="19"/>
          <w:color w:val="auto"/>
        </w:rPr>
        <w:t>Under the transitional provisions of the law, a company is allowed to continue to enjoy the tax benefits available under the law prior to its amendment until the end of the period of benefits, as defined in the law. In each year during the period of benefits as a Benefited Enterprise, the Company will be able to opt for application of the amendment, thereby making available the tax rates discussed above. The Company’s election to apply the amendment is irrecoverable.</w:t>
      </w:r>
    </w:p>
    <w:p>
      <w:pPr>
        <w:spacing w:after="0" w:line="210" w:lineRule="exact"/>
        <w:rPr>
          <w:sz w:val="20"/>
          <w:szCs w:val="20"/>
          <w:color w:val="auto"/>
        </w:rPr>
      </w:pPr>
    </w:p>
    <w:p>
      <w:pPr>
        <w:ind w:left="305"/>
        <w:spacing w:after="0"/>
        <w:rPr>
          <w:sz w:val="20"/>
          <w:szCs w:val="20"/>
          <w:color w:val="auto"/>
        </w:rPr>
      </w:pPr>
      <w:r>
        <w:rPr>
          <w:rFonts w:ascii="Arial" w:cs="Arial" w:eastAsia="Arial" w:hAnsi="Arial"/>
          <w:sz w:val="19"/>
          <w:szCs w:val="19"/>
          <w:color w:val="auto"/>
        </w:rPr>
        <w:t>As of December 31, 2020, the Company’s management decided not to adopt the application of the Amendment.</w:t>
      </w:r>
    </w:p>
    <w:p>
      <w:pPr>
        <w:spacing w:after="0" w:line="255" w:lineRule="exact"/>
        <w:rPr>
          <w:sz w:val="20"/>
          <w:szCs w:val="20"/>
          <w:color w:val="auto"/>
        </w:rPr>
      </w:pPr>
    </w:p>
    <w:p>
      <w:pPr>
        <w:ind w:left="305" w:right="320"/>
        <w:spacing w:after="0" w:line="284" w:lineRule="auto"/>
        <w:rPr>
          <w:sz w:val="20"/>
          <w:szCs w:val="20"/>
          <w:color w:val="auto"/>
        </w:rPr>
      </w:pPr>
      <w:r>
        <w:rPr>
          <w:rFonts w:ascii="Arial" w:cs="Arial" w:eastAsia="Arial" w:hAnsi="Arial"/>
          <w:sz w:val="19"/>
          <w:szCs w:val="19"/>
          <w:color w:val="auto"/>
        </w:rPr>
        <w:t>There is no assurance that future taxable income of the Company will qualify as Benefited or Preferred income or that the benefits described above will be available to the Company in the future.</w:t>
      </w:r>
    </w:p>
    <w:p>
      <w:pPr>
        <w:spacing w:after="0" w:line="183" w:lineRule="exact"/>
        <w:rPr>
          <w:sz w:val="20"/>
          <w:szCs w:val="20"/>
          <w:color w:val="auto"/>
        </w:rPr>
      </w:pPr>
    </w:p>
    <w:p>
      <w:pPr>
        <w:ind w:left="305" w:hanging="305"/>
        <w:spacing w:after="0"/>
        <w:tabs>
          <w:tab w:leader="none" w:pos="305" w:val="left"/>
        </w:tabs>
        <w:numPr>
          <w:ilvl w:val="0"/>
          <w:numId w:val="180"/>
        </w:numPr>
        <w:rPr>
          <w:rFonts w:ascii="Arial" w:cs="Arial" w:eastAsia="Arial" w:hAnsi="Arial"/>
          <w:sz w:val="16"/>
          <w:szCs w:val="16"/>
          <w:b w:val="1"/>
          <w:bCs w:val="1"/>
          <w:color w:val="auto"/>
        </w:rPr>
      </w:pPr>
      <w:r>
        <w:rPr>
          <w:rFonts w:ascii="Arial" w:cs="Arial" w:eastAsia="Arial" w:hAnsi="Arial"/>
          <w:sz w:val="16"/>
          <w:szCs w:val="16"/>
          <w:b w:val="1"/>
          <w:bCs w:val="1"/>
          <w:color w:val="auto"/>
        </w:rPr>
        <w:t>Tax assessments</w:t>
      </w:r>
    </w:p>
    <w:p>
      <w:pPr>
        <w:spacing w:after="0" w:line="251" w:lineRule="exact"/>
        <w:rPr>
          <w:sz w:val="20"/>
          <w:szCs w:val="20"/>
          <w:color w:val="auto"/>
        </w:rPr>
      </w:pPr>
    </w:p>
    <w:p>
      <w:pPr>
        <w:ind w:left="305"/>
        <w:spacing w:after="0"/>
        <w:rPr>
          <w:sz w:val="20"/>
          <w:szCs w:val="20"/>
          <w:color w:val="auto"/>
        </w:rPr>
      </w:pPr>
      <w:r>
        <w:rPr>
          <w:rFonts w:ascii="Arial" w:cs="Arial" w:eastAsia="Arial" w:hAnsi="Arial"/>
          <w:sz w:val="19"/>
          <w:szCs w:val="19"/>
          <w:color w:val="auto"/>
        </w:rPr>
        <w:t>Tax assessments filed by the Company through the year 2015 are considered to be final.</w:t>
      </w:r>
    </w:p>
    <w:p>
      <w:pPr>
        <w:spacing w:after="0" w:line="200" w:lineRule="exact"/>
        <w:rPr>
          <w:sz w:val="20"/>
          <w:szCs w:val="20"/>
          <w:color w:val="auto"/>
        </w:rPr>
      </w:pPr>
    </w:p>
    <w:p>
      <w:pPr>
        <w:spacing w:after="0" w:line="20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6" w:right="319" w:bottom="1440" w:gutter="0" w:footer="0" w:header="0"/>
        </w:sectPr>
      </w:pPr>
    </w:p>
    <w:bookmarkStart w:id="176" w:name="page177"/>
    <w:bookmarkEnd w:id="176"/>
    <w:p>
      <w:pPr>
        <w:jc w:val="center"/>
        <w:ind w:right="-4"/>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ind w:left="5"/>
        <w:spacing w:after="0"/>
        <w:rPr>
          <w:sz w:val="20"/>
          <w:szCs w:val="20"/>
          <w:color w:val="auto"/>
        </w:rPr>
      </w:pPr>
      <w:r>
        <w:rPr>
          <w:rFonts w:ascii="Arial" w:cs="Arial" w:eastAsia="Arial" w:hAnsi="Arial"/>
          <w:sz w:val="19"/>
          <w:szCs w:val="19"/>
          <w:b w:val="1"/>
          <w:bCs w:val="1"/>
          <w:color w:val="auto"/>
        </w:rPr>
        <w:t>NOTE 9 — TAXES ON INCOME (</w:t>
      </w:r>
      <w:r>
        <w:rPr>
          <w:rFonts w:ascii="Arial" w:cs="Arial" w:eastAsia="Arial" w:hAnsi="Arial"/>
          <w:sz w:val="19"/>
          <w:szCs w:val="19"/>
          <w:color w:val="auto"/>
        </w:rPr>
        <w:t>continued)</w:t>
      </w:r>
    </w:p>
    <w:p>
      <w:pPr>
        <w:spacing w:after="0" w:line="251" w:lineRule="exact"/>
        <w:rPr>
          <w:sz w:val="20"/>
          <w:szCs w:val="20"/>
          <w:color w:val="auto"/>
        </w:rPr>
      </w:pPr>
    </w:p>
    <w:p>
      <w:pPr>
        <w:ind w:left="305" w:hanging="305"/>
        <w:spacing w:after="0"/>
        <w:tabs>
          <w:tab w:leader="none" w:pos="305" w:val="left"/>
        </w:tabs>
        <w:numPr>
          <w:ilvl w:val="0"/>
          <w:numId w:val="181"/>
        </w:numPr>
        <w:rPr>
          <w:rFonts w:ascii="Arial" w:cs="Arial" w:eastAsia="Arial" w:hAnsi="Arial"/>
          <w:sz w:val="16"/>
          <w:szCs w:val="16"/>
          <w:b w:val="1"/>
          <w:bCs w:val="1"/>
          <w:color w:val="auto"/>
        </w:rPr>
      </w:pPr>
      <w:r>
        <w:rPr>
          <w:rFonts w:ascii="Arial" w:cs="Arial" w:eastAsia="Arial" w:hAnsi="Arial"/>
          <w:sz w:val="16"/>
          <w:szCs w:val="16"/>
          <w:b w:val="1"/>
          <w:bCs w:val="1"/>
          <w:color w:val="auto"/>
        </w:rPr>
        <w:t>Losses for tax purposes carried forward to future years</w:t>
      </w:r>
    </w:p>
    <w:p>
      <w:pPr>
        <w:spacing w:after="0" w:line="251" w:lineRule="exact"/>
        <w:rPr>
          <w:sz w:val="20"/>
          <w:szCs w:val="20"/>
          <w:color w:val="auto"/>
        </w:rPr>
      </w:pPr>
    </w:p>
    <w:p>
      <w:pPr>
        <w:ind w:left="305" w:right="160"/>
        <w:spacing w:after="0" w:line="284" w:lineRule="auto"/>
        <w:rPr>
          <w:sz w:val="20"/>
          <w:szCs w:val="20"/>
          <w:color w:val="auto"/>
        </w:rPr>
      </w:pPr>
      <w:r>
        <w:rPr>
          <w:rFonts w:ascii="Arial" w:cs="Arial" w:eastAsia="Arial" w:hAnsi="Arial"/>
          <w:sz w:val="19"/>
          <w:szCs w:val="19"/>
          <w:color w:val="auto"/>
        </w:rPr>
        <w:t>As of December 31, 2020, the Company had approximately $151.4 million of net carry forward tax losses which are available to reduce future taxable income with no limited period of use.</w:t>
      </w:r>
    </w:p>
    <w:p>
      <w:pPr>
        <w:spacing w:after="0" w:line="183" w:lineRule="exact"/>
        <w:rPr>
          <w:sz w:val="20"/>
          <w:szCs w:val="20"/>
          <w:color w:val="auto"/>
        </w:rPr>
      </w:pPr>
    </w:p>
    <w:tbl>
      <w:tblPr>
        <w:tblLayout w:type="fixed"/>
        <w:tblInd w:w="5" w:type="dxa"/>
        <w:tblCellMar>
          <w:top w:w="0" w:type="dxa"/>
          <w:left w:w="0" w:type="dxa"/>
          <w:bottom w:w="0" w:type="dxa"/>
          <w:right w:w="0" w:type="dxa"/>
        </w:tblCellMar>
      </w:tblPr>
      <w:tr>
        <w:trPr>
          <w:trHeight w:val="204"/>
        </w:trPr>
        <w:tc>
          <w:tcPr>
            <w:tcW w:w="8800" w:type="dxa"/>
            <w:vAlign w:val="bottom"/>
            <w:gridSpan w:val="2"/>
          </w:tcPr>
          <w:p>
            <w:pPr>
              <w:spacing w:after="0"/>
              <w:rPr>
                <w:sz w:val="20"/>
                <w:szCs w:val="20"/>
                <w:color w:val="auto"/>
              </w:rPr>
            </w:pPr>
            <w:r>
              <w:rPr>
                <w:rFonts w:ascii="Arial" w:cs="Arial" w:eastAsia="Arial" w:hAnsi="Arial"/>
                <w:sz w:val="16"/>
                <w:szCs w:val="16"/>
                <w:b w:val="1"/>
                <w:bCs w:val="1"/>
                <w:color w:val="auto"/>
              </w:rPr>
              <w:t>f.   Deferred income taxes:</w:t>
            </w: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1"/>
        </w:trPr>
        <w:tc>
          <w:tcPr>
            <w:tcW w:w="560" w:type="dxa"/>
            <w:vAlign w:val="bottom"/>
          </w:tcPr>
          <w:p>
            <w:pPr>
              <w:spacing w:after="0"/>
              <w:rPr>
                <w:sz w:val="24"/>
                <w:szCs w:val="24"/>
                <w:color w:val="auto"/>
              </w:rPr>
            </w:pPr>
          </w:p>
        </w:tc>
        <w:tc>
          <w:tcPr>
            <w:tcW w:w="82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rPr>
              <w:t>December, 31</w:t>
            </w:r>
          </w:p>
        </w:tc>
        <w:tc>
          <w:tcPr>
            <w:tcW w:w="7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3"/>
        </w:trPr>
        <w:tc>
          <w:tcPr>
            <w:tcW w:w="560" w:type="dxa"/>
            <w:vAlign w:val="bottom"/>
          </w:tcPr>
          <w:p>
            <w:pPr>
              <w:spacing w:after="0"/>
              <w:rPr>
                <w:sz w:val="16"/>
                <w:szCs w:val="16"/>
                <w:color w:val="auto"/>
              </w:rPr>
            </w:pPr>
          </w:p>
        </w:tc>
        <w:tc>
          <w:tcPr>
            <w:tcW w:w="82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rPr>
              <w:t>2019</w:t>
            </w:r>
          </w:p>
        </w:tc>
        <w:tc>
          <w:tcPr>
            <w:tcW w:w="2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w w:val="89"/>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560" w:type="dxa"/>
            <w:vAlign w:val="bottom"/>
          </w:tcPr>
          <w:p>
            <w:pPr>
              <w:spacing w:after="0"/>
              <w:rPr>
                <w:sz w:val="16"/>
                <w:szCs w:val="16"/>
                <w:color w:val="auto"/>
              </w:rPr>
            </w:pPr>
          </w:p>
        </w:tc>
        <w:tc>
          <w:tcPr>
            <w:tcW w:w="8240" w:type="dxa"/>
            <w:vAlign w:val="bottom"/>
            <w:shd w:val="clear" w:color="auto" w:fill="CCEEFF"/>
          </w:tcPr>
          <w:p>
            <w:pPr>
              <w:spacing w:after="0"/>
              <w:rPr>
                <w:sz w:val="20"/>
                <w:szCs w:val="20"/>
                <w:color w:val="auto"/>
              </w:rPr>
            </w:pPr>
            <w:r>
              <w:rPr>
                <w:rFonts w:ascii="Arial" w:cs="Arial" w:eastAsia="Arial" w:hAnsi="Arial"/>
                <w:sz w:val="16"/>
                <w:szCs w:val="16"/>
                <w:color w:val="auto"/>
              </w:rPr>
              <w:t>In respect of:</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560" w:type="dxa"/>
            <w:vAlign w:val="bottom"/>
          </w:tcPr>
          <w:p>
            <w:pPr>
              <w:spacing w:after="0"/>
              <w:rPr>
                <w:sz w:val="16"/>
                <w:szCs w:val="16"/>
                <w:color w:val="auto"/>
              </w:rPr>
            </w:pPr>
          </w:p>
        </w:tc>
        <w:tc>
          <w:tcPr>
            <w:tcW w:w="8240" w:type="dxa"/>
            <w:vAlign w:val="bottom"/>
          </w:tcPr>
          <w:p>
            <w:pPr>
              <w:spacing w:after="0"/>
              <w:rPr>
                <w:sz w:val="20"/>
                <w:szCs w:val="20"/>
                <w:color w:val="auto"/>
              </w:rPr>
            </w:pPr>
            <w:r>
              <w:rPr>
                <w:rFonts w:ascii="Arial" w:cs="Arial" w:eastAsia="Arial" w:hAnsi="Arial"/>
                <w:sz w:val="16"/>
                <w:szCs w:val="16"/>
                <w:color w:val="auto"/>
              </w:rPr>
              <w:t>Net operating loss carry forward</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25,879</w:t>
            </w:r>
          </w:p>
        </w:tc>
        <w:tc>
          <w:tcPr>
            <w:tcW w:w="220" w:type="dxa"/>
            <w:vAlign w:val="bottom"/>
          </w:tcPr>
          <w:p>
            <w:pPr>
              <w:spacing w:after="0"/>
              <w:rPr>
                <w:sz w:val="16"/>
                <w:szCs w:val="16"/>
                <w:color w:val="auto"/>
              </w:rPr>
            </w:pP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34,835</w:t>
            </w:r>
          </w:p>
        </w:tc>
        <w:tc>
          <w:tcPr>
            <w:tcW w:w="0" w:type="dxa"/>
            <w:vAlign w:val="bottom"/>
          </w:tcPr>
          <w:p>
            <w:pPr>
              <w:spacing w:after="0"/>
              <w:rPr>
                <w:sz w:val="1"/>
                <w:szCs w:val="1"/>
                <w:color w:val="auto"/>
              </w:rPr>
            </w:pPr>
          </w:p>
        </w:tc>
      </w:tr>
      <w:tr>
        <w:trPr>
          <w:trHeight w:val="189"/>
        </w:trPr>
        <w:tc>
          <w:tcPr>
            <w:tcW w:w="560" w:type="dxa"/>
            <w:vAlign w:val="bottom"/>
          </w:tcPr>
          <w:p>
            <w:pPr>
              <w:spacing w:after="0"/>
              <w:rPr>
                <w:sz w:val="16"/>
                <w:szCs w:val="16"/>
                <w:color w:val="auto"/>
              </w:rPr>
            </w:pPr>
          </w:p>
        </w:tc>
        <w:tc>
          <w:tcPr>
            <w:tcW w:w="8240" w:type="dxa"/>
            <w:vAlign w:val="bottom"/>
            <w:shd w:val="clear" w:color="auto" w:fill="CCEEFF"/>
          </w:tcPr>
          <w:p>
            <w:pPr>
              <w:spacing w:after="0"/>
              <w:rPr>
                <w:sz w:val="20"/>
                <w:szCs w:val="20"/>
                <w:color w:val="auto"/>
              </w:rPr>
            </w:pPr>
            <w:r>
              <w:rPr>
                <w:rFonts w:ascii="Arial" w:cs="Arial" w:eastAsia="Arial" w:hAnsi="Arial"/>
                <w:sz w:val="16"/>
                <w:szCs w:val="16"/>
                <w:color w:val="auto"/>
              </w:rPr>
              <w:t>Research and development expenses</w:t>
            </w:r>
          </w:p>
        </w:tc>
        <w:tc>
          <w:tcPr>
            <w:tcW w:w="2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7,842</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7,133</w:t>
            </w:r>
          </w:p>
        </w:tc>
        <w:tc>
          <w:tcPr>
            <w:tcW w:w="0" w:type="dxa"/>
            <w:vAlign w:val="bottom"/>
          </w:tcPr>
          <w:p>
            <w:pPr>
              <w:spacing w:after="0"/>
              <w:rPr>
                <w:sz w:val="1"/>
                <w:szCs w:val="1"/>
                <w:color w:val="auto"/>
              </w:rPr>
            </w:pPr>
          </w:p>
        </w:tc>
      </w:tr>
      <w:tr>
        <w:trPr>
          <w:trHeight w:val="189"/>
        </w:trPr>
        <w:tc>
          <w:tcPr>
            <w:tcW w:w="560" w:type="dxa"/>
            <w:vAlign w:val="bottom"/>
          </w:tcPr>
          <w:p>
            <w:pPr>
              <w:spacing w:after="0"/>
              <w:rPr>
                <w:sz w:val="16"/>
                <w:szCs w:val="16"/>
                <w:color w:val="auto"/>
              </w:rPr>
            </w:pPr>
          </w:p>
        </w:tc>
        <w:tc>
          <w:tcPr>
            <w:tcW w:w="8240" w:type="dxa"/>
            <w:vAlign w:val="bottom"/>
          </w:tcPr>
          <w:p>
            <w:pPr>
              <w:spacing w:after="0"/>
              <w:rPr>
                <w:sz w:val="20"/>
                <w:szCs w:val="20"/>
                <w:color w:val="auto"/>
              </w:rPr>
            </w:pPr>
            <w:r>
              <w:rPr>
                <w:rFonts w:ascii="Arial" w:cs="Arial" w:eastAsia="Arial" w:hAnsi="Arial"/>
                <w:sz w:val="16"/>
                <w:szCs w:val="16"/>
                <w:color w:val="auto"/>
              </w:rPr>
              <w:t>Other</w:t>
            </w:r>
          </w:p>
        </w:tc>
        <w:tc>
          <w:tcPr>
            <w:tcW w:w="24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1,226</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1,085</w:t>
            </w:r>
          </w:p>
        </w:tc>
        <w:tc>
          <w:tcPr>
            <w:tcW w:w="0" w:type="dxa"/>
            <w:vAlign w:val="bottom"/>
          </w:tcPr>
          <w:p>
            <w:pPr>
              <w:spacing w:after="0"/>
              <w:rPr>
                <w:sz w:val="1"/>
                <w:szCs w:val="1"/>
                <w:color w:val="auto"/>
              </w:rPr>
            </w:pPr>
          </w:p>
        </w:tc>
      </w:tr>
      <w:tr>
        <w:trPr>
          <w:trHeight w:val="189"/>
        </w:trPr>
        <w:tc>
          <w:tcPr>
            <w:tcW w:w="560" w:type="dxa"/>
            <w:vAlign w:val="bottom"/>
          </w:tcPr>
          <w:p>
            <w:pPr>
              <w:spacing w:after="0"/>
              <w:rPr>
                <w:sz w:val="16"/>
                <w:szCs w:val="16"/>
                <w:color w:val="auto"/>
              </w:rPr>
            </w:pPr>
          </w:p>
        </w:tc>
        <w:tc>
          <w:tcPr>
            <w:tcW w:w="8240" w:type="dxa"/>
            <w:vAlign w:val="bottom"/>
            <w:shd w:val="clear" w:color="auto" w:fill="CCEEFF"/>
          </w:tcPr>
          <w:p>
            <w:pPr>
              <w:spacing w:after="0"/>
              <w:rPr>
                <w:sz w:val="20"/>
                <w:szCs w:val="20"/>
                <w:color w:val="auto"/>
              </w:rPr>
            </w:pPr>
            <w:r>
              <w:rPr>
                <w:rFonts w:ascii="Arial" w:cs="Arial" w:eastAsia="Arial" w:hAnsi="Arial"/>
                <w:sz w:val="16"/>
                <w:szCs w:val="16"/>
                <w:color w:val="auto"/>
              </w:rPr>
              <w:t>Less – valuation allowance</w:t>
            </w:r>
          </w:p>
        </w:tc>
        <w:tc>
          <w:tcPr>
            <w:tcW w:w="24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(34,947)</w:t>
            </w: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(43,053)</w:t>
            </w:r>
          </w:p>
        </w:tc>
        <w:tc>
          <w:tcPr>
            <w:tcW w:w="0" w:type="dxa"/>
            <w:vAlign w:val="bottom"/>
          </w:tcPr>
          <w:p>
            <w:pPr>
              <w:spacing w:after="0"/>
              <w:rPr>
                <w:sz w:val="1"/>
                <w:szCs w:val="1"/>
                <w:color w:val="auto"/>
              </w:rPr>
            </w:pPr>
          </w:p>
        </w:tc>
      </w:tr>
      <w:tr>
        <w:trPr>
          <w:trHeight w:val="24"/>
        </w:trPr>
        <w:tc>
          <w:tcPr>
            <w:tcW w:w="560" w:type="dxa"/>
            <w:vAlign w:val="bottom"/>
            <w:vMerge w:val="restart"/>
          </w:tcPr>
          <w:p>
            <w:pPr>
              <w:spacing w:after="0"/>
              <w:rPr>
                <w:sz w:val="2"/>
                <w:szCs w:val="2"/>
                <w:color w:val="auto"/>
              </w:rPr>
            </w:pPr>
          </w:p>
        </w:tc>
        <w:tc>
          <w:tcPr>
            <w:tcW w:w="8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560" w:type="dxa"/>
            <w:vAlign w:val="bottom"/>
            <w:vMerge w:val="continue"/>
          </w:tcPr>
          <w:p>
            <w:pPr>
              <w:spacing w:after="0"/>
              <w:rPr>
                <w:sz w:val="16"/>
                <w:szCs w:val="16"/>
                <w:color w:val="auto"/>
              </w:rPr>
            </w:pPr>
          </w:p>
        </w:tc>
        <w:tc>
          <w:tcPr>
            <w:tcW w:w="8240" w:type="dxa"/>
            <w:vAlign w:val="bottom"/>
          </w:tcPr>
          <w:p>
            <w:pPr>
              <w:spacing w:after="0"/>
              <w:rPr>
                <w:sz w:val="20"/>
                <w:szCs w:val="20"/>
                <w:color w:val="auto"/>
              </w:rPr>
            </w:pPr>
            <w:r>
              <w:rPr>
                <w:rFonts w:ascii="Arial" w:cs="Arial" w:eastAsia="Arial" w:hAnsi="Arial"/>
                <w:sz w:val="16"/>
                <w:szCs w:val="16"/>
                <w:color w:val="auto"/>
              </w:rPr>
              <w:t>Net deferred tax assets</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8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0" w:lineRule="exact"/>
        <w:rPr>
          <w:sz w:val="20"/>
          <w:szCs w:val="20"/>
          <w:color w:val="auto"/>
        </w:rPr>
      </w:pPr>
    </w:p>
    <w:p>
      <w:pPr>
        <w:ind w:left="305" w:hanging="305"/>
        <w:spacing w:after="0"/>
        <w:tabs>
          <w:tab w:leader="none" w:pos="305" w:val="left"/>
        </w:tabs>
        <w:numPr>
          <w:ilvl w:val="0"/>
          <w:numId w:val="182"/>
        </w:numPr>
        <w:rPr>
          <w:rFonts w:ascii="Arial" w:cs="Arial" w:eastAsia="Arial" w:hAnsi="Arial"/>
          <w:sz w:val="16"/>
          <w:szCs w:val="16"/>
          <w:b w:val="1"/>
          <w:bCs w:val="1"/>
          <w:color w:val="auto"/>
        </w:rPr>
      </w:pPr>
      <w:r>
        <w:rPr>
          <w:rFonts w:ascii="Arial" w:cs="Arial" w:eastAsia="Arial" w:hAnsi="Arial"/>
          <w:sz w:val="16"/>
          <w:szCs w:val="16"/>
          <w:b w:val="1"/>
          <w:bCs w:val="1"/>
          <w:color w:val="auto"/>
        </w:rPr>
        <w:t>Reconciliation of theoretical tax expenses to actual expenses</w:t>
      </w:r>
    </w:p>
    <w:p>
      <w:pPr>
        <w:spacing w:after="0" w:line="251" w:lineRule="exact"/>
        <w:rPr>
          <w:sz w:val="20"/>
          <w:szCs w:val="20"/>
          <w:color w:val="auto"/>
        </w:rPr>
      </w:pPr>
    </w:p>
    <w:p>
      <w:pPr>
        <w:ind w:left="305" w:right="160"/>
        <w:spacing w:after="0" w:line="345" w:lineRule="auto"/>
        <w:rPr>
          <w:sz w:val="20"/>
          <w:szCs w:val="20"/>
          <w:color w:val="auto"/>
        </w:rPr>
      </w:pPr>
      <w:r>
        <w:rPr>
          <w:rFonts w:ascii="Arial" w:cs="Arial" w:eastAsia="Arial" w:hAnsi="Arial"/>
          <w:sz w:val="17"/>
          <w:szCs w:val="17"/>
          <w:color w:val="auto"/>
        </w:rPr>
        <w:t>Actual tax expenses are in respect of the U.S. subsidiary. The primary reconciling items between the statutory tax rate of the Company and the effective rate are the full valuation allowance of deferred tax assets and nondeductible expenses in relation to the operations in Israel.</w:t>
      </w:r>
    </w:p>
    <w:p>
      <w:pPr>
        <w:spacing w:after="0" w:line="138" w:lineRule="exact"/>
        <w:rPr>
          <w:sz w:val="20"/>
          <w:szCs w:val="20"/>
          <w:color w:val="auto"/>
        </w:rPr>
      </w:pPr>
    </w:p>
    <w:p>
      <w:pPr>
        <w:ind w:left="305" w:hanging="305"/>
        <w:spacing w:after="0"/>
        <w:tabs>
          <w:tab w:leader="none" w:pos="305" w:val="left"/>
        </w:tabs>
        <w:numPr>
          <w:ilvl w:val="0"/>
          <w:numId w:val="183"/>
        </w:numPr>
        <w:rPr>
          <w:rFonts w:ascii="Arial" w:cs="Arial" w:eastAsia="Arial" w:hAnsi="Arial"/>
          <w:sz w:val="16"/>
          <w:szCs w:val="16"/>
          <w:b w:val="1"/>
          <w:bCs w:val="1"/>
          <w:color w:val="auto"/>
        </w:rPr>
      </w:pPr>
      <w:r>
        <w:rPr>
          <w:rFonts w:ascii="Arial" w:cs="Arial" w:eastAsia="Arial" w:hAnsi="Arial"/>
          <w:sz w:val="16"/>
          <w:szCs w:val="16"/>
          <w:b w:val="1"/>
          <w:bCs w:val="1"/>
          <w:color w:val="auto"/>
        </w:rPr>
        <w:t>Roll forward of valuation allowance</w:t>
      </w:r>
    </w:p>
    <w:p>
      <w:pPr>
        <w:spacing w:after="0" w:line="258" w:lineRule="exact"/>
        <w:rPr>
          <w:sz w:val="20"/>
          <w:szCs w:val="20"/>
          <w:color w:val="auto"/>
        </w:rPr>
      </w:pPr>
    </w:p>
    <w:tbl>
      <w:tblPr>
        <w:tblLayout w:type="fixed"/>
        <w:tblInd w:w="565" w:type="dxa"/>
        <w:tblCellMar>
          <w:top w:w="0" w:type="dxa"/>
          <w:left w:w="0" w:type="dxa"/>
          <w:bottom w:w="0" w:type="dxa"/>
          <w:right w:w="0" w:type="dxa"/>
        </w:tblCellMar>
      </w:tblPr>
      <w:tr>
        <w:trPr>
          <w:trHeight w:val="189"/>
        </w:trPr>
        <w:tc>
          <w:tcPr>
            <w:tcW w:w="20" w:type="dxa"/>
            <w:vAlign w:val="bottom"/>
          </w:tcPr>
          <w:p>
            <w:pPr>
              <w:spacing w:after="0"/>
              <w:rPr>
                <w:sz w:val="16"/>
                <w:szCs w:val="16"/>
                <w:color w:val="auto"/>
              </w:rPr>
            </w:pPr>
          </w:p>
        </w:tc>
        <w:tc>
          <w:tcPr>
            <w:tcW w:w="9500" w:type="dxa"/>
            <w:vAlign w:val="bottom"/>
            <w:shd w:val="clear" w:color="auto" w:fill="CCEEFF"/>
          </w:tcPr>
          <w:p>
            <w:pPr>
              <w:spacing w:after="0"/>
              <w:rPr>
                <w:sz w:val="20"/>
                <w:szCs w:val="20"/>
                <w:color w:val="auto"/>
              </w:rPr>
            </w:pPr>
            <w:r>
              <w:rPr>
                <w:rFonts w:ascii="Arial" w:cs="Arial" w:eastAsia="Arial" w:hAnsi="Arial"/>
                <w:sz w:val="16"/>
                <w:szCs w:val="16"/>
                <w:color w:val="auto"/>
              </w:rPr>
              <w:t>Balance at January 1, 2018</w:t>
            </w: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21,982</w:t>
            </w:r>
          </w:p>
        </w:tc>
      </w:tr>
      <w:tr>
        <w:trPr>
          <w:trHeight w:val="193"/>
        </w:trPr>
        <w:tc>
          <w:tcPr>
            <w:tcW w:w="20" w:type="dxa"/>
            <w:vAlign w:val="bottom"/>
          </w:tcPr>
          <w:p>
            <w:pPr>
              <w:spacing w:after="0"/>
              <w:rPr>
                <w:sz w:val="16"/>
                <w:szCs w:val="16"/>
                <w:color w:val="auto"/>
              </w:rPr>
            </w:pPr>
          </w:p>
        </w:tc>
        <w:tc>
          <w:tcPr>
            <w:tcW w:w="9500" w:type="dxa"/>
            <w:vAlign w:val="bottom"/>
          </w:tcPr>
          <w:p>
            <w:pPr>
              <w:spacing w:after="0"/>
              <w:rPr>
                <w:sz w:val="20"/>
                <w:szCs w:val="20"/>
                <w:color w:val="auto"/>
              </w:rPr>
            </w:pPr>
            <w:r>
              <w:rPr>
                <w:rFonts w:ascii="Arial" w:cs="Arial" w:eastAsia="Arial" w:hAnsi="Arial"/>
                <w:sz w:val="16"/>
                <w:szCs w:val="16"/>
                <w:color w:val="auto"/>
              </w:rPr>
              <w:t>Additions</w:t>
            </w: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4,184</w:t>
            </w:r>
          </w:p>
        </w:tc>
        <w:tc>
          <w:tcPr>
            <w:tcW w:w="120" w:type="dxa"/>
            <w:vAlign w:val="bottom"/>
          </w:tcPr>
          <w:p>
            <w:pPr>
              <w:spacing w:after="0"/>
              <w:rPr>
                <w:sz w:val="16"/>
                <w:szCs w:val="16"/>
                <w:color w:val="auto"/>
              </w:rPr>
            </w:pPr>
          </w:p>
        </w:tc>
      </w:tr>
      <w:tr>
        <w:trPr>
          <w:trHeight w:val="193"/>
        </w:trPr>
        <w:tc>
          <w:tcPr>
            <w:tcW w:w="20" w:type="dxa"/>
            <w:vAlign w:val="bottom"/>
          </w:tcPr>
          <w:p>
            <w:pPr>
              <w:spacing w:after="0"/>
              <w:rPr>
                <w:sz w:val="16"/>
                <w:szCs w:val="16"/>
                <w:color w:val="auto"/>
              </w:rPr>
            </w:pPr>
          </w:p>
        </w:tc>
        <w:tc>
          <w:tcPr>
            <w:tcW w:w="9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Balance at December 31, 2018</w:t>
            </w:r>
          </w:p>
        </w:tc>
        <w:tc>
          <w:tcPr>
            <w:tcW w:w="360" w:type="dxa"/>
            <w:vAlign w:val="bottom"/>
            <w:tcBorders>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26,166</w:t>
            </w:r>
          </w:p>
        </w:tc>
        <w:tc>
          <w:tcPr>
            <w:tcW w:w="120" w:type="dxa"/>
            <w:vAlign w:val="bottom"/>
            <w:tcBorders>
              <w:bottom w:val="single" w:sz="8" w:color="CCEEFF"/>
            </w:tcBorders>
            <w:shd w:val="clear" w:color="auto" w:fill="CCEEFF"/>
          </w:tcPr>
          <w:p>
            <w:pPr>
              <w:spacing w:after="0"/>
              <w:rPr>
                <w:sz w:val="16"/>
                <w:szCs w:val="16"/>
                <w:color w:val="auto"/>
              </w:rPr>
            </w:pPr>
          </w:p>
        </w:tc>
      </w:tr>
      <w:tr>
        <w:trPr>
          <w:trHeight w:val="193"/>
        </w:trPr>
        <w:tc>
          <w:tcPr>
            <w:tcW w:w="20" w:type="dxa"/>
            <w:vAlign w:val="bottom"/>
          </w:tcPr>
          <w:p>
            <w:pPr>
              <w:spacing w:after="0"/>
              <w:rPr>
                <w:sz w:val="16"/>
                <w:szCs w:val="16"/>
                <w:color w:val="auto"/>
              </w:rPr>
            </w:pPr>
          </w:p>
        </w:tc>
        <w:tc>
          <w:tcPr>
            <w:tcW w:w="9500" w:type="dxa"/>
            <w:vAlign w:val="bottom"/>
          </w:tcPr>
          <w:p>
            <w:pPr>
              <w:spacing w:after="0"/>
              <w:rPr>
                <w:sz w:val="20"/>
                <w:szCs w:val="20"/>
                <w:color w:val="auto"/>
              </w:rPr>
            </w:pPr>
            <w:r>
              <w:rPr>
                <w:rFonts w:ascii="Arial" w:cs="Arial" w:eastAsia="Arial" w:hAnsi="Arial"/>
                <w:sz w:val="16"/>
                <w:szCs w:val="16"/>
                <w:color w:val="auto"/>
              </w:rPr>
              <w:t>Additions</w:t>
            </w: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8,781</w:t>
            </w:r>
          </w:p>
        </w:tc>
        <w:tc>
          <w:tcPr>
            <w:tcW w:w="120" w:type="dxa"/>
            <w:vAlign w:val="bottom"/>
          </w:tcPr>
          <w:p>
            <w:pPr>
              <w:spacing w:after="0"/>
              <w:rPr>
                <w:sz w:val="16"/>
                <w:szCs w:val="16"/>
                <w:color w:val="auto"/>
              </w:rPr>
            </w:pPr>
          </w:p>
        </w:tc>
      </w:tr>
      <w:tr>
        <w:trPr>
          <w:trHeight w:val="229"/>
        </w:trPr>
        <w:tc>
          <w:tcPr>
            <w:tcW w:w="20" w:type="dxa"/>
            <w:vAlign w:val="bottom"/>
          </w:tcPr>
          <w:p>
            <w:pPr>
              <w:spacing w:after="0"/>
              <w:rPr>
                <w:sz w:val="19"/>
                <w:szCs w:val="19"/>
                <w:color w:val="auto"/>
              </w:rPr>
            </w:pPr>
          </w:p>
        </w:tc>
        <w:tc>
          <w:tcPr>
            <w:tcW w:w="9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Balance at December 31, 2019</w:t>
            </w:r>
          </w:p>
        </w:tc>
        <w:tc>
          <w:tcPr>
            <w:tcW w:w="360" w:type="dxa"/>
            <w:vAlign w:val="bottom"/>
            <w:tcBorders>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34,947</w:t>
            </w:r>
          </w:p>
        </w:tc>
        <w:tc>
          <w:tcPr>
            <w:tcW w:w="120" w:type="dxa"/>
            <w:vAlign w:val="bottom"/>
            <w:tcBorders>
              <w:bottom w:val="single" w:sz="8" w:color="CCEEFF"/>
            </w:tcBorders>
            <w:shd w:val="clear" w:color="auto" w:fill="CCEEFF"/>
          </w:tcPr>
          <w:p>
            <w:pPr>
              <w:spacing w:after="0"/>
              <w:rPr>
                <w:sz w:val="19"/>
                <w:szCs w:val="19"/>
                <w:color w:val="auto"/>
              </w:rPr>
            </w:pPr>
          </w:p>
        </w:tc>
      </w:tr>
      <w:tr>
        <w:trPr>
          <w:trHeight w:val="180"/>
        </w:trPr>
        <w:tc>
          <w:tcPr>
            <w:tcW w:w="20" w:type="dxa"/>
            <w:vAlign w:val="bottom"/>
          </w:tcPr>
          <w:p>
            <w:pPr>
              <w:spacing w:after="0"/>
              <w:rPr>
                <w:sz w:val="15"/>
                <w:szCs w:val="15"/>
                <w:color w:val="auto"/>
              </w:rPr>
            </w:pPr>
          </w:p>
        </w:tc>
        <w:tc>
          <w:tcPr>
            <w:tcW w:w="9500" w:type="dxa"/>
            <w:vAlign w:val="bottom"/>
          </w:tcPr>
          <w:p>
            <w:pPr>
              <w:spacing w:after="0" w:line="177" w:lineRule="exact"/>
              <w:rPr>
                <w:sz w:val="20"/>
                <w:szCs w:val="20"/>
                <w:color w:val="auto"/>
              </w:rPr>
            </w:pPr>
            <w:r>
              <w:rPr>
                <w:rFonts w:ascii="Arial" w:cs="Arial" w:eastAsia="Arial" w:hAnsi="Arial"/>
                <w:sz w:val="16"/>
                <w:szCs w:val="16"/>
                <w:color w:val="auto"/>
              </w:rPr>
              <w:t>Additions</w:t>
            </w:r>
          </w:p>
        </w:tc>
        <w:tc>
          <w:tcPr>
            <w:tcW w:w="3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line="177" w:lineRule="exact"/>
              <w:rPr>
                <w:sz w:val="20"/>
                <w:szCs w:val="20"/>
                <w:color w:val="auto"/>
              </w:rPr>
            </w:pPr>
            <w:r>
              <w:rPr>
                <w:rFonts w:ascii="Arial" w:cs="Arial" w:eastAsia="Arial" w:hAnsi="Arial"/>
                <w:sz w:val="16"/>
                <w:szCs w:val="16"/>
                <w:color w:val="auto"/>
              </w:rPr>
              <w:t>8,106</w:t>
            </w:r>
          </w:p>
        </w:tc>
        <w:tc>
          <w:tcPr>
            <w:tcW w:w="120" w:type="dxa"/>
            <w:vAlign w:val="bottom"/>
          </w:tcPr>
          <w:p>
            <w:pPr>
              <w:spacing w:after="0"/>
              <w:rPr>
                <w:sz w:val="15"/>
                <w:szCs w:val="15"/>
                <w:color w:val="auto"/>
              </w:rPr>
            </w:pPr>
          </w:p>
        </w:tc>
      </w:tr>
      <w:tr>
        <w:trPr>
          <w:trHeight w:val="229"/>
        </w:trPr>
        <w:tc>
          <w:tcPr>
            <w:tcW w:w="20" w:type="dxa"/>
            <w:vAlign w:val="bottom"/>
          </w:tcPr>
          <w:p>
            <w:pPr>
              <w:spacing w:after="0"/>
              <w:rPr>
                <w:sz w:val="19"/>
                <w:szCs w:val="19"/>
                <w:color w:val="auto"/>
              </w:rPr>
            </w:pPr>
          </w:p>
        </w:tc>
        <w:tc>
          <w:tcPr>
            <w:tcW w:w="9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Balance at December 31, 2020</w:t>
            </w:r>
          </w:p>
        </w:tc>
        <w:tc>
          <w:tcPr>
            <w:tcW w:w="360" w:type="dxa"/>
            <w:vAlign w:val="bottom"/>
            <w:tcBorders>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43,053</w:t>
            </w:r>
          </w:p>
        </w:tc>
        <w:tc>
          <w:tcPr>
            <w:tcW w:w="120" w:type="dxa"/>
            <w:vAlign w:val="bottom"/>
            <w:tcBorders>
              <w:bottom w:val="single" w:sz="8" w:color="CCEEFF"/>
            </w:tcBorders>
            <w:shd w:val="clear" w:color="auto" w:fill="CCEEFF"/>
          </w:tcPr>
          <w:p>
            <w:pPr>
              <w:spacing w:after="0"/>
              <w:rPr>
                <w:sz w:val="19"/>
                <w:szCs w:val="19"/>
                <w:color w:val="auto"/>
              </w:rPr>
            </w:pPr>
          </w:p>
        </w:tc>
      </w:tr>
    </w:tbl>
    <w:p>
      <w:pPr>
        <w:spacing w:after="0" w:line="220" w:lineRule="exact"/>
        <w:rPr>
          <w:sz w:val="20"/>
          <w:szCs w:val="20"/>
          <w:color w:val="auto"/>
        </w:rPr>
      </w:pPr>
    </w:p>
    <w:p>
      <w:pPr>
        <w:ind w:left="305" w:hanging="305"/>
        <w:spacing w:after="0"/>
        <w:tabs>
          <w:tab w:leader="none" w:pos="305" w:val="left"/>
        </w:tabs>
        <w:numPr>
          <w:ilvl w:val="0"/>
          <w:numId w:val="184"/>
        </w:numPr>
        <w:rPr>
          <w:rFonts w:ascii="Arial" w:cs="Arial" w:eastAsia="Arial" w:hAnsi="Arial"/>
          <w:sz w:val="16"/>
          <w:szCs w:val="16"/>
          <w:b w:val="1"/>
          <w:bCs w:val="1"/>
          <w:color w:val="auto"/>
        </w:rPr>
      </w:pPr>
      <w:r>
        <w:rPr>
          <w:rFonts w:ascii="Arial" w:cs="Arial" w:eastAsia="Arial" w:hAnsi="Arial"/>
          <w:sz w:val="16"/>
          <w:szCs w:val="16"/>
          <w:b w:val="1"/>
          <w:bCs w:val="1"/>
          <w:color w:val="auto"/>
        </w:rPr>
        <w:t>Provision for uncertain tax positions</w:t>
      </w:r>
    </w:p>
    <w:p>
      <w:pPr>
        <w:spacing w:after="0" w:line="251" w:lineRule="exact"/>
        <w:rPr>
          <w:sz w:val="20"/>
          <w:szCs w:val="20"/>
          <w:color w:val="auto"/>
        </w:rPr>
      </w:pPr>
    </w:p>
    <w:p>
      <w:pPr>
        <w:ind w:left="305"/>
        <w:spacing w:after="0"/>
        <w:rPr>
          <w:sz w:val="20"/>
          <w:szCs w:val="20"/>
          <w:color w:val="auto"/>
        </w:rPr>
      </w:pPr>
      <w:r>
        <w:rPr>
          <w:rFonts w:ascii="Arial" w:cs="Arial" w:eastAsia="Arial" w:hAnsi="Arial"/>
          <w:sz w:val="19"/>
          <w:szCs w:val="19"/>
          <w:color w:val="auto"/>
        </w:rPr>
        <w:t>As of December 31, 2019, and 2020, the Company does not have a provision for uncertain tax positions.</w:t>
      </w:r>
    </w:p>
    <w:p>
      <w:pPr>
        <w:spacing w:after="0" w:line="200" w:lineRule="exact"/>
        <w:rPr>
          <w:sz w:val="20"/>
          <w:szCs w:val="20"/>
          <w:color w:val="auto"/>
        </w:rPr>
      </w:pPr>
    </w:p>
    <w:p>
      <w:pPr>
        <w:spacing w:after="0" w:line="20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46355</wp:posOffset>
            </wp:positionV>
            <wp:extent cx="7149465" cy="1524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77" w:name="page178"/>
    <w:bookmarkEnd w:id="177"/>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 xml:space="preserve">NOTES TO THE CONSOLIDATED FINANCIAL STATEMENTS </w:t>
      </w:r>
      <w:r>
        <w:rPr>
          <w:rFonts w:ascii="Arial" w:cs="Arial" w:eastAsia="Arial" w:hAnsi="Arial"/>
          <w:sz w:val="19"/>
          <w:szCs w:val="19"/>
          <w:color w:val="auto"/>
        </w:rPr>
        <w:t>(continued)</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(U.S. dollars in thousands, except share and per share amounts)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10 —  SUPPLEMENTARY FINANCIAL STATEMENT INFORMATION</w:t>
      </w:r>
    </w:p>
    <w:p>
      <w:pPr>
        <w:spacing w:after="0" w:line="261" w:lineRule="exact"/>
        <w:rPr>
          <w:sz w:val="20"/>
          <w:szCs w:val="20"/>
          <w:color w:val="auto"/>
        </w:rPr>
      </w:pPr>
    </w:p>
    <w:p>
      <w:pPr>
        <w:ind w:left="280"/>
        <w:spacing w:after="0"/>
        <w:rPr>
          <w:sz w:val="20"/>
          <w:szCs w:val="20"/>
          <w:color w:val="auto"/>
        </w:rPr>
      </w:pPr>
      <w:r>
        <w:rPr>
          <w:rFonts w:ascii="Arial" w:cs="Arial" w:eastAsia="Arial" w:hAnsi="Arial"/>
          <w:sz w:val="19"/>
          <w:szCs w:val="19"/>
          <w:color w:val="auto"/>
        </w:rPr>
        <w:t>Other accounts payables and accruals</w:t>
      </w:r>
    </w:p>
    <w:p>
      <w:pPr>
        <w:spacing w:after="0" w:line="245" w:lineRule="exact"/>
        <w:rPr>
          <w:sz w:val="20"/>
          <w:szCs w:val="20"/>
          <w:color w:val="auto"/>
        </w:rPr>
      </w:pPr>
    </w:p>
    <w:tbl>
      <w:tblPr>
        <w:tblLayout w:type="fixed"/>
        <w:tblInd w:w="560" w:type="dxa"/>
        <w:tblCellMar>
          <w:top w:w="0" w:type="dxa"/>
          <w:left w:w="0" w:type="dxa"/>
          <w:bottom w:w="0" w:type="dxa"/>
          <w:right w:w="0" w:type="dxa"/>
        </w:tblCellMar>
      </w:tblPr>
      <w:tr>
        <w:trPr>
          <w:trHeight w:val="209"/>
        </w:trPr>
        <w:tc>
          <w:tcPr>
            <w:tcW w:w="20" w:type="dxa"/>
            <w:vAlign w:val="bottom"/>
          </w:tcPr>
          <w:p>
            <w:pPr>
              <w:spacing w:after="0"/>
              <w:rPr>
                <w:sz w:val="18"/>
                <w:szCs w:val="18"/>
                <w:color w:val="auto"/>
              </w:rPr>
            </w:pPr>
          </w:p>
        </w:tc>
        <w:tc>
          <w:tcPr>
            <w:tcW w:w="822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w w:val="86"/>
              </w:rPr>
              <w:t>December, 31</w:t>
            </w:r>
          </w:p>
        </w:tc>
        <w:tc>
          <w:tcPr>
            <w:tcW w:w="70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c>
          <w:tcPr>
            <w:tcW w:w="3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81"/>
              <w:spacing w:after="0"/>
              <w:rPr>
                <w:sz w:val="20"/>
                <w:szCs w:val="20"/>
                <w:color w:val="auto"/>
              </w:rPr>
            </w:pPr>
            <w:r>
              <w:rPr>
                <w:rFonts w:ascii="Arial" w:cs="Arial" w:eastAsia="Arial" w:hAnsi="Arial"/>
                <w:sz w:val="16"/>
                <w:szCs w:val="16"/>
                <w:b w:val="1"/>
                <w:bCs w:val="1"/>
                <w:color w:val="auto"/>
                <w:w w:val="89"/>
              </w:rPr>
              <w:t>2020</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restart"/>
          </w:tcPr>
          <w:p>
            <w:pPr>
              <w:spacing w:after="0"/>
              <w:rPr>
                <w:sz w:val="16"/>
                <w:szCs w:val="16"/>
                <w:color w:val="auto"/>
              </w:rPr>
            </w:pPr>
          </w:p>
        </w:tc>
        <w:tc>
          <w:tcPr>
            <w:tcW w:w="82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vMerge w:val="continue"/>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Accrued expenses</w:t>
            </w:r>
          </w:p>
        </w:tc>
        <w:tc>
          <w:tcPr>
            <w:tcW w:w="700" w:type="dxa"/>
            <w:vAlign w:val="bottom"/>
            <w:shd w:val="clear" w:color="auto" w:fill="CCEEFF"/>
          </w:tcPr>
          <w:p>
            <w:pPr>
              <w:jc w:val="right"/>
              <w:ind w:right="545"/>
              <w:spacing w:after="0"/>
              <w:rPr>
                <w:sz w:val="20"/>
                <w:szCs w:val="20"/>
                <w:color w:val="auto"/>
              </w:rPr>
            </w:pPr>
            <w:r>
              <w:rPr>
                <w:rFonts w:ascii="Arial" w:cs="Arial" w:eastAsia="Arial" w:hAnsi="Arial"/>
                <w:sz w:val="15"/>
                <w:szCs w:val="15"/>
                <w:color w:val="auto"/>
                <w:w w:val="71"/>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4"/>
              </w:rPr>
              <w:t>3,249</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3,250</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20"/>
                <w:szCs w:val="20"/>
                <w:color w:val="auto"/>
              </w:rPr>
            </w:pPr>
            <w:r>
              <w:rPr>
                <w:rFonts w:ascii="Arial" w:cs="Arial" w:eastAsia="Arial" w:hAnsi="Arial"/>
                <w:sz w:val="16"/>
                <w:szCs w:val="16"/>
                <w:color w:val="auto"/>
              </w:rPr>
              <w:t>Employees payables</w:t>
            </w:r>
          </w:p>
        </w:tc>
        <w:tc>
          <w:tcPr>
            <w:tcW w:w="70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841</w:t>
            </w: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812</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shd w:val="clear" w:color="auto" w:fill="CCEEFF"/>
          </w:tcPr>
          <w:p>
            <w:pPr>
              <w:spacing w:after="0"/>
              <w:rPr>
                <w:sz w:val="20"/>
                <w:szCs w:val="20"/>
                <w:color w:val="auto"/>
              </w:rPr>
            </w:pPr>
            <w:r>
              <w:rPr>
                <w:rFonts w:ascii="Arial" w:cs="Arial" w:eastAsia="Arial" w:hAnsi="Arial"/>
                <w:sz w:val="16"/>
                <w:szCs w:val="16"/>
                <w:color w:val="auto"/>
              </w:rPr>
              <w:t>Other</w:t>
            </w:r>
          </w:p>
        </w:tc>
        <w:tc>
          <w:tcPr>
            <w:tcW w:w="700" w:type="dxa"/>
            <w:vAlign w:val="bottom"/>
            <w:shd w:val="clear" w:color="auto" w:fill="CCEEFF"/>
          </w:tcPr>
          <w:p>
            <w:pPr>
              <w:spacing w:after="0"/>
              <w:rPr>
                <w:sz w:val="16"/>
                <w:szCs w:val="16"/>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22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8220" w:type="dxa"/>
            <w:vAlign w:val="bottom"/>
            <w:shd w:val="clear" w:color="auto" w:fill="CCEEFF"/>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9"/>
        </w:trPr>
        <w:tc>
          <w:tcPr>
            <w:tcW w:w="20" w:type="dxa"/>
            <w:vAlign w:val="bottom"/>
          </w:tcPr>
          <w:p>
            <w:pPr>
              <w:spacing w:after="0"/>
              <w:rPr>
                <w:sz w:val="16"/>
                <w:szCs w:val="16"/>
                <w:color w:val="auto"/>
              </w:rPr>
            </w:pPr>
          </w:p>
        </w:tc>
        <w:tc>
          <w:tcPr>
            <w:tcW w:w="8220" w:type="dxa"/>
            <w:vAlign w:val="bottom"/>
          </w:tcPr>
          <w:p>
            <w:pPr>
              <w:spacing w:after="0"/>
              <w:rPr>
                <w:sz w:val="16"/>
                <w:szCs w:val="16"/>
                <w:color w:val="auto"/>
              </w:rPr>
            </w:pPr>
          </w:p>
        </w:tc>
        <w:tc>
          <w:tcPr>
            <w:tcW w:w="700" w:type="dxa"/>
            <w:vAlign w:val="bottom"/>
          </w:tcPr>
          <w:p>
            <w:pPr>
              <w:jc w:val="right"/>
              <w:ind w:right="545"/>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6"/>
                <w:szCs w:val="16"/>
                <w:color w:val="auto"/>
                <w:w w:val="84"/>
              </w:rPr>
              <w:t>4,123</w:t>
            </w:r>
          </w:p>
        </w:tc>
        <w:tc>
          <w:tcPr>
            <w:tcW w:w="220" w:type="dxa"/>
            <w:vAlign w:val="bottom"/>
          </w:tcPr>
          <w:p>
            <w:pPr>
              <w:spacing w:after="0"/>
              <w:rPr>
                <w:sz w:val="16"/>
                <w:szCs w:val="16"/>
                <w:color w:val="auto"/>
              </w:rPr>
            </w:pP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20"/>
              <w:spacing w:after="0"/>
              <w:rPr>
                <w:sz w:val="20"/>
                <w:szCs w:val="20"/>
                <w:color w:val="auto"/>
              </w:rPr>
            </w:pPr>
            <w:r>
              <w:rPr>
                <w:rFonts w:ascii="Arial" w:cs="Arial" w:eastAsia="Arial" w:hAnsi="Arial"/>
                <w:sz w:val="16"/>
                <w:szCs w:val="16"/>
                <w:color w:val="auto"/>
              </w:rPr>
              <w:t>4,088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2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NOTE 11 — RELATED PARTIES</w:t>
      </w:r>
    </w:p>
    <w:p>
      <w:pPr>
        <w:spacing w:after="0" w:line="255" w:lineRule="exact"/>
        <w:rPr>
          <w:sz w:val="20"/>
          <w:szCs w:val="20"/>
          <w:color w:val="auto"/>
        </w:rPr>
      </w:pPr>
    </w:p>
    <w:p>
      <w:pPr>
        <w:ind w:left="560" w:hanging="282"/>
        <w:spacing w:after="0"/>
        <w:tabs>
          <w:tab w:leader="none" w:pos="560" w:val="left"/>
        </w:tabs>
        <w:numPr>
          <w:ilvl w:val="0"/>
          <w:numId w:val="185"/>
        </w:numPr>
        <w:rPr>
          <w:rFonts w:ascii="Arial" w:cs="Arial" w:eastAsia="Arial" w:hAnsi="Arial"/>
          <w:sz w:val="15"/>
          <w:szCs w:val="15"/>
          <w:color w:val="auto"/>
        </w:rPr>
      </w:pPr>
      <w:r>
        <w:rPr>
          <w:rFonts w:ascii="Arial" w:cs="Arial" w:eastAsia="Arial" w:hAnsi="Arial"/>
          <w:sz w:val="15"/>
          <w:szCs w:val="15"/>
          <w:color w:val="auto"/>
        </w:rPr>
        <w:t>Related parties include the Controlling Shareholder and companies under his control, the Board of Directors and the Executive Officers of the Company.</w:t>
      </w:r>
    </w:p>
    <w:p>
      <w:pPr>
        <w:spacing w:after="0" w:line="253" w:lineRule="exact"/>
        <w:rPr>
          <w:rFonts w:ascii="Arial" w:cs="Arial" w:eastAsia="Arial" w:hAnsi="Arial"/>
          <w:sz w:val="15"/>
          <w:szCs w:val="15"/>
          <w:color w:val="auto"/>
        </w:rPr>
      </w:pPr>
    </w:p>
    <w:p>
      <w:pPr>
        <w:ind w:left="560" w:hanging="282"/>
        <w:spacing w:after="0"/>
        <w:tabs>
          <w:tab w:leader="none" w:pos="560" w:val="left"/>
        </w:tabs>
        <w:numPr>
          <w:ilvl w:val="0"/>
          <w:numId w:val="185"/>
        </w:numPr>
        <w:rPr>
          <w:rFonts w:ascii="Arial" w:cs="Arial" w:eastAsia="Arial" w:hAnsi="Arial"/>
          <w:sz w:val="16"/>
          <w:szCs w:val="16"/>
          <w:color w:val="auto"/>
        </w:rPr>
      </w:pPr>
      <w:r>
        <w:rPr>
          <w:rFonts w:ascii="Arial" w:cs="Arial" w:eastAsia="Arial" w:hAnsi="Arial"/>
          <w:sz w:val="16"/>
          <w:szCs w:val="16"/>
          <w:color w:val="auto"/>
        </w:rPr>
        <w:t>As to options and restricted shares granted to directors and executive officers, see note 8b.</w:t>
      </w:r>
    </w:p>
    <w:p>
      <w:pPr>
        <w:spacing w:after="0" w:line="241" w:lineRule="exact"/>
        <w:rPr>
          <w:rFonts w:ascii="Arial" w:cs="Arial" w:eastAsia="Arial" w:hAnsi="Arial"/>
          <w:sz w:val="16"/>
          <w:szCs w:val="16"/>
          <w:color w:val="auto"/>
        </w:rPr>
      </w:pPr>
    </w:p>
    <w:p>
      <w:pPr>
        <w:ind w:left="560" w:hanging="282"/>
        <w:spacing w:after="0"/>
        <w:tabs>
          <w:tab w:leader="none" w:pos="560" w:val="left"/>
        </w:tabs>
        <w:numPr>
          <w:ilvl w:val="0"/>
          <w:numId w:val="185"/>
        </w:numPr>
        <w:rPr>
          <w:rFonts w:ascii="Arial" w:cs="Arial" w:eastAsia="Arial" w:hAnsi="Arial"/>
          <w:sz w:val="16"/>
          <w:szCs w:val="16"/>
          <w:color w:val="auto"/>
        </w:rPr>
      </w:pPr>
      <w:r>
        <w:rPr>
          <w:rFonts w:ascii="Arial" w:cs="Arial" w:eastAsia="Arial" w:hAnsi="Arial"/>
          <w:sz w:val="16"/>
          <w:szCs w:val="16"/>
          <w:color w:val="auto"/>
        </w:rPr>
        <w:t>As to issuance of shares and warranted to the controlling shareholder in a private placement for a total consideration of $5,000, see note 8a (4).</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76200</wp:posOffset>
            </wp:positionV>
            <wp:extent cx="7149465" cy="762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4">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158750</wp:posOffset>
            </wp:positionV>
            <wp:extent cx="7149465" cy="298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5">
                      <a:extLst>
                        <a:ext uri="{28A0092B-C50C-407E-A947-70E740481C1C}"/>
                      </a:extLst>
                    </a:blip>
                    <a:srcRect/>
                    <a:stretch>
                      <a:fillRect/>
                    </a:stretch>
                  </pic:blipFill>
                  <pic:spPr bwMode="auto">
                    <a:xfrm>
                      <a:off x="0" y="0"/>
                      <a:ext cx="7149465" cy="29845"/>
                    </a:xfrm>
                    <a:prstGeom prst="rect">
                      <a:avLst/>
                    </a:prstGeom>
                    <a:noFill/>
                  </pic:spPr>
                </pic:pic>
              </a:graphicData>
            </a:graphic>
          </wp:anchor>
        </w:drawing>
      </w:r>
    </w:p>
    <w:p>
      <w:pPr>
        <w:sectPr>
          <w:pgSz w:w="11900" w:h="16838" w:orient="portrait"/>
          <w:cols w:equalWidth="0" w:num="1">
            <w:col w:w="11260"/>
          </w:cols>
          <w:pgMar w:left="320" w:top="363" w:right="319" w:bottom="1440" w:gutter="0" w:footer="0" w:header="0"/>
        </w:sectPr>
      </w:pPr>
    </w:p>
    <w:bookmarkStart w:id="178" w:name="page179"/>
    <w:bookmarkEnd w:id="178"/>
    <w:p>
      <w:pPr>
        <w:jc w:val="right"/>
        <w:spacing w:after="0"/>
        <w:rPr>
          <w:sz w:val="20"/>
          <w:szCs w:val="20"/>
          <w:color w:val="auto"/>
        </w:rPr>
      </w:pPr>
      <w:r>
        <w:rPr>
          <w:rFonts w:ascii="Arial" w:cs="Arial" w:eastAsia="Arial" w:hAnsi="Arial"/>
          <w:sz w:val="19"/>
          <w:szCs w:val="19"/>
          <w:b w:val="1"/>
          <w:bCs w:val="1"/>
          <w:u w:val="single" w:color="auto"/>
          <w:color w:val="auto"/>
        </w:rPr>
        <w:drawing>
          <wp:anchor simplePos="0" relativeHeight="251657728" behindDoc="1" locked="0" layoutInCell="0" allowOverlap="1">
            <wp:simplePos x="0" y="0"/>
            <wp:positionH relativeFrom="page">
              <wp:posOffset>200025</wp:posOffset>
            </wp:positionH>
            <wp:positionV relativeFrom="page">
              <wp:posOffset>88900</wp:posOffset>
            </wp:positionV>
            <wp:extent cx="7149465" cy="298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6">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194310</wp:posOffset>
            </wp:positionV>
            <wp:extent cx="7149465" cy="762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7">
                      <a:extLst>
                        <a:ext uri="{28A0092B-C50C-407E-A947-70E740481C1C}"/>
                      </a:extLst>
                    </a:blip>
                    <a:srcRect/>
                    <a:stretch>
                      <a:fillRect/>
                    </a:stretch>
                  </pic:blipFill>
                  <pic:spPr bwMode="auto">
                    <a:xfrm>
                      <a:off x="0" y="0"/>
                      <a:ext cx="7149465" cy="7620"/>
                    </a:xfrm>
                    <a:prstGeom prst="rect">
                      <a:avLst/>
                    </a:prstGeom>
                    <a:noFill/>
                  </pic:spPr>
                </pic:pic>
              </a:graphicData>
            </a:graphic>
          </wp:anchor>
        </w:drawing>
        <w:t>Exhibit 4.5</w:t>
      </w:r>
    </w:p>
    <w:p>
      <w:pPr>
        <w:spacing w:after="0" w:line="219" w:lineRule="exact"/>
        <w:rPr>
          <w:sz w:val="20"/>
          <w:szCs w:val="20"/>
          <w:color w:val="auto"/>
        </w:rPr>
      </w:pPr>
    </w:p>
    <w:p>
      <w:pPr>
        <w:jc w:val="center"/>
        <w:ind w:right="1140"/>
        <w:spacing w:after="0"/>
        <w:rPr>
          <w:sz w:val="20"/>
          <w:szCs w:val="20"/>
          <w:color w:val="auto"/>
        </w:rPr>
      </w:pPr>
      <w:r>
        <w:rPr>
          <w:rFonts w:ascii="Arial" w:cs="Arial" w:eastAsia="Arial" w:hAnsi="Arial"/>
          <w:sz w:val="19"/>
          <w:szCs w:val="19"/>
          <w:b w:val="1"/>
          <w:bCs w:val="1"/>
          <w:color w:val="auto"/>
        </w:rPr>
        <w:t>COMPENSATION POLICY</w:t>
      </w:r>
    </w:p>
    <w:p>
      <w:pPr>
        <w:spacing w:after="0" w:line="255" w:lineRule="exact"/>
        <w:rPr>
          <w:sz w:val="20"/>
          <w:szCs w:val="20"/>
          <w:color w:val="auto"/>
        </w:rPr>
      </w:pPr>
    </w:p>
    <w:p>
      <w:pPr>
        <w:jc w:val="center"/>
        <w:ind w:right="1140"/>
        <w:spacing w:after="0"/>
        <w:rPr>
          <w:sz w:val="20"/>
          <w:szCs w:val="20"/>
          <w:color w:val="auto"/>
        </w:rPr>
      </w:pPr>
      <w:r>
        <w:rPr>
          <w:rFonts w:ascii="Arial" w:cs="Arial" w:eastAsia="Arial" w:hAnsi="Arial"/>
          <w:sz w:val="19"/>
          <w:szCs w:val="19"/>
          <w:b w:val="1"/>
          <w:bCs w:val="1"/>
          <w:color w:val="auto"/>
        </w:rPr>
        <w:t>SOL-GEL TECHNOLOGIES LTD.</w:t>
      </w:r>
    </w:p>
    <w:p>
      <w:pPr>
        <w:spacing w:after="0" w:line="255" w:lineRule="exact"/>
        <w:rPr>
          <w:sz w:val="20"/>
          <w:szCs w:val="20"/>
          <w:color w:val="auto"/>
        </w:rPr>
      </w:pPr>
    </w:p>
    <w:p>
      <w:pPr>
        <w:jc w:val="center"/>
        <w:ind w:right="1140"/>
        <w:spacing w:after="0"/>
        <w:rPr>
          <w:sz w:val="20"/>
          <w:szCs w:val="20"/>
          <w:color w:val="auto"/>
        </w:rPr>
      </w:pPr>
      <w:r>
        <w:rPr>
          <w:rFonts w:ascii="Arial" w:cs="Arial" w:eastAsia="Arial" w:hAnsi="Arial"/>
          <w:sz w:val="17"/>
          <w:szCs w:val="17"/>
          <w:b w:val="1"/>
          <w:bCs w:val="1"/>
          <w:color w:val="auto"/>
        </w:rPr>
        <w:t>Compensation Policy for Executive Officers and Directors</w:t>
      </w:r>
    </w:p>
    <w:p>
      <w:pPr>
        <w:spacing w:after="0" w:line="278" w:lineRule="exact"/>
        <w:rPr>
          <w:sz w:val="20"/>
          <w:szCs w:val="20"/>
          <w:color w:val="auto"/>
        </w:rPr>
      </w:pPr>
    </w:p>
    <w:p>
      <w:pPr>
        <w:ind w:left="3340"/>
        <w:spacing w:after="0"/>
        <w:rPr>
          <w:sz w:val="20"/>
          <w:szCs w:val="20"/>
          <w:color w:val="auto"/>
        </w:rPr>
      </w:pPr>
      <w:r>
        <w:rPr>
          <w:rFonts w:ascii="Arial" w:cs="Arial" w:eastAsia="Arial" w:hAnsi="Arial"/>
          <w:sz w:val="19"/>
          <w:szCs w:val="19"/>
          <w:b w:val="1"/>
          <w:bCs w:val="1"/>
          <w:color w:val="auto"/>
        </w:rPr>
        <w:t>ADOPTED: October 2,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-713740</wp:posOffset>
            </wp:positionH>
            <wp:positionV relativeFrom="paragraph">
              <wp:posOffset>267970</wp:posOffset>
            </wp:positionV>
            <wp:extent cx="7149465" cy="152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0140"/>
          </w:cols>
          <w:pgMar w:left="1440" w:top="387" w:right="319" w:bottom="1440" w:gutter="0" w:footer="0" w:header="0"/>
        </w:sectPr>
      </w:pPr>
    </w:p>
    <w:bookmarkStart w:id="179" w:name="page180"/>
    <w:bookmarkEnd w:id="179"/>
    <w:tbl>
      <w:tblPr>
        <w:tblLayout w:type="fixed"/>
        <w:tblInd w:w="0" w:type="dxa"/>
        <w:tblCellMar>
          <w:top w:w="0" w:type="dxa"/>
          <w:left w:w="0" w:type="dxa"/>
          <w:bottom w:w="0" w:type="dxa"/>
          <w:right w:w="0" w:type="dxa"/>
        </w:tblCellMar>
      </w:tblPr>
      <w:tr>
        <w:trPr>
          <w:trHeight w:val="218"/>
        </w:trPr>
        <w:tc>
          <w:tcPr>
            <w:tcW w:w="240" w:type="dxa"/>
            <w:vAlign w:val="bottom"/>
          </w:tcPr>
          <w:p>
            <w:pPr>
              <w:spacing w:after="0"/>
              <w:rPr>
                <w:sz w:val="18"/>
                <w:szCs w:val="18"/>
                <w:color w:val="auto"/>
              </w:rPr>
            </w:pPr>
          </w:p>
        </w:tc>
        <w:tc>
          <w:tcPr>
            <w:tcW w:w="6120" w:type="dxa"/>
            <w:vAlign w:val="bottom"/>
            <w:gridSpan w:val="2"/>
          </w:tcPr>
          <w:p>
            <w:pPr>
              <w:ind w:left="4700"/>
              <w:spacing w:after="0"/>
              <w:rPr>
                <w:sz w:val="20"/>
                <w:szCs w:val="20"/>
                <w:color w:val="auto"/>
              </w:rPr>
            </w:pPr>
            <w:r>
              <w:rPr>
                <w:rFonts w:ascii="Arial" w:cs="Arial" w:eastAsia="Arial" w:hAnsi="Arial"/>
                <w:sz w:val="19"/>
                <w:szCs w:val="19"/>
                <w:b w:val="1"/>
                <w:bCs w:val="1"/>
                <w:color w:val="auto"/>
                <w:w w:val="87"/>
              </w:rPr>
              <w:t>Table of Contents</w:t>
            </w:r>
          </w:p>
        </w:tc>
        <w:tc>
          <w:tcPr>
            <w:tcW w:w="4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418"/>
        </w:trPr>
        <w:tc>
          <w:tcPr>
            <w:tcW w:w="240" w:type="dxa"/>
            <w:vAlign w:val="bottom"/>
          </w:tcPr>
          <w:p>
            <w:pPr>
              <w:spacing w:after="0"/>
              <w:rPr>
                <w:sz w:val="24"/>
                <w:szCs w:val="24"/>
                <w:color w:val="auto"/>
              </w:rPr>
            </w:pPr>
          </w:p>
        </w:tc>
        <w:tc>
          <w:tcPr>
            <w:tcW w:w="4700" w:type="dxa"/>
            <w:vAlign w:val="bottom"/>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Page</w:t>
            </w:r>
          </w:p>
        </w:tc>
      </w:tr>
      <w:tr>
        <w:trPr>
          <w:trHeight w:val="20"/>
        </w:trPr>
        <w:tc>
          <w:tcPr>
            <w:tcW w:w="240" w:type="dxa"/>
            <w:vAlign w:val="bottom"/>
          </w:tcPr>
          <w:p>
            <w:pPr>
              <w:spacing w:after="0" w:line="20" w:lineRule="exact"/>
              <w:rPr>
                <w:sz w:val="1"/>
                <w:szCs w:val="1"/>
                <w:color w:val="auto"/>
              </w:rPr>
            </w:pPr>
          </w:p>
        </w:tc>
        <w:tc>
          <w:tcPr>
            <w:tcW w:w="6120" w:type="dxa"/>
            <w:vAlign w:val="bottom"/>
            <w:gridSpan w:val="2"/>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93"/>
        </w:trPr>
        <w:tc>
          <w:tcPr>
            <w:tcW w:w="240" w:type="dxa"/>
            <w:vAlign w:val="bottom"/>
          </w:tcPr>
          <w:p>
            <w:pPr>
              <w:spacing w:after="0"/>
              <w:rPr>
                <w:sz w:val="20"/>
                <w:szCs w:val="20"/>
                <w:color w:val="auto"/>
              </w:rPr>
            </w:pPr>
            <w:r>
              <w:rPr>
                <w:rFonts w:ascii="Arial" w:cs="Arial" w:eastAsia="Arial" w:hAnsi="Arial"/>
                <w:sz w:val="16"/>
                <w:szCs w:val="16"/>
                <w:color w:val="auto"/>
              </w:rPr>
              <w:t>A.</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Overview and Objectives</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 - 3</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B.</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Base Salary and Benefits</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 - 5</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C.</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Cash Bonuses (Excluding Directors)</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 - 6</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D.</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Equity-Based Compensation</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 - 8</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E.</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Retirement and Termination of Service Arrangements (Excluding Directors)</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 - 9</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F.</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Exemption, Indemnification and Insurance</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A-10</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G.</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Arrangements upon Change of Control</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A-11</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H.</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Board of Directors Compensation</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A-11</w:t>
            </w:r>
          </w:p>
        </w:tc>
      </w:tr>
      <w:tr>
        <w:trPr>
          <w:trHeight w:val="378"/>
        </w:trPr>
        <w:tc>
          <w:tcPr>
            <w:tcW w:w="240" w:type="dxa"/>
            <w:vAlign w:val="bottom"/>
          </w:tcPr>
          <w:p>
            <w:pPr>
              <w:spacing w:after="0"/>
              <w:rPr>
                <w:sz w:val="20"/>
                <w:szCs w:val="20"/>
                <w:color w:val="auto"/>
              </w:rPr>
            </w:pPr>
            <w:r>
              <w:rPr>
                <w:rFonts w:ascii="Arial" w:cs="Arial" w:eastAsia="Arial" w:hAnsi="Arial"/>
                <w:sz w:val="16"/>
                <w:szCs w:val="16"/>
                <w:color w:val="auto"/>
              </w:rPr>
              <w:t>I.</w:t>
            </w:r>
          </w:p>
        </w:tc>
        <w:tc>
          <w:tcPr>
            <w:tcW w:w="6120" w:type="dxa"/>
            <w:vAlign w:val="bottom"/>
            <w:gridSpan w:val="2"/>
          </w:tcPr>
          <w:p>
            <w:pPr>
              <w:ind w:left="100"/>
              <w:spacing w:after="0"/>
              <w:rPr>
                <w:sz w:val="20"/>
                <w:szCs w:val="20"/>
                <w:color w:val="auto"/>
              </w:rPr>
            </w:pPr>
            <w:r>
              <w:rPr>
                <w:rFonts w:ascii="Arial" w:cs="Arial" w:eastAsia="Arial" w:hAnsi="Arial"/>
                <w:sz w:val="16"/>
                <w:szCs w:val="16"/>
                <w:color w:val="auto"/>
              </w:rPr>
              <w:t>Miscellaneous</w:t>
            </w:r>
          </w:p>
        </w:tc>
        <w:tc>
          <w:tcPr>
            <w:tcW w:w="4340" w:type="dxa"/>
            <w:vAlign w:val="bottom"/>
          </w:tcPr>
          <w:p>
            <w:pPr>
              <w:spacing w:after="0"/>
              <w:rPr>
                <w:sz w:val="24"/>
                <w:szCs w:val="24"/>
                <w:color w:val="auto"/>
              </w:rPr>
            </w:pPr>
          </w:p>
        </w:tc>
        <w:tc>
          <w:tcPr>
            <w:tcW w:w="400" w:type="dxa"/>
            <w:vAlign w:val="bottom"/>
            <w:gridSpan w:val="2"/>
          </w:tcPr>
          <w:p>
            <w:pPr>
              <w:spacing w:after="0"/>
              <w:rPr>
                <w:sz w:val="20"/>
                <w:szCs w:val="20"/>
                <w:color w:val="auto"/>
              </w:rPr>
            </w:pPr>
            <w:r>
              <w:rPr>
                <w:rFonts w:ascii="Arial" w:cs="Arial" w:eastAsia="Arial" w:hAnsi="Arial"/>
                <w:sz w:val="16"/>
                <w:szCs w:val="16"/>
                <w:color w:val="auto"/>
              </w:rPr>
              <w:t>A-12</w:t>
            </w:r>
          </w:p>
        </w:tc>
      </w:tr>
    </w:tbl>
    <w:p>
      <w:pPr>
        <w:spacing w:after="0" w:line="373" w:lineRule="exact"/>
        <w:rPr>
          <w:sz w:val="20"/>
          <w:szCs w:val="20"/>
          <w:color w:val="auto"/>
        </w:rPr>
      </w:pPr>
    </w:p>
    <w:p>
      <w:pPr>
        <w:jc w:val="center"/>
        <w:ind w:right="-139"/>
        <w:spacing w:after="0"/>
        <w:rPr>
          <w:sz w:val="20"/>
          <w:szCs w:val="20"/>
          <w:color w:val="auto"/>
        </w:rPr>
      </w:pPr>
      <w:r>
        <w:rPr>
          <w:rFonts w:ascii="Arial" w:cs="Arial" w:eastAsia="Arial" w:hAnsi="Arial"/>
          <w:sz w:val="19"/>
          <w:szCs w:val="19"/>
          <w:color w:val="auto"/>
        </w:rPr>
        <w:t>A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100"/>
          </w:cols>
          <w:pgMar w:left="320" w:top="111" w:right="479" w:bottom="1440" w:gutter="0" w:footer="0" w:header="0"/>
        </w:sectPr>
      </w:pPr>
    </w:p>
    <w:bookmarkStart w:id="180" w:name="page181"/>
    <w:bookmarkEnd w:id="180"/>
    <w:p>
      <w:pPr>
        <w:spacing w:after="0"/>
        <w:rPr>
          <w:sz w:val="20"/>
          <w:szCs w:val="20"/>
          <w:color w:val="auto"/>
        </w:rPr>
      </w:pPr>
      <w:r>
        <w:rPr>
          <w:rFonts w:ascii="Arial" w:cs="Arial" w:eastAsia="Arial" w:hAnsi="Arial"/>
          <w:sz w:val="19"/>
          <w:szCs w:val="19"/>
          <w:b w:val="1"/>
          <w:bCs w:val="1"/>
          <w:color w:val="auto"/>
        </w:rPr>
        <w:t xml:space="preserve">A. </w:t>
      </w:r>
      <w:r>
        <w:rPr>
          <w:rFonts w:ascii="Arial" w:cs="Arial" w:eastAsia="Arial" w:hAnsi="Arial"/>
          <w:sz w:val="19"/>
          <w:szCs w:val="19"/>
          <w:b w:val="1"/>
          <w:bCs w:val="1"/>
          <w:u w:val="single" w:color="auto"/>
          <w:color w:val="auto"/>
        </w:rPr>
        <w:t>Overview and Objectives</w:t>
      </w:r>
    </w:p>
    <w:p>
      <w:pPr>
        <w:spacing w:after="0" w:line="251" w:lineRule="exact"/>
        <w:rPr>
          <w:sz w:val="20"/>
          <w:szCs w:val="20"/>
          <w:color w:val="auto"/>
        </w:rPr>
      </w:pPr>
    </w:p>
    <w:p>
      <w:pPr>
        <w:ind w:left="660" w:hanging="382"/>
        <w:spacing w:after="0"/>
        <w:tabs>
          <w:tab w:leader="none" w:pos="660" w:val="left"/>
        </w:tabs>
        <w:numPr>
          <w:ilvl w:val="0"/>
          <w:numId w:val="186"/>
        </w:numPr>
        <w:rPr>
          <w:rFonts w:ascii="Arial" w:cs="Arial" w:eastAsia="Arial" w:hAnsi="Arial"/>
          <w:sz w:val="16"/>
          <w:szCs w:val="16"/>
          <w:color w:val="auto"/>
        </w:rPr>
      </w:pPr>
      <w:r>
        <w:rPr>
          <w:rFonts w:ascii="Arial" w:cs="Arial" w:eastAsia="Arial" w:hAnsi="Arial"/>
          <w:sz w:val="16"/>
          <w:szCs w:val="16"/>
          <w:b w:val="1"/>
          <w:bCs w:val="1"/>
          <w:u w:val="single" w:color="auto"/>
          <w:color w:val="auto"/>
        </w:rPr>
        <w:t>Introduction</w:t>
      </w:r>
    </w:p>
    <w:p>
      <w:pPr>
        <w:spacing w:after="0" w:line="241" w:lineRule="exact"/>
        <w:rPr>
          <w:rFonts w:ascii="Arial" w:cs="Arial" w:eastAsia="Arial" w:hAnsi="Arial"/>
          <w:sz w:val="16"/>
          <w:szCs w:val="16"/>
          <w:color w:val="auto"/>
        </w:rPr>
      </w:pPr>
    </w:p>
    <w:p>
      <w:pPr>
        <w:ind w:left="660" w:right="20"/>
        <w:spacing w:after="0" w:line="307" w:lineRule="auto"/>
        <w:rPr>
          <w:rFonts w:ascii="Arial" w:cs="Arial" w:eastAsia="Arial" w:hAnsi="Arial"/>
          <w:sz w:val="16"/>
          <w:szCs w:val="16"/>
          <w:color w:val="auto"/>
        </w:rPr>
      </w:pPr>
      <w:r>
        <w:rPr>
          <w:rFonts w:ascii="Arial" w:cs="Arial" w:eastAsia="Arial" w:hAnsi="Arial"/>
          <w:sz w:val="15"/>
          <w:szCs w:val="15"/>
          <w:color w:val="auto"/>
        </w:rPr>
        <w:t>This document sets forth the compensation policy for executive officers (this "</w:t>
      </w:r>
      <w:r>
        <w:rPr>
          <w:rFonts w:ascii="Arial" w:cs="Arial" w:eastAsia="Arial" w:hAnsi="Arial"/>
          <w:sz w:val="15"/>
          <w:szCs w:val="15"/>
          <w:b w:val="1"/>
          <w:bCs w:val="1"/>
          <w:color w:val="auto"/>
        </w:rPr>
        <w:t>Compensation Policy</w:t>
      </w:r>
      <w:r>
        <w:rPr>
          <w:rFonts w:ascii="Arial" w:cs="Arial" w:eastAsia="Arial" w:hAnsi="Arial"/>
          <w:sz w:val="15"/>
          <w:szCs w:val="15"/>
          <w:color w:val="auto"/>
        </w:rPr>
        <w:t>" or "</w:t>
      </w:r>
      <w:r>
        <w:rPr>
          <w:rFonts w:ascii="Arial" w:cs="Arial" w:eastAsia="Arial" w:hAnsi="Arial"/>
          <w:sz w:val="15"/>
          <w:szCs w:val="15"/>
          <w:b w:val="1"/>
          <w:bCs w:val="1"/>
          <w:color w:val="auto"/>
        </w:rPr>
        <w:t>Policy</w:t>
      </w:r>
      <w:r>
        <w:rPr>
          <w:rFonts w:ascii="Arial" w:cs="Arial" w:eastAsia="Arial" w:hAnsi="Arial"/>
          <w:sz w:val="15"/>
          <w:szCs w:val="15"/>
          <w:color w:val="auto"/>
        </w:rPr>
        <w:t>") of Sol-Gel Technologies Ltd. ("</w:t>
      </w:r>
      <w:r>
        <w:rPr>
          <w:rFonts w:ascii="Arial" w:cs="Arial" w:eastAsia="Arial" w:hAnsi="Arial"/>
          <w:sz w:val="15"/>
          <w:szCs w:val="15"/>
          <w:b w:val="1"/>
          <w:bCs w:val="1"/>
          <w:color w:val="auto"/>
        </w:rPr>
        <w:t>Sol-Gel"</w:t>
      </w:r>
      <w:r>
        <w:rPr>
          <w:rFonts w:ascii="Arial" w:cs="Arial" w:eastAsia="Arial" w:hAnsi="Arial"/>
          <w:sz w:val="15"/>
          <w:szCs w:val="15"/>
          <w:color w:val="auto"/>
        </w:rPr>
        <w:t xml:space="preserve"> or the "</w:t>
      </w:r>
      <w:r>
        <w:rPr>
          <w:rFonts w:ascii="Arial" w:cs="Arial" w:eastAsia="Arial" w:hAnsi="Arial"/>
          <w:sz w:val="15"/>
          <w:szCs w:val="15"/>
          <w:b w:val="1"/>
          <w:bCs w:val="1"/>
          <w:color w:val="auto"/>
        </w:rPr>
        <w:t>Company</w:t>
      </w:r>
      <w:r>
        <w:rPr>
          <w:rFonts w:ascii="Arial" w:cs="Arial" w:eastAsia="Arial" w:hAnsi="Arial"/>
          <w:sz w:val="15"/>
          <w:szCs w:val="15"/>
          <w:color w:val="auto"/>
        </w:rPr>
        <w:t>" and "</w:t>
      </w:r>
      <w:r>
        <w:rPr>
          <w:rFonts w:ascii="Arial" w:cs="Arial" w:eastAsia="Arial" w:hAnsi="Arial"/>
          <w:sz w:val="15"/>
          <w:szCs w:val="15"/>
          <w:b w:val="1"/>
          <w:bCs w:val="1"/>
          <w:color w:val="auto"/>
        </w:rPr>
        <w:t>Executive Officers</w:t>
      </w:r>
      <w:r>
        <w:rPr>
          <w:rFonts w:ascii="Arial" w:cs="Arial" w:eastAsia="Arial" w:hAnsi="Arial"/>
          <w:sz w:val="15"/>
          <w:szCs w:val="15"/>
          <w:color w:val="auto"/>
        </w:rPr>
        <w:t>", accordingly), in accordance with the requirements of the Companies Law 5759-1999 (the "</w:t>
      </w:r>
      <w:r>
        <w:rPr>
          <w:rFonts w:ascii="Arial" w:cs="Arial" w:eastAsia="Arial" w:hAnsi="Arial"/>
          <w:sz w:val="15"/>
          <w:szCs w:val="15"/>
          <w:b w:val="1"/>
          <w:bCs w:val="1"/>
          <w:color w:val="auto"/>
        </w:rPr>
        <w:t>Companies Law</w:t>
      </w:r>
      <w:r>
        <w:rPr>
          <w:rFonts w:ascii="Arial" w:cs="Arial" w:eastAsia="Arial" w:hAnsi="Arial"/>
          <w:sz w:val="15"/>
          <w:szCs w:val="15"/>
          <w:color w:val="auto"/>
        </w:rPr>
        <w:t>").</w:t>
      </w:r>
    </w:p>
    <w:p>
      <w:pPr>
        <w:spacing w:after="0" w:line="130" w:lineRule="exact"/>
        <w:rPr>
          <w:rFonts w:ascii="Arial" w:cs="Arial" w:eastAsia="Arial" w:hAnsi="Arial"/>
          <w:sz w:val="16"/>
          <w:szCs w:val="16"/>
          <w:color w:val="auto"/>
        </w:rPr>
      </w:pPr>
    </w:p>
    <w:p>
      <w:pPr>
        <w:jc w:val="both"/>
        <w:ind w:left="660"/>
        <w:spacing w:after="0" w:line="257" w:lineRule="auto"/>
        <w:rPr>
          <w:rFonts w:ascii="Arial" w:cs="Arial" w:eastAsia="Arial" w:hAnsi="Arial"/>
          <w:sz w:val="16"/>
          <w:szCs w:val="16"/>
          <w:color w:val="auto"/>
        </w:rPr>
      </w:pPr>
      <w:r>
        <w:rPr>
          <w:rFonts w:ascii="Arial" w:cs="Arial" w:eastAsia="Arial" w:hAnsi="Arial"/>
          <w:sz w:val="16"/>
          <w:szCs w:val="16"/>
          <w:color w:val="auto"/>
        </w:rPr>
        <w:t>Compensation is a key component of Sol-Gel's overall human capital strategy to attract, retain, reward, and motivate highly skilled individuals that will enhance Sol-Gel's value and otherwise assist Sol-Gel to reach its business and financial short and long term goals. Accordingly, the structure of this Policy was established to tie the compensation of each Executive Officer to Sol-Gel's goals and performance.</w:t>
      </w:r>
    </w:p>
    <w:p>
      <w:pPr>
        <w:spacing w:after="0" w:line="161"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6"/>
          <w:szCs w:val="16"/>
          <w:color w:val="auto"/>
        </w:rPr>
        <w:t>For purposes of this Policy, "</w:t>
      </w:r>
      <w:r>
        <w:rPr>
          <w:rFonts w:ascii="Arial" w:cs="Arial" w:eastAsia="Arial" w:hAnsi="Arial"/>
          <w:sz w:val="16"/>
          <w:szCs w:val="16"/>
          <w:b w:val="1"/>
          <w:bCs w:val="1"/>
          <w:color w:val="auto"/>
        </w:rPr>
        <w:t>Executive Officers</w:t>
      </w:r>
      <w:r>
        <w:rPr>
          <w:rFonts w:ascii="Arial" w:cs="Arial" w:eastAsia="Arial" w:hAnsi="Arial"/>
          <w:sz w:val="16"/>
          <w:szCs w:val="16"/>
          <w:color w:val="auto"/>
        </w:rPr>
        <w:t>" shall mean "Office Holders" as such term is defined in Section 1 of the Companies Law.</w:t>
      </w:r>
    </w:p>
    <w:p>
      <w:pPr>
        <w:spacing w:after="0" w:line="198" w:lineRule="exact"/>
        <w:rPr>
          <w:rFonts w:ascii="Arial" w:cs="Arial" w:eastAsia="Arial" w:hAnsi="Arial"/>
          <w:sz w:val="16"/>
          <w:szCs w:val="16"/>
          <w:color w:val="auto"/>
        </w:rPr>
      </w:pPr>
    </w:p>
    <w:p>
      <w:pPr>
        <w:jc w:val="both"/>
        <w:ind w:left="660"/>
        <w:spacing w:after="0" w:line="257" w:lineRule="auto"/>
        <w:rPr>
          <w:rFonts w:ascii="Arial" w:cs="Arial" w:eastAsia="Arial" w:hAnsi="Arial"/>
          <w:sz w:val="16"/>
          <w:szCs w:val="16"/>
          <w:color w:val="auto"/>
        </w:rPr>
      </w:pPr>
      <w:r>
        <w:rPr>
          <w:rFonts w:ascii="Arial" w:cs="Arial" w:eastAsia="Arial" w:hAnsi="Arial"/>
          <w:sz w:val="16"/>
          <w:szCs w:val="16"/>
          <w:color w:val="auto"/>
        </w:rPr>
        <w:t>This Compensation Policy shall apply to compensation agreements and arrangements which will be approved after the date on which this Compensation Policy is approved by the general meeting of Sol-Gel's shareholders and shall serve as Sol-Gel’s Compensation Policy for the maximum period of time permitted by any applicable law.</w:t>
      </w:r>
    </w:p>
    <w:p>
      <w:pPr>
        <w:spacing w:after="0" w:line="161" w:lineRule="exact"/>
        <w:rPr>
          <w:rFonts w:ascii="Arial" w:cs="Arial" w:eastAsia="Arial" w:hAnsi="Arial"/>
          <w:sz w:val="16"/>
          <w:szCs w:val="16"/>
          <w:color w:val="auto"/>
        </w:rPr>
      </w:pPr>
    </w:p>
    <w:p>
      <w:pPr>
        <w:ind w:left="660"/>
        <w:spacing w:after="0" w:line="307" w:lineRule="auto"/>
        <w:rPr>
          <w:rFonts w:ascii="Arial" w:cs="Arial" w:eastAsia="Arial" w:hAnsi="Arial"/>
          <w:sz w:val="16"/>
          <w:szCs w:val="16"/>
          <w:color w:val="auto"/>
        </w:rPr>
      </w:pPr>
      <w:r>
        <w:rPr>
          <w:rFonts w:ascii="Arial" w:cs="Arial" w:eastAsia="Arial" w:hAnsi="Arial"/>
          <w:sz w:val="15"/>
          <w:szCs w:val="15"/>
          <w:color w:val="auto"/>
        </w:rPr>
        <w:t>The Compensation Committee (upon its appointment in accordance with the applicable law) and the Board of Directors of Sol-Gel (the "</w:t>
      </w:r>
      <w:r>
        <w:rPr>
          <w:rFonts w:ascii="Arial" w:cs="Arial" w:eastAsia="Arial" w:hAnsi="Arial"/>
          <w:sz w:val="15"/>
          <w:szCs w:val="15"/>
          <w:b w:val="1"/>
          <w:bCs w:val="1"/>
          <w:color w:val="auto"/>
        </w:rPr>
        <w:t>Compensation Committee</w:t>
      </w:r>
      <w:r>
        <w:rPr>
          <w:rFonts w:ascii="Arial" w:cs="Arial" w:eastAsia="Arial" w:hAnsi="Arial"/>
          <w:sz w:val="15"/>
          <w:szCs w:val="15"/>
          <w:color w:val="auto"/>
        </w:rPr>
        <w:t>" and "</w:t>
      </w:r>
      <w:r>
        <w:rPr>
          <w:rFonts w:ascii="Arial" w:cs="Arial" w:eastAsia="Arial" w:hAnsi="Arial"/>
          <w:sz w:val="15"/>
          <w:szCs w:val="15"/>
          <w:b w:val="1"/>
          <w:bCs w:val="1"/>
          <w:color w:val="auto"/>
        </w:rPr>
        <w:t>Board</w:t>
      </w:r>
      <w:r>
        <w:rPr>
          <w:rFonts w:ascii="Arial" w:cs="Arial" w:eastAsia="Arial" w:hAnsi="Arial"/>
          <w:sz w:val="15"/>
          <w:szCs w:val="15"/>
          <w:color w:val="auto"/>
        </w:rPr>
        <w:t>", respectively) shall review and reassess the adequacy of this Policy from time to time, as required by the Companies Law.</w:t>
      </w:r>
    </w:p>
    <w:p>
      <w:pPr>
        <w:spacing w:after="0" w:line="130" w:lineRule="exact"/>
        <w:rPr>
          <w:rFonts w:ascii="Arial" w:cs="Arial" w:eastAsia="Arial" w:hAnsi="Arial"/>
          <w:sz w:val="16"/>
          <w:szCs w:val="16"/>
          <w:color w:val="auto"/>
        </w:rPr>
      </w:pPr>
    </w:p>
    <w:p>
      <w:pPr>
        <w:ind w:left="660"/>
        <w:spacing w:after="0" w:line="268" w:lineRule="auto"/>
        <w:rPr>
          <w:rFonts w:ascii="Arial" w:cs="Arial" w:eastAsia="Arial" w:hAnsi="Arial"/>
          <w:sz w:val="16"/>
          <w:szCs w:val="16"/>
          <w:color w:val="auto"/>
        </w:rPr>
      </w:pPr>
      <w:r>
        <w:rPr>
          <w:rFonts w:ascii="Arial" w:cs="Arial" w:eastAsia="Arial" w:hAnsi="Arial"/>
          <w:sz w:val="16"/>
          <w:szCs w:val="16"/>
          <w:color w:val="auto"/>
        </w:rPr>
        <w:t>It should be clarified, that wherever reference is made to the required approvals in this Compensation Policy, such reference relates to the applicable law as of the date of approval of this Compensation Policy and in any case is subject to the provisions of sections 32 and 34 below.</w:t>
      </w:r>
    </w:p>
    <w:p>
      <w:pPr>
        <w:spacing w:after="0" w:line="176" w:lineRule="exact"/>
        <w:rPr>
          <w:rFonts w:ascii="Arial" w:cs="Arial" w:eastAsia="Arial" w:hAnsi="Arial"/>
          <w:sz w:val="16"/>
          <w:szCs w:val="16"/>
          <w:color w:val="auto"/>
        </w:rPr>
      </w:pPr>
    </w:p>
    <w:p>
      <w:pPr>
        <w:ind w:left="660" w:hanging="382"/>
        <w:spacing w:after="0"/>
        <w:tabs>
          <w:tab w:leader="none" w:pos="660" w:val="left"/>
        </w:tabs>
        <w:numPr>
          <w:ilvl w:val="0"/>
          <w:numId w:val="186"/>
        </w:numPr>
        <w:rPr>
          <w:rFonts w:ascii="Arial" w:cs="Arial" w:eastAsia="Arial" w:hAnsi="Arial"/>
          <w:sz w:val="16"/>
          <w:szCs w:val="16"/>
          <w:color w:val="auto"/>
        </w:rPr>
      </w:pPr>
      <w:r>
        <w:rPr>
          <w:rFonts w:ascii="Arial" w:cs="Arial" w:eastAsia="Arial" w:hAnsi="Arial"/>
          <w:sz w:val="16"/>
          <w:szCs w:val="16"/>
          <w:b w:val="1"/>
          <w:bCs w:val="1"/>
          <w:u w:val="single" w:color="auto"/>
          <w:color w:val="auto"/>
        </w:rPr>
        <w:t>Objectives</w:t>
      </w:r>
    </w:p>
    <w:p>
      <w:pPr>
        <w:spacing w:after="0" w:line="246" w:lineRule="exact"/>
        <w:rPr>
          <w:sz w:val="20"/>
          <w:szCs w:val="20"/>
          <w:color w:val="auto"/>
        </w:rPr>
      </w:pPr>
    </w:p>
    <w:p>
      <w:pPr>
        <w:jc w:val="both"/>
        <w:ind w:left="660"/>
        <w:spacing w:after="0" w:line="257" w:lineRule="auto"/>
        <w:rPr>
          <w:sz w:val="20"/>
          <w:szCs w:val="20"/>
          <w:color w:val="auto"/>
        </w:rPr>
      </w:pPr>
      <w:r>
        <w:rPr>
          <w:rFonts w:ascii="Arial" w:cs="Arial" w:eastAsia="Arial" w:hAnsi="Arial"/>
          <w:sz w:val="16"/>
          <w:szCs w:val="16"/>
          <w:color w:val="auto"/>
        </w:rPr>
        <w:t>Sol-Gel's objectives and goals in setting this Compensation Policy are to attract, motivate and retain highly experienced personnel who will provide leadership for Sol-Gel's success and enhance the Company's shareholders' value, while supporting a performance culture that is based on merit, and rewards excellent performance in the short and long term, while recognizing Sol-Gel's core values. To that end, this Policy is designed, among others:</w:t>
      </w:r>
    </w:p>
    <w:p>
      <w:pPr>
        <w:spacing w:after="0" w:line="213" w:lineRule="exact"/>
        <w:rPr>
          <w:sz w:val="20"/>
          <w:szCs w:val="20"/>
          <w:color w:val="auto"/>
        </w:rPr>
      </w:pPr>
    </w:p>
    <w:p>
      <w:pPr>
        <w:ind w:left="700"/>
        <w:spacing w:after="0"/>
        <w:tabs>
          <w:tab w:leader="none" w:pos="1100" w:val="left"/>
        </w:tabs>
        <w:rPr>
          <w:sz w:val="20"/>
          <w:szCs w:val="20"/>
          <w:color w:val="auto"/>
        </w:rPr>
      </w:pPr>
      <w:r>
        <w:rPr>
          <w:rFonts w:ascii="Arial" w:cs="Arial" w:eastAsia="Arial" w:hAnsi="Arial"/>
          <w:sz w:val="16"/>
          <w:szCs w:val="16"/>
          <w:color w:val="auto"/>
        </w:rPr>
        <w:t>2.1.</w:t>
      </w:r>
      <w:r>
        <w:rPr>
          <w:sz w:val="20"/>
          <w:szCs w:val="20"/>
          <w:color w:val="auto"/>
        </w:rPr>
        <w:tab/>
      </w:r>
      <w:r>
        <w:rPr>
          <w:rFonts w:ascii="Arial" w:cs="Arial" w:eastAsia="Arial" w:hAnsi="Arial"/>
          <w:sz w:val="14"/>
          <w:szCs w:val="14"/>
          <w:color w:val="auto"/>
        </w:rPr>
        <w:t>To closely align the interests of the Executive Officers with those of Sol-Gel's shareholders in order to enhance shareholder value;</w:t>
      </w:r>
    </w:p>
    <w:p>
      <w:pPr>
        <w:spacing w:after="0" w:line="242" w:lineRule="exact"/>
        <w:rPr>
          <w:sz w:val="20"/>
          <w:szCs w:val="20"/>
          <w:color w:val="auto"/>
        </w:rPr>
      </w:pPr>
    </w:p>
    <w:p>
      <w:pPr>
        <w:jc w:val="both"/>
        <w:ind w:left="1120" w:hanging="413"/>
        <w:spacing w:after="0" w:line="257" w:lineRule="auto"/>
        <w:tabs>
          <w:tab w:leader="none" w:pos="1100" w:val="left"/>
        </w:tabs>
        <w:rPr>
          <w:sz w:val="20"/>
          <w:szCs w:val="20"/>
          <w:color w:val="auto"/>
        </w:rPr>
      </w:pPr>
      <w:r>
        <w:rPr>
          <w:rFonts w:ascii="Arial" w:cs="Arial" w:eastAsia="Arial" w:hAnsi="Arial"/>
          <w:sz w:val="16"/>
          <w:szCs w:val="16"/>
          <w:color w:val="auto"/>
        </w:rPr>
        <w:t>2.2.</w:t>
        <w:tab/>
        <w:t xml:space="preserve">To provide the Executive Officers with a structured compensation package, while creating a balance between the fixed components, </w:t>
      </w:r>
      <w:r>
        <w:rPr>
          <w:rFonts w:ascii="Arial" w:cs="Arial" w:eastAsia="Arial" w:hAnsi="Arial"/>
          <w:sz w:val="16"/>
          <w:szCs w:val="16"/>
          <w:i w:val="1"/>
          <w:iCs w:val="1"/>
          <w:color w:val="auto"/>
        </w:rPr>
        <w:t>i.e.</w:t>
      </w:r>
      <w:r>
        <w:rPr>
          <w:rFonts w:ascii="Arial" w:cs="Arial" w:eastAsia="Arial" w:hAnsi="Arial"/>
          <w:sz w:val="16"/>
          <w:szCs w:val="16"/>
          <w:color w:val="auto"/>
        </w:rPr>
        <w:t>, the base salaries and benefits, and the variable compensation, such as bonuses and equity-based compensation in order to minimize potential conflicts between the interests of Executive Officers and those of Sol-Gel;</w:t>
      </w:r>
    </w:p>
    <w:p>
      <w:pPr>
        <w:spacing w:after="0" w:line="213" w:lineRule="exact"/>
        <w:rPr>
          <w:sz w:val="20"/>
          <w:szCs w:val="20"/>
          <w:color w:val="auto"/>
        </w:rPr>
      </w:pPr>
    </w:p>
    <w:p>
      <w:pPr>
        <w:ind w:left="700"/>
        <w:spacing w:after="0"/>
        <w:tabs>
          <w:tab w:leader="none" w:pos="1100" w:val="left"/>
        </w:tabs>
        <w:rPr>
          <w:sz w:val="20"/>
          <w:szCs w:val="20"/>
          <w:color w:val="auto"/>
        </w:rPr>
      </w:pPr>
      <w:r>
        <w:rPr>
          <w:rFonts w:ascii="Arial" w:cs="Arial" w:eastAsia="Arial" w:hAnsi="Arial"/>
          <w:sz w:val="16"/>
          <w:szCs w:val="16"/>
          <w:color w:val="auto"/>
        </w:rPr>
        <w:t>2.3.</w:t>
      </w:r>
      <w:r>
        <w:rPr>
          <w:sz w:val="20"/>
          <w:szCs w:val="20"/>
          <w:color w:val="auto"/>
        </w:rPr>
        <w:tab/>
      </w:r>
      <w:r>
        <w:rPr>
          <w:rFonts w:ascii="Arial" w:cs="Arial" w:eastAsia="Arial" w:hAnsi="Arial"/>
          <w:sz w:val="14"/>
          <w:szCs w:val="14"/>
          <w:color w:val="auto"/>
        </w:rPr>
        <w:t>To strengthen the retention and the motivation of Executive Officers in the short and long term.</w:t>
      </w:r>
    </w:p>
    <w:p>
      <w:pPr>
        <w:spacing w:after="0" w:line="242" w:lineRule="exact"/>
        <w:rPr>
          <w:sz w:val="20"/>
          <w:szCs w:val="20"/>
          <w:color w:val="auto"/>
        </w:rPr>
      </w:pPr>
    </w:p>
    <w:p>
      <w:pPr>
        <w:ind w:left="700"/>
        <w:spacing w:after="0"/>
        <w:tabs>
          <w:tab w:leader="none" w:pos="1100" w:val="left"/>
        </w:tabs>
        <w:rPr>
          <w:sz w:val="20"/>
          <w:szCs w:val="20"/>
          <w:color w:val="auto"/>
        </w:rPr>
      </w:pPr>
      <w:r>
        <w:rPr>
          <w:rFonts w:ascii="Arial" w:cs="Arial" w:eastAsia="Arial" w:hAnsi="Arial"/>
          <w:sz w:val="16"/>
          <w:szCs w:val="16"/>
          <w:color w:val="auto"/>
        </w:rPr>
        <w:t>2.4.</w:t>
      </w:r>
      <w:r>
        <w:rPr>
          <w:sz w:val="20"/>
          <w:szCs w:val="20"/>
          <w:color w:val="auto"/>
        </w:rPr>
        <w:tab/>
      </w:r>
      <w:r>
        <w:rPr>
          <w:rFonts w:ascii="Arial" w:cs="Arial" w:eastAsia="Arial" w:hAnsi="Arial"/>
          <w:sz w:val="14"/>
          <w:szCs w:val="14"/>
          <w:color w:val="auto"/>
        </w:rPr>
        <w:t>This Compensation Policy was prepared taking into account the Company's nature, size and business and financial characteristics.</w:t>
      </w:r>
    </w:p>
    <w:p>
      <w:pPr>
        <w:spacing w:after="0" w:line="238" w:lineRule="exact"/>
        <w:rPr>
          <w:sz w:val="20"/>
          <w:szCs w:val="20"/>
          <w:color w:val="auto"/>
        </w:rPr>
      </w:pPr>
    </w:p>
    <w:p>
      <w:pPr>
        <w:ind w:left="660" w:hanging="382"/>
        <w:spacing w:after="0"/>
        <w:tabs>
          <w:tab w:leader="none" w:pos="660" w:val="left"/>
        </w:tabs>
        <w:numPr>
          <w:ilvl w:val="0"/>
          <w:numId w:val="187"/>
        </w:numPr>
        <w:rPr>
          <w:rFonts w:ascii="Arial" w:cs="Arial" w:eastAsia="Arial" w:hAnsi="Arial"/>
          <w:sz w:val="16"/>
          <w:szCs w:val="16"/>
          <w:color w:val="auto"/>
        </w:rPr>
      </w:pPr>
      <w:r>
        <w:rPr>
          <w:rFonts w:ascii="Arial" w:cs="Arial" w:eastAsia="Arial" w:hAnsi="Arial"/>
          <w:sz w:val="16"/>
          <w:szCs w:val="16"/>
          <w:b w:val="1"/>
          <w:bCs w:val="1"/>
          <w:u w:val="single" w:color="auto"/>
          <w:color w:val="auto"/>
        </w:rPr>
        <w:t>Compensation structure and instruments</w:t>
      </w:r>
    </w:p>
    <w:p>
      <w:pPr>
        <w:spacing w:after="0" w:line="246" w:lineRule="exact"/>
        <w:rPr>
          <w:sz w:val="20"/>
          <w:szCs w:val="20"/>
          <w:color w:val="auto"/>
        </w:rPr>
      </w:pPr>
    </w:p>
    <w:p>
      <w:pPr>
        <w:ind w:left="660" w:hanging="382"/>
        <w:spacing w:after="0"/>
        <w:tabs>
          <w:tab w:leader="none" w:pos="660" w:val="left"/>
        </w:tabs>
        <w:numPr>
          <w:ilvl w:val="0"/>
          <w:numId w:val="188"/>
        </w:numPr>
        <w:rPr>
          <w:rFonts w:ascii="Arial" w:cs="Arial" w:eastAsia="Arial" w:hAnsi="Arial"/>
          <w:sz w:val="16"/>
          <w:szCs w:val="16"/>
          <w:color w:val="auto"/>
        </w:rPr>
      </w:pPr>
      <w:r>
        <w:rPr>
          <w:rFonts w:ascii="Arial" w:cs="Arial" w:eastAsia="Arial" w:hAnsi="Arial"/>
          <w:sz w:val="16"/>
          <w:szCs w:val="16"/>
          <w:color w:val="auto"/>
        </w:rPr>
        <w:t>Compensation instruments under this Compensation Policy may include the following:</w:t>
      </w:r>
    </w:p>
    <w:p>
      <w:pPr>
        <w:spacing w:after="0" w:line="241" w:lineRule="exact"/>
        <w:rPr>
          <w:rFonts w:ascii="Arial" w:cs="Arial" w:eastAsia="Arial" w:hAnsi="Arial"/>
          <w:sz w:val="16"/>
          <w:szCs w:val="16"/>
          <w:color w:val="auto"/>
        </w:rPr>
      </w:pPr>
    </w:p>
    <w:p>
      <w:pPr>
        <w:ind w:left="980" w:hanging="276"/>
        <w:spacing w:after="0"/>
        <w:tabs>
          <w:tab w:leader="none" w:pos="980" w:val="left"/>
        </w:tabs>
        <w:numPr>
          <w:ilvl w:val="1"/>
          <w:numId w:val="188"/>
        </w:numPr>
        <w:rPr>
          <w:rFonts w:ascii="Arial" w:cs="Arial" w:eastAsia="Arial" w:hAnsi="Arial"/>
          <w:sz w:val="16"/>
          <w:szCs w:val="16"/>
          <w:color w:val="auto"/>
        </w:rPr>
      </w:pPr>
      <w:r>
        <w:rPr>
          <w:rFonts w:ascii="Arial" w:cs="Arial" w:eastAsia="Arial" w:hAnsi="Arial"/>
          <w:sz w:val="16"/>
          <w:szCs w:val="16"/>
          <w:color w:val="auto"/>
        </w:rPr>
        <w:t>Base salary;</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4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81" w:name="page182"/>
    <w:bookmarkEnd w:id="181"/>
    <w:p>
      <w:pPr>
        <w:ind w:left="985" w:hanging="276"/>
        <w:spacing w:after="0"/>
        <w:tabs>
          <w:tab w:leader="none" w:pos="985" w:val="left"/>
        </w:tabs>
        <w:numPr>
          <w:ilvl w:val="0"/>
          <w:numId w:val="189"/>
        </w:numPr>
        <w:rPr>
          <w:rFonts w:ascii="Arial" w:cs="Arial" w:eastAsia="Arial" w:hAnsi="Arial"/>
          <w:sz w:val="16"/>
          <w:szCs w:val="16"/>
          <w:color w:val="auto"/>
        </w:rPr>
      </w:pPr>
      <w:r>
        <w:rPr>
          <w:rFonts w:ascii="Arial" w:cs="Arial" w:eastAsia="Arial" w:hAnsi="Arial"/>
          <w:sz w:val="16"/>
          <w:szCs w:val="16"/>
          <w:color w:val="auto"/>
        </w:rPr>
        <w:t>Benefits and perquisites;</w:t>
      </w:r>
    </w:p>
    <w:p>
      <w:pPr>
        <w:spacing w:after="0" w:line="241" w:lineRule="exact"/>
        <w:rPr>
          <w:rFonts w:ascii="Arial" w:cs="Arial" w:eastAsia="Arial" w:hAnsi="Arial"/>
          <w:sz w:val="16"/>
          <w:szCs w:val="16"/>
          <w:color w:val="auto"/>
        </w:rPr>
      </w:pPr>
    </w:p>
    <w:p>
      <w:pPr>
        <w:ind w:left="985" w:hanging="276"/>
        <w:spacing w:after="0"/>
        <w:tabs>
          <w:tab w:leader="none" w:pos="985" w:val="left"/>
        </w:tabs>
        <w:numPr>
          <w:ilvl w:val="0"/>
          <w:numId w:val="189"/>
        </w:numPr>
        <w:rPr>
          <w:rFonts w:ascii="Arial" w:cs="Arial" w:eastAsia="Arial" w:hAnsi="Arial"/>
          <w:sz w:val="16"/>
          <w:szCs w:val="16"/>
          <w:color w:val="auto"/>
        </w:rPr>
      </w:pPr>
      <w:r>
        <w:rPr>
          <w:rFonts w:ascii="Arial" w:cs="Arial" w:eastAsia="Arial" w:hAnsi="Arial"/>
          <w:sz w:val="16"/>
          <w:szCs w:val="16"/>
          <w:color w:val="auto"/>
        </w:rPr>
        <w:t>Cash bonuses (short-to-medium term incentive);</w:t>
      </w:r>
    </w:p>
    <w:p>
      <w:pPr>
        <w:spacing w:after="0" w:line="241" w:lineRule="exact"/>
        <w:rPr>
          <w:rFonts w:ascii="Arial" w:cs="Arial" w:eastAsia="Arial" w:hAnsi="Arial"/>
          <w:sz w:val="16"/>
          <w:szCs w:val="16"/>
          <w:color w:val="auto"/>
        </w:rPr>
      </w:pPr>
    </w:p>
    <w:p>
      <w:pPr>
        <w:ind w:left="985" w:hanging="276"/>
        <w:spacing w:after="0"/>
        <w:tabs>
          <w:tab w:leader="none" w:pos="985" w:val="left"/>
        </w:tabs>
        <w:numPr>
          <w:ilvl w:val="0"/>
          <w:numId w:val="189"/>
        </w:numPr>
        <w:rPr>
          <w:rFonts w:ascii="Arial" w:cs="Arial" w:eastAsia="Arial" w:hAnsi="Arial"/>
          <w:sz w:val="16"/>
          <w:szCs w:val="16"/>
          <w:color w:val="auto"/>
        </w:rPr>
      </w:pPr>
      <w:r>
        <w:rPr>
          <w:rFonts w:ascii="Arial" w:cs="Arial" w:eastAsia="Arial" w:hAnsi="Arial"/>
          <w:sz w:val="16"/>
          <w:szCs w:val="16"/>
          <w:color w:val="auto"/>
        </w:rPr>
        <w:t>Equity based compensation (medium-to-long term incentive); and</w:t>
      </w:r>
    </w:p>
    <w:p>
      <w:pPr>
        <w:spacing w:after="0" w:line="241" w:lineRule="exact"/>
        <w:rPr>
          <w:rFonts w:ascii="Arial" w:cs="Arial" w:eastAsia="Arial" w:hAnsi="Arial"/>
          <w:sz w:val="16"/>
          <w:szCs w:val="16"/>
          <w:color w:val="auto"/>
        </w:rPr>
      </w:pPr>
    </w:p>
    <w:p>
      <w:pPr>
        <w:ind w:left="985" w:hanging="276"/>
        <w:spacing w:after="0"/>
        <w:tabs>
          <w:tab w:leader="none" w:pos="985" w:val="left"/>
        </w:tabs>
        <w:numPr>
          <w:ilvl w:val="0"/>
          <w:numId w:val="189"/>
        </w:numPr>
        <w:rPr>
          <w:rFonts w:ascii="Arial" w:cs="Arial" w:eastAsia="Arial" w:hAnsi="Arial"/>
          <w:sz w:val="16"/>
          <w:szCs w:val="16"/>
          <w:color w:val="auto"/>
        </w:rPr>
      </w:pPr>
      <w:r>
        <w:rPr>
          <w:rFonts w:ascii="Arial" w:cs="Arial" w:eastAsia="Arial" w:hAnsi="Arial"/>
          <w:sz w:val="16"/>
          <w:szCs w:val="16"/>
          <w:color w:val="auto"/>
        </w:rPr>
        <w:t>Retirement and termination of service arrangements payments.</w:t>
      </w:r>
    </w:p>
    <w:p>
      <w:pPr>
        <w:spacing w:after="0" w:line="242" w:lineRule="exact"/>
        <w:rPr>
          <w:sz w:val="20"/>
          <w:szCs w:val="20"/>
          <w:color w:val="auto"/>
        </w:rPr>
      </w:pPr>
    </w:p>
    <w:p>
      <w:pPr>
        <w:ind w:left="665"/>
        <w:spacing w:after="0"/>
        <w:rPr>
          <w:sz w:val="20"/>
          <w:szCs w:val="20"/>
          <w:color w:val="auto"/>
        </w:rPr>
      </w:pPr>
      <w:r>
        <w:rPr>
          <w:rFonts w:ascii="Arial" w:cs="Arial" w:eastAsia="Arial" w:hAnsi="Arial"/>
          <w:sz w:val="16"/>
          <w:szCs w:val="16"/>
          <w:color w:val="auto"/>
        </w:rPr>
        <w:t>For the purpose of this Compensation Policy:</w:t>
      </w:r>
    </w:p>
    <w:p>
      <w:pPr>
        <w:spacing w:after="0" w:line="190" w:lineRule="exact"/>
        <w:rPr>
          <w:sz w:val="20"/>
          <w:szCs w:val="20"/>
          <w:color w:val="auto"/>
        </w:rPr>
      </w:pPr>
    </w:p>
    <w:p>
      <w:pPr>
        <w:ind w:left="665"/>
        <w:spacing w:after="0" w:line="307" w:lineRule="auto"/>
        <w:rPr>
          <w:sz w:val="20"/>
          <w:szCs w:val="20"/>
          <w:color w:val="auto"/>
        </w:rPr>
      </w:pPr>
      <w:r>
        <w:rPr>
          <w:rFonts w:ascii="Arial" w:cs="Arial" w:eastAsia="Arial" w:hAnsi="Arial"/>
          <w:sz w:val="15"/>
          <w:szCs w:val="15"/>
          <w:color w:val="auto"/>
        </w:rPr>
        <w:t>"Base Salary" shall mean: gross salary, before contributions to social benefits ("</w:t>
      </w:r>
      <w:r>
        <w:rPr>
          <w:rFonts w:ascii="Arial" w:cs="Arial" w:eastAsia="Arial" w:hAnsi="Arial"/>
          <w:sz w:val="15"/>
          <w:szCs w:val="15"/>
          <w:b w:val="1"/>
          <w:bCs w:val="1"/>
          <w:color w:val="auto"/>
        </w:rPr>
        <w:t>Base Salary</w:t>
      </w:r>
      <w:r>
        <w:rPr>
          <w:rFonts w:ascii="Arial" w:cs="Arial" w:eastAsia="Arial" w:hAnsi="Arial"/>
          <w:sz w:val="15"/>
          <w:szCs w:val="15"/>
          <w:color w:val="auto"/>
        </w:rPr>
        <w:t>"); "Employment Cost" shall mean: any payment for the employment, including contributions to social benefits, car and expenses of the use thereof, bonuses and any other benefit or payment ("</w:t>
      </w:r>
      <w:r>
        <w:rPr>
          <w:rFonts w:ascii="Arial" w:cs="Arial" w:eastAsia="Arial" w:hAnsi="Arial"/>
          <w:sz w:val="15"/>
          <w:szCs w:val="15"/>
          <w:b w:val="1"/>
          <w:bCs w:val="1"/>
          <w:color w:val="auto"/>
        </w:rPr>
        <w:t>Employment Cost</w:t>
      </w:r>
      <w:r>
        <w:rPr>
          <w:rFonts w:ascii="Arial" w:cs="Arial" w:eastAsia="Arial" w:hAnsi="Arial"/>
          <w:sz w:val="15"/>
          <w:szCs w:val="15"/>
          <w:color w:val="auto"/>
        </w:rPr>
        <w:t>").</w:t>
      </w:r>
    </w:p>
    <w:p>
      <w:pPr>
        <w:spacing w:after="0" w:line="150" w:lineRule="exact"/>
        <w:rPr>
          <w:sz w:val="20"/>
          <w:szCs w:val="20"/>
          <w:color w:val="auto"/>
        </w:rPr>
      </w:pPr>
    </w:p>
    <w:p>
      <w:pPr>
        <w:ind w:left="665" w:hanging="382"/>
        <w:spacing w:after="0"/>
        <w:tabs>
          <w:tab w:leader="none" w:pos="665" w:val="left"/>
        </w:tabs>
        <w:numPr>
          <w:ilvl w:val="0"/>
          <w:numId w:val="190"/>
        </w:numPr>
        <w:rPr>
          <w:rFonts w:ascii="Arial" w:cs="Arial" w:eastAsia="Arial" w:hAnsi="Arial"/>
          <w:sz w:val="16"/>
          <w:szCs w:val="16"/>
          <w:color w:val="auto"/>
        </w:rPr>
      </w:pPr>
      <w:r>
        <w:rPr>
          <w:rFonts w:ascii="Arial" w:cs="Arial" w:eastAsia="Arial" w:hAnsi="Arial"/>
          <w:sz w:val="16"/>
          <w:szCs w:val="16"/>
          <w:b w:val="1"/>
          <w:bCs w:val="1"/>
          <w:u w:val="single" w:color="auto"/>
          <w:color w:val="auto"/>
        </w:rPr>
        <w:t>Overall Compensation - Ratio Between Fixed and Variable Compensation</w:t>
      </w:r>
    </w:p>
    <w:p>
      <w:pPr>
        <w:spacing w:after="0" w:line="241" w:lineRule="exact"/>
        <w:rPr>
          <w:rFonts w:ascii="Arial" w:cs="Arial" w:eastAsia="Arial" w:hAnsi="Arial"/>
          <w:sz w:val="16"/>
          <w:szCs w:val="16"/>
          <w:color w:val="auto"/>
        </w:rPr>
      </w:pPr>
    </w:p>
    <w:p>
      <w:pPr>
        <w:jc w:val="both"/>
        <w:ind w:left="665"/>
        <w:spacing w:after="0" w:line="217" w:lineRule="auto"/>
        <w:rPr>
          <w:rFonts w:ascii="Arial" w:cs="Arial" w:eastAsia="Arial" w:hAnsi="Arial"/>
          <w:sz w:val="16"/>
          <w:szCs w:val="16"/>
          <w:color w:val="auto"/>
        </w:rPr>
      </w:pPr>
      <w:r>
        <w:rPr>
          <w:rFonts w:ascii="Arial" w:cs="Arial" w:eastAsia="Arial" w:hAnsi="Arial"/>
          <w:sz w:val="16"/>
          <w:szCs w:val="16"/>
          <w:color w:val="auto"/>
        </w:rPr>
        <w:t>This Policy aims to balance the mix of "fixed compensation", comprised of base salary and benefits ("</w:t>
      </w:r>
      <w:r>
        <w:rPr>
          <w:rFonts w:ascii="Arial" w:cs="Arial" w:eastAsia="Arial" w:hAnsi="Arial"/>
          <w:sz w:val="16"/>
          <w:szCs w:val="16"/>
          <w:b w:val="1"/>
          <w:bCs w:val="1"/>
          <w:color w:val="auto"/>
        </w:rPr>
        <w:t>Fixed Compensation</w:t>
      </w:r>
      <w:r>
        <w:rPr>
          <w:rFonts w:ascii="Arial" w:cs="Arial" w:eastAsia="Arial" w:hAnsi="Arial"/>
          <w:sz w:val="16"/>
          <w:szCs w:val="16"/>
          <w:color w:val="auto"/>
        </w:rPr>
        <w:t>") and "variable compensation", comprised of cash bonuses and equity based compensation</w:t>
      </w:r>
      <w:r>
        <w:rPr>
          <w:rFonts w:ascii="Arial" w:cs="Arial" w:eastAsia="Arial" w:hAnsi="Arial"/>
          <w:sz w:val="26"/>
          <w:szCs w:val="26"/>
          <w:color w:val="auto"/>
          <w:vertAlign w:val="superscript"/>
        </w:rPr>
        <w:t>1</w:t>
      </w:r>
      <w:r>
        <w:rPr>
          <w:rFonts w:ascii="Arial" w:cs="Arial" w:eastAsia="Arial" w:hAnsi="Arial"/>
          <w:sz w:val="16"/>
          <w:szCs w:val="16"/>
          <w:color w:val="auto"/>
        </w:rPr>
        <w:t xml:space="preserve"> (excluding adjustment period/retirement bonuses, granted in accordance with section 21 below) ("</w:t>
      </w:r>
      <w:r>
        <w:rPr>
          <w:rFonts w:ascii="Arial" w:cs="Arial" w:eastAsia="Arial" w:hAnsi="Arial"/>
          <w:sz w:val="16"/>
          <w:szCs w:val="16"/>
          <w:b w:val="1"/>
          <w:bCs w:val="1"/>
          <w:color w:val="auto"/>
        </w:rPr>
        <w:t>Variable</w:t>
      </w:r>
      <w:r>
        <w:rPr>
          <w:rFonts w:ascii="Arial" w:cs="Arial" w:eastAsia="Arial" w:hAnsi="Arial"/>
          <w:sz w:val="16"/>
          <w:szCs w:val="16"/>
          <w:color w:val="auto"/>
        </w:rPr>
        <w:t xml:space="preserve"> </w:t>
      </w:r>
      <w:r>
        <w:rPr>
          <w:rFonts w:ascii="Arial" w:cs="Arial" w:eastAsia="Arial" w:hAnsi="Arial"/>
          <w:sz w:val="16"/>
          <w:szCs w:val="16"/>
          <w:b w:val="1"/>
          <w:bCs w:val="1"/>
          <w:color w:val="auto"/>
        </w:rPr>
        <w:t>Compensation</w:t>
      </w:r>
      <w:r>
        <w:rPr>
          <w:rFonts w:ascii="Arial" w:cs="Arial" w:eastAsia="Arial" w:hAnsi="Arial"/>
          <w:sz w:val="16"/>
          <w:szCs w:val="16"/>
          <w:color w:val="auto"/>
        </w:rPr>
        <w:t>") in order to, among other things, appropriately incentivize Executive Officers to meet Sol-Gel's short and long term goals while taking into</w:t>
      </w:r>
      <w:r>
        <w:rPr>
          <w:rFonts w:ascii="Arial" w:cs="Arial" w:eastAsia="Arial" w:hAnsi="Arial"/>
          <w:sz w:val="16"/>
          <w:szCs w:val="16"/>
          <w:b w:val="1"/>
          <w:bCs w:val="1"/>
          <w:color w:val="auto"/>
        </w:rPr>
        <w:t xml:space="preserve"> </w:t>
      </w:r>
      <w:r>
        <w:rPr>
          <w:rFonts w:ascii="Arial" w:cs="Arial" w:eastAsia="Arial" w:hAnsi="Arial"/>
          <w:sz w:val="16"/>
          <w:szCs w:val="16"/>
          <w:color w:val="auto"/>
        </w:rPr>
        <w:t>consideration the Company’s need to manage a variety of business risks.</w:t>
      </w:r>
    </w:p>
    <w:p>
      <w:pPr>
        <w:spacing w:after="0" w:line="180" w:lineRule="exact"/>
        <w:rPr>
          <w:rFonts w:ascii="Arial" w:cs="Arial" w:eastAsia="Arial" w:hAnsi="Arial"/>
          <w:sz w:val="16"/>
          <w:szCs w:val="16"/>
          <w:color w:val="auto"/>
        </w:rPr>
      </w:pPr>
    </w:p>
    <w:p>
      <w:pPr>
        <w:jc w:val="both"/>
        <w:ind w:left="665" w:right="20"/>
        <w:spacing w:after="0" w:line="257" w:lineRule="auto"/>
        <w:rPr>
          <w:rFonts w:ascii="Arial" w:cs="Arial" w:eastAsia="Arial" w:hAnsi="Arial"/>
          <w:sz w:val="16"/>
          <w:szCs w:val="16"/>
          <w:color w:val="auto"/>
        </w:rPr>
      </w:pPr>
      <w:r>
        <w:rPr>
          <w:rFonts w:ascii="Arial" w:cs="Arial" w:eastAsia="Arial" w:hAnsi="Arial"/>
          <w:sz w:val="16"/>
          <w:szCs w:val="16"/>
          <w:color w:val="auto"/>
        </w:rPr>
        <w:t>The total Variable Compensation of each Executive Officer shall not exceed 85% of the total compensation package of such an Executive Officer on an annual basis. The Board believes that such range expresses the appropriate compensation mix in the event that all performance objectives are achieved and assumes that all compensation elements are granted with respect to a given year.</w:t>
      </w:r>
    </w:p>
    <w:p>
      <w:pPr>
        <w:spacing w:after="0" w:line="165" w:lineRule="exact"/>
        <w:rPr>
          <w:rFonts w:ascii="Arial" w:cs="Arial" w:eastAsia="Arial" w:hAnsi="Arial"/>
          <w:sz w:val="16"/>
          <w:szCs w:val="16"/>
          <w:color w:val="auto"/>
        </w:rPr>
      </w:pPr>
    </w:p>
    <w:p>
      <w:pPr>
        <w:ind w:left="665" w:right="20"/>
        <w:spacing w:after="0" w:line="302" w:lineRule="auto"/>
        <w:rPr>
          <w:rFonts w:ascii="Arial" w:cs="Arial" w:eastAsia="Arial" w:hAnsi="Arial"/>
          <w:sz w:val="16"/>
          <w:szCs w:val="16"/>
          <w:color w:val="auto"/>
        </w:rPr>
      </w:pPr>
      <w:r>
        <w:rPr>
          <w:rFonts w:ascii="Arial" w:cs="Arial" w:eastAsia="Arial" w:hAnsi="Arial"/>
          <w:sz w:val="15"/>
          <w:szCs w:val="15"/>
          <w:color w:val="auto"/>
        </w:rPr>
        <w:t>It should be clarified, that the Fixed Compensation may constitute 100% of the total compensation package for an Executive Officer in any year (under circumstances in which a variable component will not be approved for that year and/or in the event of a failure to meet the set goals, if and when determined).</w:t>
      </w:r>
    </w:p>
    <w:p>
      <w:pPr>
        <w:spacing w:after="0" w:line="176" w:lineRule="exact"/>
        <w:rPr>
          <w:rFonts w:ascii="Arial" w:cs="Arial" w:eastAsia="Arial" w:hAnsi="Arial"/>
          <w:sz w:val="16"/>
          <w:szCs w:val="16"/>
          <w:color w:val="auto"/>
        </w:rPr>
      </w:pPr>
    </w:p>
    <w:p>
      <w:pPr>
        <w:ind w:left="665" w:hanging="382"/>
        <w:spacing w:after="0"/>
        <w:tabs>
          <w:tab w:leader="none" w:pos="665" w:val="left"/>
        </w:tabs>
        <w:numPr>
          <w:ilvl w:val="0"/>
          <w:numId w:val="190"/>
        </w:numPr>
        <w:rPr>
          <w:rFonts w:ascii="Arial" w:cs="Arial" w:eastAsia="Arial" w:hAnsi="Arial"/>
          <w:sz w:val="16"/>
          <w:szCs w:val="16"/>
          <w:color w:val="auto"/>
        </w:rPr>
      </w:pPr>
      <w:r>
        <w:rPr>
          <w:rFonts w:ascii="Arial" w:cs="Arial" w:eastAsia="Arial" w:hAnsi="Arial"/>
          <w:sz w:val="16"/>
          <w:szCs w:val="16"/>
          <w:b w:val="1"/>
          <w:bCs w:val="1"/>
          <w:u w:val="single" w:color="auto"/>
          <w:color w:val="auto"/>
        </w:rPr>
        <w:t>Intra-Company Compensation Ratio</w:t>
      </w:r>
    </w:p>
    <w:p>
      <w:pPr>
        <w:spacing w:after="0" w:line="246" w:lineRule="exact"/>
        <w:rPr>
          <w:sz w:val="20"/>
          <w:szCs w:val="20"/>
          <w:color w:val="auto"/>
        </w:rPr>
      </w:pPr>
    </w:p>
    <w:p>
      <w:pPr>
        <w:jc w:val="both"/>
        <w:ind w:left="665" w:hanging="382"/>
        <w:spacing w:after="0" w:line="276" w:lineRule="auto"/>
        <w:tabs>
          <w:tab w:leader="none" w:pos="665" w:val="left"/>
        </w:tabs>
        <w:numPr>
          <w:ilvl w:val="0"/>
          <w:numId w:val="191"/>
        </w:numPr>
        <w:rPr>
          <w:rFonts w:ascii="Arial" w:cs="Arial" w:eastAsia="Arial" w:hAnsi="Arial"/>
          <w:sz w:val="15"/>
          <w:szCs w:val="15"/>
          <w:color w:val="auto"/>
        </w:rPr>
      </w:pPr>
      <w:r>
        <w:rPr>
          <w:rFonts w:ascii="Arial" w:cs="Arial" w:eastAsia="Arial" w:hAnsi="Arial"/>
          <w:sz w:val="15"/>
          <w:szCs w:val="15"/>
          <w:color w:val="auto"/>
        </w:rPr>
        <w:t>In the process of drafting this Policy, Sol-Gel’s Board has examined the ratio between employer cost, as such term is defined in the Companies Law, associated with the engagement of the Executive Officers (the "</w:t>
      </w:r>
      <w:r>
        <w:rPr>
          <w:rFonts w:ascii="Arial" w:cs="Arial" w:eastAsia="Arial" w:hAnsi="Arial"/>
          <w:sz w:val="15"/>
          <w:szCs w:val="15"/>
          <w:b w:val="1"/>
          <w:bCs w:val="1"/>
          <w:color w:val="auto"/>
        </w:rPr>
        <w:t>Executive Officers Cost</w:t>
      </w:r>
      <w:r>
        <w:rPr>
          <w:rFonts w:ascii="Arial" w:cs="Arial" w:eastAsia="Arial" w:hAnsi="Arial"/>
          <w:sz w:val="15"/>
          <w:szCs w:val="15"/>
          <w:color w:val="auto"/>
        </w:rPr>
        <w:t>") and the average and median employer cost associated with the engagement of the other employees of Sol-Gel (the "</w:t>
      </w:r>
      <w:r>
        <w:rPr>
          <w:rFonts w:ascii="Arial" w:cs="Arial" w:eastAsia="Arial" w:hAnsi="Arial"/>
          <w:sz w:val="15"/>
          <w:szCs w:val="15"/>
          <w:b w:val="1"/>
          <w:bCs w:val="1"/>
          <w:color w:val="auto"/>
        </w:rPr>
        <w:t>Other Employees Cost</w:t>
      </w:r>
      <w:r>
        <w:rPr>
          <w:rFonts w:ascii="Arial" w:cs="Arial" w:eastAsia="Arial" w:hAnsi="Arial"/>
          <w:sz w:val="15"/>
          <w:szCs w:val="15"/>
          <w:color w:val="auto"/>
        </w:rPr>
        <w:t>" and the "</w:t>
      </w:r>
      <w:r>
        <w:rPr>
          <w:rFonts w:ascii="Arial" w:cs="Arial" w:eastAsia="Arial" w:hAnsi="Arial"/>
          <w:sz w:val="15"/>
          <w:szCs w:val="15"/>
          <w:b w:val="1"/>
          <w:bCs w:val="1"/>
          <w:color w:val="auto"/>
        </w:rPr>
        <w:t>Ratio</w:t>
      </w:r>
      <w:r>
        <w:rPr>
          <w:rFonts w:ascii="Arial" w:cs="Arial" w:eastAsia="Arial" w:hAnsi="Arial"/>
          <w:sz w:val="15"/>
          <w:szCs w:val="15"/>
          <w:color w:val="auto"/>
        </w:rPr>
        <w:t>", respectively). The Board believes that the current Ratio does not adversely impact the work environment in Sol-Gel. The following are the ratios as of the date of the approval of this Compensation Policy:</w:t>
      </w:r>
    </w:p>
    <w:p>
      <w:pPr>
        <w:spacing w:after="0" w:line="193" w:lineRule="exact"/>
        <w:rPr>
          <w:sz w:val="20"/>
          <w:szCs w:val="20"/>
          <w:color w:val="auto"/>
        </w:rPr>
      </w:pPr>
    </w:p>
    <w:tbl>
      <w:tblPr>
        <w:tblLayout w:type="fixed"/>
        <w:tblInd w:w="1135" w:type="dxa"/>
        <w:tblCellMar>
          <w:top w:w="0" w:type="dxa"/>
          <w:left w:w="0" w:type="dxa"/>
          <w:bottom w:w="0" w:type="dxa"/>
          <w:right w:w="0" w:type="dxa"/>
        </w:tblCellMar>
      </w:tblPr>
      <w:tr>
        <w:trPr>
          <w:trHeight w:val="220"/>
        </w:trPr>
        <w:tc>
          <w:tcPr>
            <w:tcW w:w="3020" w:type="dxa"/>
            <w:vAlign w:val="bottom"/>
            <w:tcBorders>
              <w:top w:val="single" w:sz="8" w:color="auto"/>
              <w:left w:val="single" w:sz="8" w:color="auto"/>
              <w:right w:val="single" w:sz="8" w:color="auto"/>
            </w:tcBorders>
          </w:tcPr>
          <w:p>
            <w:pPr>
              <w:ind w:left="60"/>
              <w:spacing w:after="0"/>
              <w:rPr>
                <w:sz w:val="20"/>
                <w:szCs w:val="20"/>
                <w:color w:val="auto"/>
              </w:rPr>
            </w:pPr>
            <w:r>
              <w:rPr>
                <w:rFonts w:ascii="Arial" w:cs="Arial" w:eastAsia="Arial" w:hAnsi="Arial"/>
                <w:sz w:val="16"/>
                <w:szCs w:val="16"/>
                <w:b w:val="1"/>
                <w:bCs w:val="1"/>
                <w:color w:val="auto"/>
              </w:rPr>
              <w:t>Position</w:t>
            </w:r>
          </w:p>
        </w:tc>
        <w:tc>
          <w:tcPr>
            <w:tcW w:w="302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6"/>
                <w:szCs w:val="16"/>
                <w:b w:val="1"/>
                <w:bCs w:val="1"/>
                <w:color w:val="auto"/>
                <w:w w:val="92"/>
              </w:rPr>
              <w:t>Ratio between the Executive Officers Cost</w:t>
            </w:r>
          </w:p>
        </w:tc>
        <w:tc>
          <w:tcPr>
            <w:tcW w:w="2960" w:type="dxa"/>
            <w:vAlign w:val="bottom"/>
            <w:tcBorders>
              <w:top w:val="single" w:sz="8" w:color="auto"/>
              <w:right w:val="single" w:sz="8" w:color="auto"/>
            </w:tcBorders>
          </w:tcPr>
          <w:p>
            <w:pPr>
              <w:spacing w:after="0"/>
              <w:rPr>
                <w:sz w:val="20"/>
                <w:szCs w:val="20"/>
                <w:color w:val="auto"/>
              </w:rPr>
            </w:pPr>
            <w:r>
              <w:rPr>
                <w:rFonts w:ascii="Arial" w:cs="Arial" w:eastAsia="Arial" w:hAnsi="Arial"/>
                <w:sz w:val="16"/>
                <w:szCs w:val="16"/>
                <w:b w:val="1"/>
                <w:bCs w:val="1"/>
                <w:color w:val="auto"/>
                <w:w w:val="90"/>
              </w:rPr>
              <w:t>Ratio between the Executive Officers Cost</w:t>
            </w:r>
          </w:p>
        </w:tc>
      </w:tr>
      <w:tr>
        <w:trPr>
          <w:trHeight w:val="204"/>
        </w:trPr>
        <w:tc>
          <w:tcPr>
            <w:tcW w:w="3020" w:type="dxa"/>
            <w:vAlign w:val="bottom"/>
            <w:tcBorders>
              <w:left w:val="single" w:sz="8" w:color="auto"/>
              <w:right w:val="single" w:sz="8" w:color="auto"/>
            </w:tcBorders>
          </w:tcPr>
          <w:p>
            <w:pPr>
              <w:spacing w:after="0"/>
              <w:rPr>
                <w:sz w:val="17"/>
                <w:szCs w:val="17"/>
                <w:color w:val="auto"/>
              </w:rPr>
            </w:pPr>
          </w:p>
        </w:tc>
        <w:tc>
          <w:tcPr>
            <w:tcW w:w="3020" w:type="dxa"/>
            <w:vAlign w:val="bottom"/>
            <w:tcBorders>
              <w:right w:val="single" w:sz="8" w:color="auto"/>
            </w:tcBorders>
          </w:tcPr>
          <w:p>
            <w:pPr>
              <w:ind w:left="20"/>
              <w:spacing w:after="0"/>
              <w:rPr>
                <w:sz w:val="20"/>
                <w:szCs w:val="20"/>
                <w:color w:val="auto"/>
              </w:rPr>
            </w:pPr>
            <w:r>
              <w:rPr>
                <w:rFonts w:ascii="Arial" w:cs="Arial" w:eastAsia="Arial" w:hAnsi="Arial"/>
                <w:sz w:val="16"/>
                <w:szCs w:val="16"/>
                <w:b w:val="1"/>
                <w:bCs w:val="1"/>
                <w:color w:val="auto"/>
                <w:w w:val="99"/>
              </w:rPr>
              <w:t>and the average Other Employees Cost</w:t>
            </w:r>
          </w:p>
        </w:tc>
        <w:tc>
          <w:tcPr>
            <w:tcW w:w="2960" w:type="dxa"/>
            <w:vAlign w:val="bottom"/>
            <w:tcBorders>
              <w:right w:val="single" w:sz="8" w:color="auto"/>
            </w:tcBorders>
          </w:tcPr>
          <w:p>
            <w:pPr>
              <w:spacing w:after="0"/>
              <w:rPr>
                <w:sz w:val="20"/>
                <w:szCs w:val="20"/>
                <w:color w:val="auto"/>
              </w:rPr>
            </w:pPr>
            <w:r>
              <w:rPr>
                <w:rFonts w:ascii="Arial" w:cs="Arial" w:eastAsia="Arial" w:hAnsi="Arial"/>
                <w:sz w:val="16"/>
                <w:szCs w:val="16"/>
                <w:b w:val="1"/>
                <w:bCs w:val="1"/>
                <w:color w:val="auto"/>
                <w:w w:val="99"/>
              </w:rPr>
              <w:t>and the median Other Employees Cost</w:t>
            </w:r>
          </w:p>
        </w:tc>
      </w:tr>
      <w:tr>
        <w:trPr>
          <w:trHeight w:val="29"/>
        </w:trPr>
        <w:tc>
          <w:tcPr>
            <w:tcW w:w="3020" w:type="dxa"/>
            <w:vAlign w:val="bottom"/>
            <w:tcBorders>
              <w:left w:val="single" w:sz="8" w:color="auto"/>
              <w:bottom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tcPr>
          <w:p>
            <w:pPr>
              <w:spacing w:after="0"/>
              <w:rPr>
                <w:sz w:val="2"/>
                <w:szCs w:val="2"/>
                <w:color w:val="auto"/>
              </w:rPr>
            </w:pPr>
          </w:p>
        </w:tc>
        <w:tc>
          <w:tcPr>
            <w:tcW w:w="2960" w:type="dxa"/>
            <w:vAlign w:val="bottom"/>
            <w:tcBorders>
              <w:bottom w:val="single" w:sz="8" w:color="auto"/>
              <w:right w:val="single" w:sz="8" w:color="auto"/>
            </w:tcBorders>
          </w:tcPr>
          <w:p>
            <w:pPr>
              <w:spacing w:after="0"/>
              <w:rPr>
                <w:sz w:val="2"/>
                <w:szCs w:val="2"/>
                <w:color w:val="auto"/>
              </w:rPr>
            </w:pPr>
          </w:p>
        </w:tc>
      </w:tr>
      <w:tr>
        <w:trPr>
          <w:trHeight w:val="212"/>
        </w:trPr>
        <w:tc>
          <w:tcPr>
            <w:tcW w:w="302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6"/>
                <w:szCs w:val="16"/>
                <w:b w:val="1"/>
                <w:bCs w:val="1"/>
                <w:color w:val="auto"/>
              </w:rPr>
              <w:t>CEO</w:t>
            </w:r>
          </w:p>
        </w:tc>
        <w:tc>
          <w:tcPr>
            <w:tcW w:w="3020" w:type="dxa"/>
            <w:vAlign w:val="bottom"/>
            <w:tcBorders>
              <w:right w:val="single" w:sz="8" w:color="auto"/>
            </w:tcBorders>
          </w:tcPr>
          <w:p>
            <w:pPr>
              <w:jc w:val="right"/>
              <w:ind w:right="1321"/>
              <w:spacing w:after="0"/>
              <w:rPr>
                <w:sz w:val="20"/>
                <w:szCs w:val="20"/>
                <w:color w:val="auto"/>
              </w:rPr>
            </w:pPr>
            <w:r>
              <w:rPr>
                <w:rFonts w:ascii="Arial" w:cs="Arial" w:eastAsia="Arial" w:hAnsi="Arial"/>
                <w:sz w:val="16"/>
                <w:szCs w:val="16"/>
                <w:color w:val="auto"/>
              </w:rPr>
              <w:t>8.12</w:t>
            </w:r>
          </w:p>
        </w:tc>
        <w:tc>
          <w:tcPr>
            <w:tcW w:w="2960" w:type="dxa"/>
            <w:vAlign w:val="bottom"/>
            <w:tcBorders>
              <w:right w:val="single" w:sz="8" w:color="auto"/>
            </w:tcBorders>
          </w:tcPr>
          <w:p>
            <w:pPr>
              <w:jc w:val="right"/>
              <w:ind w:right="1241"/>
              <w:spacing w:after="0"/>
              <w:rPr>
                <w:sz w:val="20"/>
                <w:szCs w:val="20"/>
                <w:color w:val="auto"/>
              </w:rPr>
            </w:pPr>
            <w:r>
              <w:rPr>
                <w:rFonts w:ascii="Arial" w:cs="Arial" w:eastAsia="Arial" w:hAnsi="Arial"/>
                <w:sz w:val="16"/>
                <w:szCs w:val="16"/>
                <w:color w:val="auto"/>
              </w:rPr>
              <w:t>10.64</w:t>
            </w:r>
          </w:p>
        </w:tc>
      </w:tr>
      <w:tr>
        <w:trPr>
          <w:trHeight w:val="29"/>
        </w:trPr>
        <w:tc>
          <w:tcPr>
            <w:tcW w:w="3020" w:type="dxa"/>
            <w:vAlign w:val="bottom"/>
            <w:tcBorders>
              <w:left w:val="single" w:sz="8" w:color="auto"/>
              <w:bottom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tcPr>
          <w:p>
            <w:pPr>
              <w:spacing w:after="0"/>
              <w:rPr>
                <w:sz w:val="2"/>
                <w:szCs w:val="2"/>
                <w:color w:val="auto"/>
              </w:rPr>
            </w:pPr>
          </w:p>
        </w:tc>
        <w:tc>
          <w:tcPr>
            <w:tcW w:w="2960" w:type="dxa"/>
            <w:vAlign w:val="bottom"/>
            <w:tcBorders>
              <w:bottom w:val="single" w:sz="8" w:color="auto"/>
              <w:right w:val="single" w:sz="8" w:color="auto"/>
            </w:tcBorders>
          </w:tcPr>
          <w:p>
            <w:pPr>
              <w:spacing w:after="0"/>
              <w:rPr>
                <w:sz w:val="2"/>
                <w:szCs w:val="2"/>
                <w:color w:val="auto"/>
              </w:rPr>
            </w:pPr>
          </w:p>
        </w:tc>
      </w:tr>
      <w:tr>
        <w:trPr>
          <w:trHeight w:val="212"/>
        </w:trPr>
        <w:tc>
          <w:tcPr>
            <w:tcW w:w="302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6"/>
                <w:szCs w:val="16"/>
                <w:b w:val="1"/>
                <w:bCs w:val="1"/>
                <w:color w:val="auto"/>
              </w:rPr>
              <w:t>Other Executive Officers</w:t>
            </w:r>
          </w:p>
        </w:tc>
        <w:tc>
          <w:tcPr>
            <w:tcW w:w="3020" w:type="dxa"/>
            <w:vAlign w:val="bottom"/>
            <w:tcBorders>
              <w:right w:val="single" w:sz="8" w:color="auto"/>
            </w:tcBorders>
          </w:tcPr>
          <w:p>
            <w:pPr>
              <w:jc w:val="right"/>
              <w:ind w:right="1321"/>
              <w:spacing w:after="0"/>
              <w:rPr>
                <w:sz w:val="20"/>
                <w:szCs w:val="20"/>
                <w:color w:val="auto"/>
              </w:rPr>
            </w:pPr>
            <w:r>
              <w:rPr>
                <w:rFonts w:ascii="Arial" w:cs="Arial" w:eastAsia="Arial" w:hAnsi="Arial"/>
                <w:sz w:val="16"/>
                <w:szCs w:val="16"/>
                <w:color w:val="auto"/>
              </w:rPr>
              <w:t>3.12</w:t>
            </w:r>
          </w:p>
        </w:tc>
        <w:tc>
          <w:tcPr>
            <w:tcW w:w="2960" w:type="dxa"/>
            <w:vAlign w:val="bottom"/>
            <w:tcBorders>
              <w:right w:val="single" w:sz="8" w:color="auto"/>
            </w:tcBorders>
          </w:tcPr>
          <w:p>
            <w:pPr>
              <w:jc w:val="right"/>
              <w:ind w:right="1281"/>
              <w:spacing w:after="0"/>
              <w:rPr>
                <w:sz w:val="20"/>
                <w:szCs w:val="20"/>
                <w:color w:val="auto"/>
              </w:rPr>
            </w:pPr>
            <w:r>
              <w:rPr>
                <w:rFonts w:ascii="Arial" w:cs="Arial" w:eastAsia="Arial" w:hAnsi="Arial"/>
                <w:sz w:val="16"/>
                <w:szCs w:val="16"/>
                <w:color w:val="auto"/>
              </w:rPr>
              <w:t>4.16</w:t>
            </w:r>
          </w:p>
        </w:tc>
      </w:tr>
      <w:tr>
        <w:trPr>
          <w:trHeight w:val="29"/>
        </w:trPr>
        <w:tc>
          <w:tcPr>
            <w:tcW w:w="3020" w:type="dxa"/>
            <w:vAlign w:val="bottom"/>
            <w:tcBorders>
              <w:left w:val="single" w:sz="8" w:color="auto"/>
              <w:bottom w:val="single" w:sz="8" w:color="auto"/>
              <w:right w:val="single" w:sz="8" w:color="auto"/>
            </w:tcBorders>
          </w:tcPr>
          <w:p>
            <w:pPr>
              <w:spacing w:after="0"/>
              <w:rPr>
                <w:sz w:val="2"/>
                <w:szCs w:val="2"/>
                <w:color w:val="auto"/>
              </w:rPr>
            </w:pPr>
          </w:p>
        </w:tc>
        <w:tc>
          <w:tcPr>
            <w:tcW w:w="3020" w:type="dxa"/>
            <w:vAlign w:val="bottom"/>
            <w:tcBorders>
              <w:bottom w:val="single" w:sz="8" w:color="auto"/>
              <w:right w:val="single" w:sz="8" w:color="auto"/>
            </w:tcBorders>
          </w:tcPr>
          <w:p>
            <w:pPr>
              <w:spacing w:after="0"/>
              <w:rPr>
                <w:sz w:val="2"/>
                <w:szCs w:val="2"/>
                <w:color w:val="auto"/>
              </w:rPr>
            </w:pPr>
          </w:p>
        </w:tc>
        <w:tc>
          <w:tcPr>
            <w:tcW w:w="296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210185</wp:posOffset>
            </wp:positionV>
            <wp:extent cx="1442085" cy="762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1">
                      <a:extLst>
                        <a:ext uri="{28A0092B-C50C-407E-A947-70E740481C1C}"/>
                      </a:extLst>
                    </a:blip>
                    <a:srcRect/>
                    <a:stretch>
                      <a:fillRect/>
                    </a:stretch>
                  </pic:blipFill>
                  <pic:spPr bwMode="auto">
                    <a:xfrm>
                      <a:off x="0" y="0"/>
                      <a:ext cx="1442085" cy="7620"/>
                    </a:xfrm>
                    <a:prstGeom prst="rect">
                      <a:avLst/>
                    </a:prstGeom>
                    <a:noFill/>
                  </pic:spPr>
                </pic:pic>
              </a:graphicData>
            </a:graphic>
          </wp:anchor>
        </w:drawing>
      </w:r>
    </w:p>
    <w:p>
      <w:pPr>
        <w:spacing w:after="0" w:line="307" w:lineRule="exact"/>
        <w:rPr>
          <w:sz w:val="20"/>
          <w:szCs w:val="20"/>
          <w:color w:val="auto"/>
        </w:rPr>
      </w:pPr>
    </w:p>
    <w:p>
      <w:pPr>
        <w:ind w:left="445" w:hanging="445"/>
        <w:spacing w:after="0"/>
        <w:tabs>
          <w:tab w:leader="none" w:pos="445" w:val="left"/>
        </w:tabs>
        <w:numPr>
          <w:ilvl w:val="0"/>
          <w:numId w:val="192"/>
        </w:numPr>
        <w:rPr>
          <w:rFonts w:ascii="Arial" w:cs="Arial" w:eastAsia="Arial" w:hAnsi="Arial"/>
          <w:sz w:val="26"/>
          <w:szCs w:val="26"/>
          <w:color w:val="auto"/>
          <w:vertAlign w:val="superscript"/>
        </w:rPr>
      </w:pPr>
      <w:r>
        <w:rPr>
          <w:rFonts w:ascii="Arial" w:cs="Arial" w:eastAsia="Arial" w:hAnsi="Arial"/>
          <w:sz w:val="16"/>
          <w:szCs w:val="16"/>
          <w:color w:val="auto"/>
        </w:rPr>
        <w:t>Based on the fair value on the date of grant, calculated annually, on a linear basis.</w:t>
      </w:r>
    </w:p>
    <w:p>
      <w:pPr>
        <w:spacing w:after="0" w:line="13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A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4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7" w:right="319" w:bottom="1440" w:gutter="0" w:footer="0" w:header="0"/>
        </w:sectPr>
      </w:pPr>
    </w:p>
    <w:bookmarkStart w:id="182" w:name="page183"/>
    <w:bookmarkEnd w:id="182"/>
    <w:p>
      <w:pPr>
        <w:spacing w:after="0"/>
        <w:rPr>
          <w:sz w:val="20"/>
          <w:szCs w:val="20"/>
          <w:color w:val="auto"/>
        </w:rPr>
      </w:pPr>
      <w:r>
        <w:rPr>
          <w:rFonts w:ascii="Arial" w:cs="Arial" w:eastAsia="Arial" w:hAnsi="Arial"/>
          <w:sz w:val="19"/>
          <w:szCs w:val="19"/>
          <w:b w:val="1"/>
          <w:bCs w:val="1"/>
          <w:color w:val="auto"/>
        </w:rPr>
        <w:t xml:space="preserve">B. </w:t>
      </w:r>
      <w:r>
        <w:rPr>
          <w:rFonts w:ascii="Arial" w:cs="Arial" w:eastAsia="Arial" w:hAnsi="Arial"/>
          <w:sz w:val="19"/>
          <w:szCs w:val="19"/>
          <w:b w:val="1"/>
          <w:bCs w:val="1"/>
          <w:u w:val="single" w:color="auto"/>
          <w:color w:val="auto"/>
        </w:rPr>
        <w:t>Base Salary and Benefits</w:t>
      </w:r>
    </w:p>
    <w:p>
      <w:pPr>
        <w:spacing w:after="0" w:line="251" w:lineRule="exact"/>
        <w:rPr>
          <w:sz w:val="20"/>
          <w:szCs w:val="20"/>
          <w:color w:val="auto"/>
        </w:rPr>
      </w:pPr>
    </w:p>
    <w:p>
      <w:pPr>
        <w:ind w:left="660" w:hanging="382"/>
        <w:spacing w:after="0"/>
        <w:tabs>
          <w:tab w:leader="none" w:pos="660" w:val="left"/>
        </w:tabs>
        <w:numPr>
          <w:ilvl w:val="0"/>
          <w:numId w:val="193"/>
        </w:numPr>
        <w:rPr>
          <w:rFonts w:ascii="Arial" w:cs="Arial" w:eastAsia="Arial" w:hAnsi="Arial"/>
          <w:sz w:val="16"/>
          <w:szCs w:val="16"/>
          <w:color w:val="auto"/>
        </w:rPr>
      </w:pPr>
      <w:r>
        <w:rPr>
          <w:rFonts w:ascii="Arial" w:cs="Arial" w:eastAsia="Arial" w:hAnsi="Arial"/>
          <w:sz w:val="16"/>
          <w:szCs w:val="16"/>
          <w:b w:val="1"/>
          <w:bCs w:val="1"/>
          <w:u w:val="single" w:color="auto"/>
          <w:color w:val="auto"/>
        </w:rPr>
        <w:t>Base Salary</w:t>
      </w:r>
    </w:p>
    <w:p>
      <w:pPr>
        <w:spacing w:after="0" w:line="246" w:lineRule="exact"/>
        <w:rPr>
          <w:sz w:val="20"/>
          <w:szCs w:val="20"/>
          <w:color w:val="auto"/>
        </w:rPr>
      </w:pPr>
    </w:p>
    <w:p>
      <w:pPr>
        <w:jc w:val="both"/>
        <w:ind w:left="1120" w:hanging="413"/>
        <w:spacing w:after="0" w:line="289" w:lineRule="auto"/>
        <w:tabs>
          <w:tab w:leader="none" w:pos="1100" w:val="left"/>
        </w:tabs>
        <w:rPr>
          <w:sz w:val="20"/>
          <w:szCs w:val="20"/>
          <w:color w:val="auto"/>
        </w:rPr>
      </w:pPr>
      <w:r>
        <w:rPr>
          <w:rFonts w:ascii="Arial" w:cs="Arial" w:eastAsia="Arial" w:hAnsi="Arial"/>
          <w:sz w:val="16"/>
          <w:szCs w:val="16"/>
          <w:color w:val="auto"/>
        </w:rPr>
        <w:t>6.1.</w:t>
      </w:r>
      <w:r>
        <w:rPr>
          <w:sz w:val="20"/>
          <w:szCs w:val="20"/>
          <w:color w:val="auto"/>
        </w:rPr>
        <w:tab/>
      </w:r>
      <w:r>
        <w:rPr>
          <w:rFonts w:ascii="Arial" w:cs="Arial" w:eastAsia="Arial" w:hAnsi="Arial"/>
          <w:sz w:val="14"/>
          <w:szCs w:val="14"/>
          <w:color w:val="auto"/>
        </w:rPr>
        <w:t>The Base Salary varies between Executive Officers, is individually determined by the Company (subject to the approvals of the Compensation Committee and the Board, and with respect to the CEO, also the Company's general meeting of shareholders) and may be considered and adjusted by the Company (subject to the approvals of the abovementioned organs) on a periodically basis, according to, among others, the educational background, prior vocational experience, expertise and qualifications, role, business authorities and responsibilities, past performance and previous compensation arrangements of such Executive Officer, as well as the Company's financial state and cash position and any requirements or restrictions prescribed by any applicable legislation, from time to time. When determining the Base Salary, the Company may also decide to consider, at the sole discretion of the Compensation Committee and the Board and as required, the prevailing pay levels in the relevant market, Base Salary and the total compensation package of comparable Executive Officers in the Company, the proportion between the Executive Officer's compensation package and the salaries of other employees in the Company and specifically the median and average salaries and the effect of such proportions on the work relations in the Company.</w:t>
      </w:r>
    </w:p>
    <w:p>
      <w:pPr>
        <w:spacing w:after="0" w:line="191" w:lineRule="exact"/>
        <w:rPr>
          <w:sz w:val="20"/>
          <w:szCs w:val="20"/>
          <w:color w:val="auto"/>
        </w:rPr>
      </w:pPr>
    </w:p>
    <w:p>
      <w:pPr>
        <w:ind w:left="660" w:hanging="382"/>
        <w:spacing w:after="0"/>
        <w:tabs>
          <w:tab w:leader="none" w:pos="660" w:val="left"/>
        </w:tabs>
        <w:numPr>
          <w:ilvl w:val="0"/>
          <w:numId w:val="194"/>
        </w:numPr>
        <w:rPr>
          <w:rFonts w:ascii="Arial" w:cs="Arial" w:eastAsia="Arial" w:hAnsi="Arial"/>
          <w:sz w:val="16"/>
          <w:szCs w:val="16"/>
          <w:color w:val="auto"/>
        </w:rPr>
      </w:pPr>
      <w:r>
        <w:rPr>
          <w:rFonts w:ascii="Arial" w:cs="Arial" w:eastAsia="Arial" w:hAnsi="Arial"/>
          <w:sz w:val="16"/>
          <w:szCs w:val="16"/>
          <w:b w:val="1"/>
          <w:bCs w:val="1"/>
          <w:u w:val="single" w:color="auto"/>
          <w:color w:val="auto"/>
        </w:rPr>
        <w:t>Benefits</w:t>
      </w:r>
    </w:p>
    <w:p>
      <w:pPr>
        <w:spacing w:after="0" w:line="246" w:lineRule="exact"/>
        <w:rPr>
          <w:sz w:val="20"/>
          <w:szCs w:val="20"/>
          <w:color w:val="auto"/>
        </w:rPr>
      </w:pPr>
    </w:p>
    <w:p>
      <w:pPr>
        <w:jc w:val="both"/>
        <w:ind w:left="1120" w:right="20" w:hanging="413"/>
        <w:spacing w:after="0" w:line="273" w:lineRule="auto"/>
        <w:tabs>
          <w:tab w:leader="none" w:pos="1100" w:val="left"/>
        </w:tabs>
        <w:rPr>
          <w:sz w:val="20"/>
          <w:szCs w:val="20"/>
          <w:color w:val="auto"/>
        </w:rPr>
      </w:pPr>
      <w:r>
        <w:rPr>
          <w:rFonts w:ascii="Arial" w:cs="Arial" w:eastAsia="Arial" w:hAnsi="Arial"/>
          <w:sz w:val="16"/>
          <w:szCs w:val="16"/>
          <w:color w:val="auto"/>
        </w:rPr>
        <w:t>7.1.</w:t>
      </w:r>
      <w:r>
        <w:rPr>
          <w:sz w:val="20"/>
          <w:szCs w:val="20"/>
          <w:color w:val="auto"/>
        </w:rPr>
        <w:tab/>
      </w:r>
      <w:r>
        <w:rPr>
          <w:rFonts w:ascii="Arial" w:cs="Arial" w:eastAsia="Arial" w:hAnsi="Arial"/>
          <w:sz w:val="15"/>
          <w:szCs w:val="15"/>
          <w:color w:val="auto"/>
        </w:rPr>
        <w:t>In addition to the Base Salary, the following benefits may be granted to the Executive Officers (subject to the approvals of the Compensation Committee and the Board, and with respect to the CEO- also the Company's general meeting pf shareholders), in order, among other things, to comply with legal requirements. It shall be clarified, that the list below is an open list and Sol-Gel (subject to the abovementioned required approvals) may grant to its Executive Officers other similar, comparable or customary benefits, subject to the applicable law. In addition, Executive Officers employed outside of Israel may receive other similar, comparable or customary benefits as applicable in the relevant jurisdiction in which they are employed.</w:t>
      </w:r>
    </w:p>
    <w:p>
      <w:pPr>
        <w:spacing w:after="0" w:line="202" w:lineRule="exact"/>
        <w:rPr>
          <w:sz w:val="20"/>
          <w:szCs w:val="20"/>
          <w:color w:val="auto"/>
        </w:rPr>
      </w:pPr>
    </w:p>
    <w:p>
      <w:pPr>
        <w:ind w:left="1900" w:hanging="285"/>
        <w:spacing w:after="0"/>
        <w:tabs>
          <w:tab w:leader="none" w:pos="1900" w:val="left"/>
        </w:tabs>
        <w:numPr>
          <w:ilvl w:val="0"/>
          <w:numId w:val="195"/>
        </w:numPr>
        <w:rPr>
          <w:rFonts w:ascii="Arial" w:cs="Arial" w:eastAsia="Arial" w:hAnsi="Arial"/>
          <w:sz w:val="16"/>
          <w:szCs w:val="16"/>
          <w:color w:val="auto"/>
        </w:rPr>
      </w:pPr>
      <w:r>
        <w:rPr>
          <w:rFonts w:ascii="Arial" w:cs="Arial" w:eastAsia="Arial" w:hAnsi="Arial"/>
          <w:sz w:val="16"/>
          <w:szCs w:val="16"/>
          <w:color w:val="auto"/>
        </w:rPr>
        <w:t>Vacation days in accordance with market practice and the applicable law, up to a cap of 30 days per annum;</w:t>
      </w:r>
    </w:p>
    <w:p>
      <w:pPr>
        <w:spacing w:after="0" w:line="241" w:lineRule="exact"/>
        <w:rPr>
          <w:rFonts w:ascii="Arial" w:cs="Arial" w:eastAsia="Arial" w:hAnsi="Arial"/>
          <w:sz w:val="16"/>
          <w:szCs w:val="16"/>
          <w:color w:val="auto"/>
        </w:rPr>
      </w:pPr>
    </w:p>
    <w:p>
      <w:pPr>
        <w:ind w:left="1900" w:hanging="285"/>
        <w:spacing w:after="0"/>
        <w:tabs>
          <w:tab w:leader="none" w:pos="1900" w:val="left"/>
        </w:tabs>
        <w:numPr>
          <w:ilvl w:val="0"/>
          <w:numId w:val="195"/>
        </w:numPr>
        <w:rPr>
          <w:rFonts w:ascii="Arial" w:cs="Arial" w:eastAsia="Arial" w:hAnsi="Arial"/>
          <w:sz w:val="14"/>
          <w:szCs w:val="14"/>
          <w:color w:val="auto"/>
        </w:rPr>
      </w:pPr>
      <w:r>
        <w:rPr>
          <w:rFonts w:ascii="Arial" w:cs="Arial" w:eastAsia="Arial" w:hAnsi="Arial"/>
          <w:sz w:val="14"/>
          <w:szCs w:val="14"/>
          <w:color w:val="auto"/>
        </w:rPr>
        <w:t>Sick days in accordance with market practice and the applicable law; However, the Company may decide to cover sick days from the first day;</w:t>
      </w:r>
    </w:p>
    <w:p>
      <w:pPr>
        <w:spacing w:after="0" w:line="264" w:lineRule="exact"/>
        <w:rPr>
          <w:rFonts w:ascii="Arial" w:cs="Arial" w:eastAsia="Arial" w:hAnsi="Arial"/>
          <w:sz w:val="14"/>
          <w:szCs w:val="14"/>
          <w:color w:val="auto"/>
        </w:rPr>
      </w:pPr>
    </w:p>
    <w:p>
      <w:pPr>
        <w:ind w:left="1900" w:hanging="285"/>
        <w:spacing w:after="0"/>
        <w:tabs>
          <w:tab w:leader="none" w:pos="1900" w:val="left"/>
        </w:tabs>
        <w:numPr>
          <w:ilvl w:val="0"/>
          <w:numId w:val="195"/>
        </w:numPr>
        <w:rPr>
          <w:rFonts w:ascii="Arial" w:cs="Arial" w:eastAsia="Arial" w:hAnsi="Arial"/>
          <w:sz w:val="16"/>
          <w:szCs w:val="16"/>
          <w:color w:val="auto"/>
        </w:rPr>
      </w:pPr>
      <w:r>
        <w:rPr>
          <w:rFonts w:ascii="Arial" w:cs="Arial" w:eastAsia="Arial" w:hAnsi="Arial"/>
          <w:sz w:val="16"/>
          <w:szCs w:val="16"/>
          <w:color w:val="auto"/>
        </w:rPr>
        <w:t>Convalescence pay according to the applicable law;</w:t>
      </w:r>
    </w:p>
    <w:p>
      <w:pPr>
        <w:spacing w:after="0" w:line="241" w:lineRule="exact"/>
        <w:rPr>
          <w:rFonts w:ascii="Arial" w:cs="Arial" w:eastAsia="Arial" w:hAnsi="Arial"/>
          <w:sz w:val="16"/>
          <w:szCs w:val="16"/>
          <w:color w:val="auto"/>
        </w:rPr>
      </w:pPr>
    </w:p>
    <w:p>
      <w:pPr>
        <w:ind w:left="1900" w:hanging="285"/>
        <w:spacing w:after="0"/>
        <w:tabs>
          <w:tab w:leader="none" w:pos="1900" w:val="left"/>
        </w:tabs>
        <w:numPr>
          <w:ilvl w:val="0"/>
          <w:numId w:val="195"/>
        </w:numPr>
        <w:rPr>
          <w:rFonts w:ascii="Arial" w:cs="Arial" w:eastAsia="Arial" w:hAnsi="Arial"/>
          <w:sz w:val="16"/>
          <w:szCs w:val="16"/>
          <w:color w:val="auto"/>
        </w:rPr>
      </w:pPr>
      <w:r>
        <w:rPr>
          <w:rFonts w:ascii="Arial" w:cs="Arial" w:eastAsia="Arial" w:hAnsi="Arial"/>
          <w:sz w:val="16"/>
          <w:szCs w:val="16"/>
          <w:color w:val="auto"/>
        </w:rPr>
        <w:t>Medical Insurance in accordance with market practice and the applicable law;</w:t>
      </w:r>
    </w:p>
    <w:p>
      <w:pPr>
        <w:spacing w:after="0" w:line="241" w:lineRule="exact"/>
        <w:rPr>
          <w:rFonts w:ascii="Arial" w:cs="Arial" w:eastAsia="Arial" w:hAnsi="Arial"/>
          <w:sz w:val="16"/>
          <w:szCs w:val="16"/>
          <w:color w:val="auto"/>
        </w:rPr>
      </w:pPr>
    </w:p>
    <w:p>
      <w:pPr>
        <w:ind w:left="1900" w:right="20" w:hanging="285"/>
        <w:spacing w:after="0" w:line="268" w:lineRule="auto"/>
        <w:tabs>
          <w:tab w:leader="none" w:pos="1900" w:val="left"/>
        </w:tabs>
        <w:numPr>
          <w:ilvl w:val="0"/>
          <w:numId w:val="195"/>
        </w:numPr>
        <w:rPr>
          <w:rFonts w:ascii="Arial" w:cs="Arial" w:eastAsia="Arial" w:hAnsi="Arial"/>
          <w:sz w:val="16"/>
          <w:szCs w:val="16"/>
          <w:color w:val="auto"/>
        </w:rPr>
      </w:pPr>
      <w:r>
        <w:rPr>
          <w:rFonts w:ascii="Arial" w:cs="Arial" w:eastAsia="Arial" w:hAnsi="Arial"/>
          <w:sz w:val="16"/>
          <w:szCs w:val="16"/>
          <w:color w:val="auto"/>
        </w:rPr>
        <w:t>With respect to Executive Officers employed in Israel: monthly remuneration for a study fund ("Keren Hishtalmut"), as allowed by applicable tax law and with reference to Sol-Gel’s practice and common market practice;</w:t>
      </w:r>
    </w:p>
    <w:p>
      <w:pPr>
        <w:spacing w:after="0" w:line="204" w:lineRule="exact"/>
        <w:rPr>
          <w:rFonts w:ascii="Arial" w:cs="Arial" w:eastAsia="Arial" w:hAnsi="Arial"/>
          <w:sz w:val="16"/>
          <w:szCs w:val="16"/>
          <w:color w:val="auto"/>
        </w:rPr>
      </w:pPr>
    </w:p>
    <w:p>
      <w:pPr>
        <w:ind w:left="1900" w:hanging="285"/>
        <w:spacing w:after="0"/>
        <w:tabs>
          <w:tab w:leader="none" w:pos="1900" w:val="left"/>
        </w:tabs>
        <w:numPr>
          <w:ilvl w:val="0"/>
          <w:numId w:val="195"/>
        </w:numPr>
        <w:rPr>
          <w:rFonts w:ascii="Arial" w:cs="Arial" w:eastAsia="Arial" w:hAnsi="Arial"/>
          <w:sz w:val="16"/>
          <w:szCs w:val="16"/>
          <w:color w:val="auto"/>
        </w:rPr>
      </w:pPr>
      <w:r>
        <w:rPr>
          <w:rFonts w:ascii="Arial" w:cs="Arial" w:eastAsia="Arial" w:hAnsi="Arial"/>
          <w:sz w:val="16"/>
          <w:szCs w:val="16"/>
          <w:color w:val="auto"/>
        </w:rPr>
        <w:t>Pension and savings – according to local market practices and legislation;</w:t>
      </w:r>
    </w:p>
    <w:p>
      <w:pPr>
        <w:spacing w:after="0" w:line="241" w:lineRule="exact"/>
        <w:rPr>
          <w:rFonts w:ascii="Arial" w:cs="Arial" w:eastAsia="Arial" w:hAnsi="Arial"/>
          <w:sz w:val="16"/>
          <w:szCs w:val="16"/>
          <w:color w:val="auto"/>
        </w:rPr>
      </w:pPr>
    </w:p>
    <w:p>
      <w:pPr>
        <w:ind w:left="1900" w:hanging="285"/>
        <w:spacing w:after="0"/>
        <w:tabs>
          <w:tab w:leader="none" w:pos="1900" w:val="left"/>
        </w:tabs>
        <w:numPr>
          <w:ilvl w:val="0"/>
          <w:numId w:val="195"/>
        </w:numPr>
        <w:rPr>
          <w:rFonts w:ascii="Arial" w:cs="Arial" w:eastAsia="Arial" w:hAnsi="Arial"/>
          <w:sz w:val="16"/>
          <w:szCs w:val="16"/>
          <w:color w:val="auto"/>
        </w:rPr>
      </w:pPr>
      <w:r>
        <w:rPr>
          <w:rFonts w:ascii="Arial" w:cs="Arial" w:eastAsia="Arial" w:hAnsi="Arial"/>
          <w:sz w:val="16"/>
          <w:szCs w:val="16"/>
          <w:color w:val="auto"/>
        </w:rPr>
        <w:t>Disability insurance – the Company may purchase disability insurance, according to applicable legislation.</w:t>
      </w:r>
    </w:p>
    <w:p>
      <w:pPr>
        <w:spacing w:after="0" w:line="242" w:lineRule="exact"/>
        <w:rPr>
          <w:sz w:val="20"/>
          <w:szCs w:val="20"/>
          <w:color w:val="auto"/>
        </w:rPr>
      </w:pPr>
    </w:p>
    <w:p>
      <w:pPr>
        <w:jc w:val="both"/>
        <w:ind w:left="1120" w:hanging="413"/>
        <w:spacing w:after="0" w:line="268" w:lineRule="auto"/>
        <w:tabs>
          <w:tab w:leader="none" w:pos="1100" w:val="left"/>
        </w:tabs>
        <w:rPr>
          <w:sz w:val="20"/>
          <w:szCs w:val="20"/>
          <w:color w:val="auto"/>
        </w:rPr>
      </w:pPr>
      <w:r>
        <w:rPr>
          <w:rFonts w:ascii="Arial" w:cs="Arial" w:eastAsia="Arial" w:hAnsi="Arial"/>
          <w:sz w:val="16"/>
          <w:szCs w:val="16"/>
          <w:color w:val="auto"/>
        </w:rPr>
        <w:t>7.2.</w:t>
        <w:tab/>
        <w:t>Sol-Gel may offer additional benefits to its Executive Officers, including but not limited to: communication, company car and travel benefits, insurances and other benefits (such as newspaper subscriptions, academic and professional studies), etc., including their gross up.</w:t>
      </w:r>
    </w:p>
    <w:p>
      <w:pPr>
        <w:spacing w:after="0" w:line="204" w:lineRule="exact"/>
        <w:rPr>
          <w:sz w:val="20"/>
          <w:szCs w:val="20"/>
          <w:color w:val="auto"/>
        </w:rPr>
      </w:pPr>
    </w:p>
    <w:p>
      <w:pPr>
        <w:jc w:val="both"/>
        <w:ind w:left="1120" w:hanging="413"/>
        <w:spacing w:after="0" w:line="257" w:lineRule="auto"/>
        <w:tabs>
          <w:tab w:leader="none" w:pos="1100" w:val="left"/>
        </w:tabs>
        <w:rPr>
          <w:sz w:val="20"/>
          <w:szCs w:val="20"/>
          <w:color w:val="auto"/>
        </w:rPr>
      </w:pPr>
      <w:r>
        <w:rPr>
          <w:rFonts w:ascii="Arial" w:cs="Arial" w:eastAsia="Arial" w:hAnsi="Arial"/>
          <w:sz w:val="16"/>
          <w:szCs w:val="16"/>
          <w:color w:val="auto"/>
        </w:rPr>
        <w:t>7.3.</w:t>
        <w:tab/>
        <w:t>Sol-Gel may reimburse its Executive Officers for reasonable work-related expenses incurred as part of their activities, including without limitations, meeting participation expenses, reimbursement of business travel, including a daily stipend when traveling and accommodation expenses. Sol-Gel may provide advance payments to its Executive Officers in connection with work-related expenses.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7" w:right="319" w:bottom="1440" w:gutter="0" w:footer="0" w:header="0"/>
        </w:sectPr>
      </w:pPr>
    </w:p>
    <w:bookmarkStart w:id="183" w:name="page184"/>
    <w:bookmarkEnd w:id="183"/>
    <w:p>
      <w:pPr>
        <w:ind w:left="665" w:hanging="382"/>
        <w:spacing w:after="0"/>
        <w:tabs>
          <w:tab w:leader="none" w:pos="665" w:val="left"/>
        </w:tabs>
        <w:numPr>
          <w:ilvl w:val="1"/>
          <w:numId w:val="196"/>
        </w:numPr>
        <w:rPr>
          <w:rFonts w:ascii="Arial" w:cs="Arial" w:eastAsia="Arial" w:hAnsi="Arial"/>
          <w:sz w:val="16"/>
          <w:szCs w:val="16"/>
          <w:color w:val="auto"/>
        </w:rPr>
      </w:pPr>
      <w:r>
        <w:rPr>
          <w:rFonts w:ascii="Arial" w:cs="Arial" w:eastAsia="Arial" w:hAnsi="Arial"/>
          <w:sz w:val="16"/>
          <w:szCs w:val="16"/>
          <w:b w:val="1"/>
          <w:bCs w:val="1"/>
          <w:u w:val="single" w:color="auto"/>
          <w:color w:val="auto"/>
        </w:rPr>
        <w:t>Signing Bonus</w:t>
      </w:r>
    </w:p>
    <w:p>
      <w:pPr>
        <w:spacing w:after="0" w:line="245" w:lineRule="exact"/>
        <w:rPr>
          <w:rFonts w:ascii="Arial" w:cs="Arial" w:eastAsia="Arial" w:hAnsi="Arial"/>
          <w:sz w:val="16"/>
          <w:szCs w:val="16"/>
          <w:color w:val="auto"/>
        </w:rPr>
      </w:pPr>
    </w:p>
    <w:p>
      <w:pPr>
        <w:jc w:val="both"/>
        <w:ind w:left="665"/>
        <w:spacing w:after="0" w:line="252" w:lineRule="auto"/>
        <w:rPr>
          <w:rFonts w:ascii="Arial" w:cs="Arial" w:eastAsia="Arial" w:hAnsi="Arial"/>
          <w:sz w:val="16"/>
          <w:szCs w:val="16"/>
          <w:color w:val="auto"/>
        </w:rPr>
      </w:pPr>
      <w:r>
        <w:rPr>
          <w:rFonts w:ascii="Arial" w:cs="Arial" w:eastAsia="Arial" w:hAnsi="Arial"/>
          <w:sz w:val="16"/>
          <w:szCs w:val="16"/>
          <w:color w:val="auto"/>
        </w:rPr>
        <w:t>At the discretion of the Compensation Committee and the Board (and with respect to the CEO- also the Company's general meeting of shareholders), Sol-Gel may grant a newly recruited Executive Officer a signing bonus. Such bonus may be granted in cash, equity or a combination of both. The signing bonus will not exceed: (1) 50% of such Executive Officer's annual Base Salary, if the signing bonus is granted in cash; (2) 100% of such Executive Officer's annual Base Salary, if the signing bonus is granted by equity; (3) In case the signing bonus is a combination of cash and equity, its ceiling shall be proportional to the cash and equity components, calculated in accordance with the ratios mentioned in sections (1) and (2) above.</w:t>
      </w:r>
    </w:p>
    <w:p>
      <w:pPr>
        <w:spacing w:after="0" w:line="216" w:lineRule="exact"/>
        <w:rPr>
          <w:rFonts w:ascii="Arial" w:cs="Arial" w:eastAsia="Arial" w:hAnsi="Arial"/>
          <w:sz w:val="16"/>
          <w:szCs w:val="16"/>
          <w:color w:val="auto"/>
        </w:rPr>
      </w:pPr>
    </w:p>
    <w:p>
      <w:pPr>
        <w:ind w:left="225" w:hanging="225"/>
        <w:spacing w:after="0"/>
        <w:tabs>
          <w:tab w:leader="none" w:pos="225" w:val="left"/>
        </w:tabs>
        <w:numPr>
          <w:ilvl w:val="0"/>
          <w:numId w:val="197"/>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Cash Bonuses (Excluding Directors)</w:t>
      </w:r>
    </w:p>
    <w:p>
      <w:pPr>
        <w:spacing w:after="0" w:line="261" w:lineRule="exact"/>
        <w:rPr>
          <w:sz w:val="20"/>
          <w:szCs w:val="20"/>
          <w:color w:val="auto"/>
        </w:rPr>
      </w:pPr>
    </w:p>
    <w:p>
      <w:pPr>
        <w:jc w:val="both"/>
        <w:ind w:left="5"/>
        <w:spacing w:after="0" w:line="271" w:lineRule="auto"/>
        <w:rPr>
          <w:sz w:val="20"/>
          <w:szCs w:val="20"/>
          <w:color w:val="auto"/>
        </w:rPr>
      </w:pPr>
      <w:r>
        <w:rPr>
          <w:rFonts w:ascii="Arial" w:cs="Arial" w:eastAsia="Arial" w:hAnsi="Arial"/>
          <w:sz w:val="19"/>
          <w:szCs w:val="19"/>
          <w:color w:val="auto"/>
        </w:rPr>
        <w:t>The Company (subject to the approvals of the Compensation Committee and the Board, and with respect to the CEO- also the Company's general meeting of shareholders) may grant cash bonuses to its Executive Officers (excluding directors) on a quarterly or annually basis, or on a shorter or longer period basis, in accordance with the principles detailed below.</w:t>
      </w:r>
    </w:p>
    <w:p>
      <w:pPr>
        <w:spacing w:after="0" w:line="197" w:lineRule="exact"/>
        <w:rPr>
          <w:sz w:val="20"/>
          <w:szCs w:val="20"/>
          <w:color w:val="auto"/>
        </w:rPr>
      </w:pPr>
    </w:p>
    <w:p>
      <w:pPr>
        <w:ind w:left="665" w:hanging="382"/>
        <w:spacing w:after="0"/>
        <w:tabs>
          <w:tab w:leader="none" w:pos="665" w:val="left"/>
        </w:tabs>
        <w:numPr>
          <w:ilvl w:val="0"/>
          <w:numId w:val="198"/>
        </w:numPr>
        <w:rPr>
          <w:rFonts w:ascii="Arial" w:cs="Arial" w:eastAsia="Arial" w:hAnsi="Arial"/>
          <w:sz w:val="16"/>
          <w:szCs w:val="16"/>
          <w:color w:val="auto"/>
        </w:rPr>
      </w:pPr>
      <w:r>
        <w:rPr>
          <w:rFonts w:ascii="Arial" w:cs="Arial" w:eastAsia="Arial" w:hAnsi="Arial"/>
          <w:sz w:val="16"/>
          <w:szCs w:val="16"/>
          <w:b w:val="1"/>
          <w:bCs w:val="1"/>
          <w:u w:val="single" w:color="auto"/>
          <w:color w:val="auto"/>
        </w:rPr>
        <w:t>Annual Bonuses</w:t>
      </w:r>
    </w:p>
    <w:p>
      <w:pPr>
        <w:spacing w:after="0" w:line="246" w:lineRule="exact"/>
        <w:rPr>
          <w:sz w:val="20"/>
          <w:szCs w:val="20"/>
          <w:color w:val="auto"/>
        </w:rPr>
      </w:pPr>
    </w:p>
    <w:p>
      <w:pPr>
        <w:ind w:left="1125" w:right="20" w:hanging="413"/>
        <w:spacing w:after="0" w:line="268" w:lineRule="auto"/>
        <w:tabs>
          <w:tab w:leader="none" w:pos="1105" w:val="left"/>
        </w:tabs>
        <w:rPr>
          <w:sz w:val="20"/>
          <w:szCs w:val="20"/>
          <w:color w:val="auto"/>
        </w:rPr>
      </w:pPr>
      <w:r>
        <w:rPr>
          <w:rFonts w:ascii="Arial" w:cs="Arial" w:eastAsia="Arial" w:hAnsi="Arial"/>
          <w:sz w:val="16"/>
          <w:szCs w:val="16"/>
          <w:color w:val="auto"/>
        </w:rPr>
        <w:t>9.1.</w:t>
        <w:tab/>
        <w:t>The annual bonus that may be paid to the Executive Officers for any fiscal year shall not exceed twelve (12) monthly Base Salaries to the CEO, and six (6) monthly Base Salaries to any other Executive Officer.</w:t>
      </w:r>
    </w:p>
    <w:p>
      <w:pPr>
        <w:spacing w:after="0" w:line="204" w:lineRule="exact"/>
        <w:rPr>
          <w:sz w:val="20"/>
          <w:szCs w:val="20"/>
          <w:color w:val="auto"/>
        </w:rPr>
      </w:pPr>
    </w:p>
    <w:p>
      <w:pPr>
        <w:ind w:left="705"/>
        <w:spacing w:after="0"/>
        <w:tabs>
          <w:tab w:leader="none" w:pos="1105" w:val="left"/>
        </w:tabs>
        <w:rPr>
          <w:sz w:val="20"/>
          <w:szCs w:val="20"/>
          <w:color w:val="auto"/>
        </w:rPr>
      </w:pPr>
      <w:r>
        <w:rPr>
          <w:rFonts w:ascii="Arial" w:cs="Arial" w:eastAsia="Arial" w:hAnsi="Arial"/>
          <w:sz w:val="16"/>
          <w:szCs w:val="16"/>
          <w:color w:val="auto"/>
        </w:rPr>
        <w:t>9.2.</w:t>
      </w:r>
      <w:r>
        <w:rPr>
          <w:sz w:val="20"/>
          <w:szCs w:val="20"/>
          <w:color w:val="auto"/>
        </w:rPr>
        <w:tab/>
      </w:r>
      <w:r>
        <w:rPr>
          <w:rFonts w:ascii="Arial" w:cs="Arial" w:eastAsia="Arial" w:hAnsi="Arial"/>
          <w:sz w:val="14"/>
          <w:szCs w:val="14"/>
          <w:u w:val="single" w:color="auto"/>
          <w:color w:val="auto"/>
        </w:rPr>
        <w:t>CEO</w:t>
      </w:r>
    </w:p>
    <w:p>
      <w:pPr>
        <w:spacing w:after="0" w:line="194" w:lineRule="exact"/>
        <w:rPr>
          <w:sz w:val="20"/>
          <w:szCs w:val="20"/>
          <w:color w:val="auto"/>
        </w:rPr>
      </w:pPr>
    </w:p>
    <w:p>
      <w:pPr>
        <w:ind w:left="1125"/>
        <w:spacing w:after="0"/>
        <w:rPr>
          <w:sz w:val="20"/>
          <w:szCs w:val="20"/>
          <w:color w:val="auto"/>
        </w:rPr>
      </w:pPr>
      <w:r>
        <w:rPr>
          <w:rFonts w:ascii="Arial" w:cs="Arial" w:eastAsia="Arial" w:hAnsi="Arial"/>
          <w:sz w:val="14"/>
          <w:szCs w:val="14"/>
          <w:color w:val="auto"/>
        </w:rPr>
        <w:t>The annual bonus to the CEO will be based mainly on measurable criteria, and with respect to its less significant part shall be determined at the discretion of the</w:t>
      </w:r>
    </w:p>
    <w:p>
      <w:pPr>
        <w:spacing w:after="0" w:line="39" w:lineRule="exact"/>
        <w:rPr>
          <w:sz w:val="20"/>
          <w:szCs w:val="20"/>
          <w:color w:val="auto"/>
        </w:rPr>
      </w:pPr>
    </w:p>
    <w:p>
      <w:pPr>
        <w:ind w:left="1125"/>
        <w:spacing w:after="0"/>
        <w:rPr>
          <w:sz w:val="20"/>
          <w:szCs w:val="20"/>
          <w:color w:val="auto"/>
        </w:rPr>
      </w:pPr>
      <w:r>
        <w:rPr>
          <w:rFonts w:ascii="Arial" w:cs="Arial" w:eastAsia="Arial" w:hAnsi="Arial"/>
          <w:sz w:val="16"/>
          <w:szCs w:val="16"/>
          <w:color w:val="auto"/>
        </w:rPr>
        <w:t>Compensation Committee and the Board, in accordance with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720725</wp:posOffset>
            </wp:positionH>
            <wp:positionV relativeFrom="paragraph">
              <wp:posOffset>154305</wp:posOffset>
            </wp:positionV>
            <wp:extent cx="5715000" cy="58547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4">
                      <a:extLst>
                        <a:ext uri="{28A0092B-C50C-407E-A947-70E740481C1C}"/>
                      </a:extLst>
                    </a:blip>
                    <a:srcRect/>
                    <a:stretch>
                      <a:fillRect/>
                    </a:stretch>
                  </pic:blipFill>
                  <pic:spPr bwMode="auto">
                    <a:xfrm>
                      <a:off x="0" y="0"/>
                      <a:ext cx="5715000" cy="585470"/>
                    </a:xfrm>
                    <a:prstGeom prst="rect">
                      <a:avLst/>
                    </a:prstGeom>
                    <a:noFill/>
                  </pic:spPr>
                </pic:pic>
              </a:graphicData>
            </a:graphic>
          </wp:anchor>
        </w:drawing>
      </w:r>
    </w:p>
    <w:p>
      <w:pPr>
        <w:sectPr>
          <w:pgSz w:w="11900" w:h="16838" w:orient="portrait"/>
          <w:cols w:equalWidth="0" w:num="1">
            <w:col w:w="11265"/>
          </w:cols>
          <w:pgMar w:left="315" w:top="123" w:right="319" w:bottom="1440" w:gutter="0" w:footer="0" w:header="0"/>
        </w:sectPr>
      </w:pPr>
    </w:p>
    <w:p>
      <w:pPr>
        <w:spacing w:after="0" w:line="274" w:lineRule="exact"/>
        <w:rPr>
          <w:sz w:val="20"/>
          <w:szCs w:val="20"/>
          <w:color w:val="auto"/>
        </w:rPr>
      </w:pPr>
    </w:p>
    <w:p>
      <w:pPr>
        <w:ind w:left="1185"/>
        <w:spacing w:after="0"/>
        <w:rPr>
          <w:sz w:val="20"/>
          <w:szCs w:val="20"/>
          <w:color w:val="auto"/>
        </w:rPr>
      </w:pPr>
      <w:r>
        <w:rPr>
          <w:rFonts w:ascii="Arial" w:cs="Arial" w:eastAsia="Arial" w:hAnsi="Arial"/>
          <w:sz w:val="12"/>
          <w:szCs w:val="12"/>
          <w:b w:val="1"/>
          <w:bCs w:val="1"/>
          <w:color w:val="auto"/>
        </w:rPr>
        <w:t>Position</w:t>
      </w:r>
    </w:p>
    <w:p>
      <w:pPr>
        <w:spacing w:after="0" w:line="200" w:lineRule="exact"/>
        <w:rPr>
          <w:sz w:val="20"/>
          <w:szCs w:val="20"/>
          <w:color w:val="auto"/>
        </w:rPr>
      </w:pPr>
    </w:p>
    <w:p>
      <w:pPr>
        <w:spacing w:after="0" w:line="305" w:lineRule="exact"/>
        <w:rPr>
          <w:sz w:val="20"/>
          <w:szCs w:val="20"/>
          <w:color w:val="auto"/>
        </w:rPr>
      </w:pPr>
    </w:p>
    <w:p>
      <w:pPr>
        <w:ind w:left="1185"/>
        <w:spacing w:after="0"/>
        <w:rPr>
          <w:sz w:val="20"/>
          <w:szCs w:val="20"/>
          <w:color w:val="auto"/>
        </w:rPr>
      </w:pPr>
      <w:r>
        <w:rPr>
          <w:rFonts w:ascii="Arial" w:cs="Arial" w:eastAsia="Arial" w:hAnsi="Arial"/>
          <w:sz w:val="16"/>
          <w:szCs w:val="16"/>
          <w:color w:val="auto"/>
        </w:rPr>
        <w:t>CEO</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Company/Individual</w:t>
      </w:r>
    </w:p>
    <w:p>
      <w:pPr>
        <w:spacing w:after="0" w:line="20"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Performance Measures</w:t>
      </w:r>
    </w:p>
    <w:p>
      <w:pPr>
        <w:spacing w:after="0" w:line="277" w:lineRule="exact"/>
        <w:rPr>
          <w:sz w:val="20"/>
          <w:szCs w:val="20"/>
          <w:color w:val="auto"/>
        </w:rPr>
      </w:pPr>
    </w:p>
    <w:p>
      <w:pPr>
        <w:jc w:val="center"/>
        <w:ind w:right="1560"/>
        <w:spacing w:after="0"/>
        <w:rPr>
          <w:sz w:val="20"/>
          <w:szCs w:val="20"/>
          <w:color w:val="auto"/>
        </w:rPr>
      </w:pPr>
      <w:r>
        <w:rPr>
          <w:rFonts w:ascii="Arial" w:cs="Arial" w:eastAsia="Arial" w:hAnsi="Arial"/>
          <w:sz w:val="14"/>
          <w:szCs w:val="14"/>
          <w:color w:val="auto"/>
        </w:rPr>
        <w:t>75%-100%</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Company's Discretion</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6"/>
          <w:szCs w:val="16"/>
          <w:color w:val="auto"/>
        </w:rPr>
        <w:t>0%-25%</w:t>
      </w:r>
    </w:p>
    <w:p>
      <w:pPr>
        <w:spacing w:after="0" w:line="200" w:lineRule="exact"/>
        <w:rPr>
          <w:sz w:val="20"/>
          <w:szCs w:val="20"/>
          <w:color w:val="auto"/>
        </w:rPr>
      </w:pPr>
    </w:p>
    <w:p>
      <w:pPr>
        <w:sectPr>
          <w:pgSz w:w="11900" w:h="16838" w:orient="portrait"/>
          <w:cols w:equalWidth="0" w:num="3">
            <w:col w:w="3445" w:space="720"/>
            <w:col w:w="2280" w:space="720"/>
            <w:col w:w="4100"/>
          </w:cols>
          <w:pgMar w:left="315" w:top="123" w:right="319" w:bottom="1440" w:gutter="0" w:footer="0" w:header="0"/>
          <w:type w:val="continuous"/>
        </w:sectPr>
      </w:pPr>
    </w:p>
    <w:p>
      <w:pPr>
        <w:spacing w:after="0" w:line="89" w:lineRule="exact"/>
        <w:rPr>
          <w:sz w:val="20"/>
          <w:szCs w:val="20"/>
          <w:color w:val="auto"/>
        </w:rPr>
      </w:pPr>
    </w:p>
    <w:p>
      <w:pPr>
        <w:jc w:val="both"/>
        <w:ind w:left="1125"/>
        <w:spacing w:after="0" w:line="269" w:lineRule="auto"/>
        <w:rPr>
          <w:sz w:val="20"/>
          <w:szCs w:val="20"/>
          <w:color w:val="auto"/>
        </w:rPr>
      </w:pPr>
      <w:r>
        <w:rPr>
          <w:rFonts w:ascii="Arial" w:cs="Arial" w:eastAsia="Arial" w:hAnsi="Arial"/>
          <w:sz w:val="15"/>
          <w:szCs w:val="15"/>
          <w:color w:val="auto"/>
        </w:rPr>
        <w:t xml:space="preserve">The measurable criteria and their relative weight shall be determined by the Compensation Committee and the Board in respect of each calendar year. These measurable criteria will include, </w:t>
      </w:r>
      <w:r>
        <w:rPr>
          <w:rFonts w:ascii="Arial" w:cs="Arial" w:eastAsia="Arial" w:hAnsi="Arial"/>
          <w:sz w:val="15"/>
          <w:szCs w:val="15"/>
          <w:i w:val="1"/>
          <w:iCs w:val="1"/>
          <w:color w:val="auto"/>
        </w:rPr>
        <w:t>inter alia</w:t>
      </w:r>
      <w:r>
        <w:rPr>
          <w:rFonts w:ascii="Arial" w:cs="Arial" w:eastAsia="Arial" w:hAnsi="Arial"/>
          <w:sz w:val="15"/>
          <w:szCs w:val="15"/>
          <w:color w:val="auto"/>
        </w:rPr>
        <w:t xml:space="preserve">, objectives relating to compliance with the Company's work plans and with various budget objectives, including, </w:t>
      </w:r>
      <w:r>
        <w:rPr>
          <w:rFonts w:ascii="Arial" w:cs="Arial" w:eastAsia="Arial" w:hAnsi="Arial"/>
          <w:sz w:val="15"/>
          <w:szCs w:val="15"/>
          <w:i w:val="1"/>
          <w:iCs w:val="1"/>
          <w:color w:val="auto"/>
        </w:rPr>
        <w:t>inter alia</w:t>
      </w:r>
      <w:r>
        <w:rPr>
          <w:rFonts w:ascii="Arial" w:cs="Arial" w:eastAsia="Arial" w:hAnsi="Arial"/>
          <w:sz w:val="15"/>
          <w:szCs w:val="15"/>
          <w:color w:val="auto"/>
        </w:rPr>
        <w:t>, compliance with objectives relating to revenues, expenses, investments, etc., meeting various financial objectives, such as objectives relating to the</w:t>
      </w:r>
      <w:r>
        <w:rPr>
          <w:rFonts w:ascii="Arial" w:cs="Arial" w:eastAsia="Arial" w:hAnsi="Arial"/>
          <w:sz w:val="15"/>
          <w:szCs w:val="15"/>
          <w:i w:val="1"/>
          <w:iCs w:val="1"/>
          <w:color w:val="auto"/>
        </w:rPr>
        <w:t xml:space="preserve"> </w:t>
      </w:r>
      <w:r>
        <w:rPr>
          <w:rFonts w:ascii="Arial" w:cs="Arial" w:eastAsia="Arial" w:hAnsi="Arial"/>
          <w:sz w:val="15"/>
          <w:szCs w:val="15"/>
          <w:color w:val="auto"/>
        </w:rPr>
        <w:t>annual profit (net profit, pre-tax profit, etc.) and the Company's EBITDA, objectives relating to the recruitment and development of professional personnel, objectives relating to raising investments, debt, etc., objectives relating to the Company's business operations and the Company's operations as a company traded on NASDAQ, objectives relating to the realization of the Company's assets, the acquisition of new activities and/or companies and objectives relating to an increase of the return on the Company's assets.</w:t>
      </w:r>
    </w:p>
    <w:p>
      <w:pPr>
        <w:spacing w:after="0" w:line="208" w:lineRule="exact"/>
        <w:rPr>
          <w:sz w:val="20"/>
          <w:szCs w:val="20"/>
          <w:color w:val="auto"/>
        </w:rPr>
      </w:pPr>
    </w:p>
    <w:p>
      <w:pPr>
        <w:ind w:left="705"/>
        <w:spacing w:after="0"/>
        <w:tabs>
          <w:tab w:leader="none" w:pos="1105" w:val="left"/>
        </w:tabs>
        <w:rPr>
          <w:sz w:val="20"/>
          <w:szCs w:val="20"/>
          <w:color w:val="auto"/>
        </w:rPr>
      </w:pPr>
      <w:r>
        <w:rPr>
          <w:rFonts w:ascii="Arial" w:cs="Arial" w:eastAsia="Arial" w:hAnsi="Arial"/>
          <w:sz w:val="16"/>
          <w:szCs w:val="16"/>
          <w:color w:val="auto"/>
        </w:rPr>
        <w:t>9.3.</w:t>
      </w:r>
      <w:r>
        <w:rPr>
          <w:sz w:val="20"/>
          <w:szCs w:val="20"/>
          <w:color w:val="auto"/>
        </w:rPr>
        <w:tab/>
      </w:r>
      <w:r>
        <w:rPr>
          <w:rFonts w:ascii="Arial" w:cs="Arial" w:eastAsia="Arial" w:hAnsi="Arial"/>
          <w:sz w:val="14"/>
          <w:szCs w:val="14"/>
          <w:u w:val="single" w:color="auto"/>
          <w:color w:val="auto"/>
        </w:rPr>
        <w:t>Other Executive Officers (Excluding CEO and Directors)</w:t>
      </w:r>
    </w:p>
    <w:p>
      <w:pPr>
        <w:spacing w:after="0" w:line="194" w:lineRule="exact"/>
        <w:rPr>
          <w:sz w:val="20"/>
          <w:szCs w:val="20"/>
          <w:color w:val="auto"/>
        </w:rPr>
      </w:pPr>
    </w:p>
    <w:p>
      <w:pPr>
        <w:jc w:val="both"/>
        <w:ind w:left="1125"/>
        <w:spacing w:after="0" w:line="250" w:lineRule="auto"/>
        <w:rPr>
          <w:sz w:val="20"/>
          <w:szCs w:val="20"/>
          <w:color w:val="auto"/>
        </w:rPr>
      </w:pPr>
      <w:r>
        <w:rPr>
          <w:rFonts w:ascii="Arial" w:cs="Arial" w:eastAsia="Arial" w:hAnsi="Arial"/>
          <w:sz w:val="16"/>
          <w:szCs w:val="16"/>
          <w:color w:val="auto"/>
        </w:rPr>
        <w:t xml:space="preserve">The Company may also award (subject to the approvals of the Compensation Committee and the Board) an annual bonus to its Executive Officers, due to their unique contribution to the Company. Such grant will be based, </w:t>
      </w:r>
      <w:r>
        <w:rPr>
          <w:rFonts w:ascii="Arial" w:cs="Arial" w:eastAsia="Arial" w:hAnsi="Arial"/>
          <w:sz w:val="16"/>
          <w:szCs w:val="16"/>
          <w:i w:val="1"/>
          <w:iCs w:val="1"/>
          <w:color w:val="auto"/>
        </w:rPr>
        <w:t>inter alia</w:t>
      </w:r>
      <w:r>
        <w:rPr>
          <w:rFonts w:ascii="Arial" w:cs="Arial" w:eastAsia="Arial" w:hAnsi="Arial"/>
          <w:sz w:val="16"/>
          <w:szCs w:val="16"/>
          <w:color w:val="auto"/>
        </w:rPr>
        <w:t>, on measurable criteria, based on the Company's financial results, the scope of the Company's business activity, the CEO's opinion on the contribution of the Executive Officer to the Company, the distribution of the annual bonus over the year, etc. It should be clarified, that the annual bonus may be based in whole or in part on discretion, provided that it does not exceed the ceiling specified in section 9.1 above. The CEO of the Company shall be entitled to determine the abovementioned targets for each such an Executive Officer. Notwithstanding the foregoing, it is hereby clarified, that the grant of annual bonus to an Executive Officer, of up to three Base Salaries, shall be approved by the CEO of the Company.</w:t>
      </w:r>
    </w:p>
    <w:p>
      <w:pPr>
        <w:spacing w:after="0" w:line="367" w:lineRule="exact"/>
        <w:rPr>
          <w:sz w:val="20"/>
          <w:szCs w:val="20"/>
          <w:color w:val="auto"/>
        </w:rPr>
      </w:pPr>
    </w:p>
    <w:p>
      <w:pPr>
        <w:jc w:val="center"/>
        <w:ind w:right="15"/>
        <w:spacing w:after="0"/>
        <w:rPr>
          <w:sz w:val="20"/>
          <w:szCs w:val="20"/>
          <w:color w:val="auto"/>
        </w:rPr>
      </w:pPr>
      <w:r>
        <w:rPr>
          <w:rFonts w:ascii="Arial" w:cs="Arial" w:eastAsia="Arial" w:hAnsi="Arial"/>
          <w:sz w:val="19"/>
          <w:szCs w:val="19"/>
          <w:color w:val="auto"/>
        </w:rPr>
        <w:t>A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5">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3" w:right="319" w:bottom="1440" w:gutter="0" w:footer="0" w:header="0"/>
          <w:type w:val="continuous"/>
        </w:sectPr>
      </w:pPr>
    </w:p>
    <w:bookmarkStart w:id="184" w:name="page185"/>
    <w:bookmarkEnd w:id="184"/>
    <w:p>
      <w:pPr>
        <w:ind w:left="382" w:hanging="382"/>
        <w:spacing w:after="0"/>
        <w:tabs>
          <w:tab w:leader="none" w:pos="382" w:val="left"/>
        </w:tabs>
        <w:numPr>
          <w:ilvl w:val="0"/>
          <w:numId w:val="199"/>
        </w:numPr>
        <w:rPr>
          <w:rFonts w:ascii="Arial" w:cs="Arial" w:eastAsia="Arial" w:hAnsi="Arial"/>
          <w:sz w:val="16"/>
          <w:szCs w:val="16"/>
          <w:color w:val="auto"/>
        </w:rPr>
      </w:pPr>
      <w:r>
        <w:rPr>
          <w:rFonts w:ascii="Arial" w:cs="Arial" w:eastAsia="Arial" w:hAnsi="Arial"/>
          <w:sz w:val="16"/>
          <w:szCs w:val="16"/>
          <w:b w:val="1"/>
          <w:bCs w:val="1"/>
          <w:u w:val="single" w:color="auto"/>
          <w:color w:val="auto"/>
        </w:rPr>
        <w:t>Special Bonuses</w:t>
      </w:r>
    </w:p>
    <w:p>
      <w:pPr>
        <w:spacing w:after="0" w:line="245" w:lineRule="exact"/>
        <w:rPr>
          <w:rFonts w:ascii="Arial" w:cs="Arial" w:eastAsia="Arial" w:hAnsi="Arial"/>
          <w:sz w:val="16"/>
          <w:szCs w:val="16"/>
          <w:color w:val="auto"/>
        </w:rPr>
      </w:pPr>
    </w:p>
    <w:p>
      <w:pPr>
        <w:jc w:val="both"/>
        <w:ind w:left="382"/>
        <w:spacing w:after="0" w:line="301" w:lineRule="auto"/>
        <w:rPr>
          <w:rFonts w:ascii="Arial" w:cs="Arial" w:eastAsia="Arial" w:hAnsi="Arial"/>
          <w:sz w:val="16"/>
          <w:szCs w:val="16"/>
          <w:color w:val="auto"/>
        </w:rPr>
      </w:pPr>
      <w:r>
        <w:rPr>
          <w:rFonts w:ascii="Arial" w:cs="Arial" w:eastAsia="Arial" w:hAnsi="Arial"/>
          <w:sz w:val="14"/>
          <w:szCs w:val="14"/>
          <w:color w:val="auto"/>
        </w:rPr>
        <w:t>In addition to the annual bonus, Sol-Gel may grant Executive Officers a special bonus as an award for special achievements (outstanding personal achievement, outstanding personal effort or outstanding Company's performance, such as in connection with mergers and acquisitions, offerings, achieving target budget or business plan under exceptional circumstances and special recognition in case of retirement), at the discretion of the Compensation Committee and the Board (and with respect to the CEO- also the Company's general meeting of shareholders) which shall not exceed six (6) monthly Base Salaries.</w:t>
      </w:r>
    </w:p>
    <w:p>
      <w:pPr>
        <w:spacing w:after="0" w:line="181" w:lineRule="exact"/>
        <w:rPr>
          <w:rFonts w:ascii="Arial" w:cs="Arial" w:eastAsia="Arial" w:hAnsi="Arial"/>
          <w:sz w:val="16"/>
          <w:szCs w:val="16"/>
          <w:color w:val="auto"/>
        </w:rPr>
      </w:pPr>
    </w:p>
    <w:p>
      <w:pPr>
        <w:ind w:left="382" w:hanging="382"/>
        <w:spacing w:after="0"/>
        <w:tabs>
          <w:tab w:leader="none" w:pos="382" w:val="left"/>
        </w:tabs>
        <w:numPr>
          <w:ilvl w:val="0"/>
          <w:numId w:val="199"/>
        </w:numPr>
        <w:rPr>
          <w:rFonts w:ascii="Arial" w:cs="Arial" w:eastAsia="Arial" w:hAnsi="Arial"/>
          <w:sz w:val="16"/>
          <w:szCs w:val="16"/>
          <w:color w:val="auto"/>
        </w:rPr>
      </w:pPr>
      <w:r>
        <w:rPr>
          <w:rFonts w:ascii="Arial" w:cs="Arial" w:eastAsia="Arial" w:hAnsi="Arial"/>
          <w:sz w:val="16"/>
          <w:szCs w:val="16"/>
          <w:b w:val="1"/>
          <w:bCs w:val="1"/>
          <w:u w:val="single" w:color="auto"/>
          <w:color w:val="auto"/>
        </w:rPr>
        <w:t>Additional Provisions Relating to Cash Bonuses</w:t>
      </w:r>
    </w:p>
    <w:p>
      <w:pPr>
        <w:spacing w:after="0" w:line="242" w:lineRule="exact"/>
        <w:rPr>
          <w:sz w:val="20"/>
          <w:szCs w:val="20"/>
          <w:color w:val="auto"/>
        </w:rPr>
      </w:pPr>
    </w:p>
    <w:p>
      <w:pPr>
        <w:ind w:left="422"/>
        <w:spacing w:after="0"/>
        <w:rPr>
          <w:sz w:val="20"/>
          <w:szCs w:val="20"/>
          <w:color w:val="auto"/>
        </w:rPr>
      </w:pPr>
      <w:r>
        <w:rPr>
          <w:rFonts w:ascii="Arial" w:cs="Arial" w:eastAsia="Arial" w:hAnsi="Arial"/>
          <w:sz w:val="16"/>
          <w:szCs w:val="16"/>
          <w:color w:val="auto"/>
        </w:rPr>
        <w:t xml:space="preserve">11.1.  </w:t>
      </w:r>
      <w:r>
        <w:rPr>
          <w:rFonts w:ascii="Arial" w:cs="Arial" w:eastAsia="Arial" w:hAnsi="Arial"/>
          <w:sz w:val="16"/>
          <w:szCs w:val="16"/>
          <w:b w:val="1"/>
          <w:bCs w:val="1"/>
          <w:u w:val="single" w:color="auto"/>
          <w:color w:val="auto"/>
        </w:rPr>
        <w:t>Pro Rata Payment</w:t>
      </w:r>
    </w:p>
    <w:p>
      <w:pPr>
        <w:spacing w:after="0" w:line="198" w:lineRule="exact"/>
        <w:rPr>
          <w:sz w:val="20"/>
          <w:szCs w:val="20"/>
          <w:color w:val="auto"/>
        </w:rPr>
      </w:pPr>
    </w:p>
    <w:p>
      <w:pPr>
        <w:ind w:left="842" w:right="20"/>
        <w:spacing w:after="0" w:line="302" w:lineRule="auto"/>
        <w:rPr>
          <w:sz w:val="20"/>
          <w:szCs w:val="20"/>
          <w:color w:val="auto"/>
        </w:rPr>
      </w:pPr>
      <w:r>
        <w:rPr>
          <w:rFonts w:ascii="Arial" w:cs="Arial" w:eastAsia="Arial" w:hAnsi="Arial"/>
          <w:sz w:val="15"/>
          <w:szCs w:val="15"/>
          <w:color w:val="auto"/>
        </w:rPr>
        <w:t>Should the employment or service of the Executive Officer terminate prior to the end of a fiscal year, Sol-Gel may pay the Executive Officer his/her pro-rata share of that fiscal year’s bonus, based on the period such Executive Officer was employed by the Company or has served in the Company.</w:t>
      </w:r>
    </w:p>
    <w:p>
      <w:pPr>
        <w:spacing w:after="0" w:line="177" w:lineRule="exact"/>
        <w:rPr>
          <w:sz w:val="20"/>
          <w:szCs w:val="20"/>
          <w:color w:val="auto"/>
        </w:rPr>
      </w:pPr>
    </w:p>
    <w:p>
      <w:pPr>
        <w:ind w:left="422"/>
        <w:spacing w:after="0"/>
        <w:rPr>
          <w:sz w:val="20"/>
          <w:szCs w:val="20"/>
          <w:color w:val="auto"/>
        </w:rPr>
      </w:pPr>
      <w:r>
        <w:rPr>
          <w:rFonts w:ascii="Arial" w:cs="Arial" w:eastAsia="Arial" w:hAnsi="Arial"/>
          <w:sz w:val="16"/>
          <w:szCs w:val="16"/>
          <w:color w:val="auto"/>
        </w:rPr>
        <w:t xml:space="preserve">11.2.  </w:t>
      </w:r>
      <w:r>
        <w:rPr>
          <w:rFonts w:ascii="Arial" w:cs="Arial" w:eastAsia="Arial" w:hAnsi="Arial"/>
          <w:sz w:val="16"/>
          <w:szCs w:val="16"/>
          <w:b w:val="1"/>
          <w:bCs w:val="1"/>
          <w:u w:val="single" w:color="auto"/>
          <w:color w:val="auto"/>
        </w:rPr>
        <w:t>Compensation Recovery ("Clawback")</w:t>
      </w:r>
    </w:p>
    <w:p>
      <w:pPr>
        <w:spacing w:after="0" w:line="246" w:lineRule="exact"/>
        <w:rPr>
          <w:sz w:val="20"/>
          <w:szCs w:val="20"/>
          <w:color w:val="auto"/>
        </w:rPr>
      </w:pPr>
    </w:p>
    <w:p>
      <w:pPr>
        <w:jc w:val="both"/>
        <w:ind w:left="1542" w:right="20" w:hanging="661"/>
        <w:spacing w:after="0" w:line="282" w:lineRule="auto"/>
        <w:tabs>
          <w:tab w:leader="none" w:pos="1521" w:val="left"/>
        </w:tabs>
        <w:rPr>
          <w:sz w:val="20"/>
          <w:szCs w:val="20"/>
          <w:color w:val="auto"/>
        </w:rPr>
      </w:pPr>
      <w:r>
        <w:rPr>
          <w:rFonts w:ascii="Arial" w:cs="Arial" w:eastAsia="Arial" w:hAnsi="Arial"/>
          <w:sz w:val="16"/>
          <w:szCs w:val="16"/>
          <w:color w:val="auto"/>
        </w:rPr>
        <w:t>11.2.2.</w:t>
      </w:r>
      <w:r>
        <w:rPr>
          <w:sz w:val="20"/>
          <w:szCs w:val="20"/>
          <w:color w:val="auto"/>
        </w:rPr>
        <w:tab/>
      </w:r>
      <w:r>
        <w:rPr>
          <w:rFonts w:ascii="Arial" w:cs="Arial" w:eastAsia="Arial" w:hAnsi="Arial"/>
          <w:sz w:val="15"/>
          <w:szCs w:val="15"/>
          <w:color w:val="auto"/>
        </w:rPr>
        <w:t>In the event of an accounting restatement, Sol-Gel shall be entitled to recover from its Executive Officers the bonus compensation in the amount in which such bonus exceeded what would have been paid under the financial statements, as restated ("</w:t>
      </w:r>
      <w:r>
        <w:rPr>
          <w:rFonts w:ascii="Arial" w:cs="Arial" w:eastAsia="Arial" w:hAnsi="Arial"/>
          <w:sz w:val="15"/>
          <w:szCs w:val="15"/>
          <w:b w:val="1"/>
          <w:bCs w:val="1"/>
          <w:color w:val="auto"/>
        </w:rPr>
        <w:t>Compensation Recovery</w:t>
      </w:r>
      <w:r>
        <w:rPr>
          <w:rFonts w:ascii="Arial" w:cs="Arial" w:eastAsia="Arial" w:hAnsi="Arial"/>
          <w:sz w:val="15"/>
          <w:szCs w:val="15"/>
          <w:color w:val="auto"/>
        </w:rPr>
        <w:t>"), provided that a claim is made by Sol-Gel prior to the third anniversary of fiscal year end of the restated financial statements.</w:t>
      </w:r>
    </w:p>
    <w:p>
      <w:pPr>
        <w:spacing w:after="0" w:line="196" w:lineRule="exact"/>
        <w:rPr>
          <w:sz w:val="20"/>
          <w:szCs w:val="20"/>
          <w:color w:val="auto"/>
        </w:rPr>
      </w:pPr>
    </w:p>
    <w:p>
      <w:pPr>
        <w:ind w:left="882"/>
        <w:spacing w:after="0"/>
        <w:tabs>
          <w:tab w:leader="none" w:pos="1521" w:val="left"/>
        </w:tabs>
        <w:rPr>
          <w:sz w:val="20"/>
          <w:szCs w:val="20"/>
          <w:color w:val="auto"/>
        </w:rPr>
      </w:pPr>
      <w:r>
        <w:rPr>
          <w:rFonts w:ascii="Arial" w:cs="Arial" w:eastAsia="Arial" w:hAnsi="Arial"/>
          <w:sz w:val="16"/>
          <w:szCs w:val="16"/>
          <w:color w:val="auto"/>
        </w:rPr>
        <w:t>11.2.3.</w:t>
      </w:r>
      <w:r>
        <w:rPr>
          <w:sz w:val="20"/>
          <w:szCs w:val="20"/>
          <w:color w:val="auto"/>
        </w:rPr>
        <w:tab/>
      </w:r>
      <w:r>
        <w:rPr>
          <w:rFonts w:ascii="Arial" w:cs="Arial" w:eastAsia="Arial" w:hAnsi="Arial"/>
          <w:sz w:val="14"/>
          <w:szCs w:val="14"/>
          <w:color w:val="auto"/>
        </w:rPr>
        <w:t>Notwithstanding the aforesaid, the Compensation Recovery will not be triggered in the following events:</w:t>
      </w:r>
    </w:p>
    <w:p>
      <w:pPr>
        <w:spacing w:after="0" w:line="242" w:lineRule="exact"/>
        <w:rPr>
          <w:sz w:val="20"/>
          <w:szCs w:val="20"/>
          <w:color w:val="auto"/>
        </w:rPr>
      </w:pPr>
    </w:p>
    <w:p>
      <w:pPr>
        <w:ind w:left="1902" w:hanging="293"/>
        <w:spacing w:after="0"/>
        <w:tabs>
          <w:tab w:leader="none" w:pos="1902" w:val="left"/>
        </w:tabs>
        <w:numPr>
          <w:ilvl w:val="0"/>
          <w:numId w:val="200"/>
        </w:numPr>
        <w:rPr>
          <w:rFonts w:ascii="Arial" w:cs="Arial" w:eastAsia="Arial" w:hAnsi="Arial"/>
          <w:sz w:val="16"/>
          <w:szCs w:val="16"/>
          <w:color w:val="auto"/>
        </w:rPr>
      </w:pPr>
      <w:r>
        <w:rPr>
          <w:rFonts w:ascii="Arial" w:cs="Arial" w:eastAsia="Arial" w:hAnsi="Arial"/>
          <w:sz w:val="16"/>
          <w:szCs w:val="16"/>
          <w:color w:val="auto"/>
        </w:rPr>
        <w:t>The financial restatement is required due to changes in the applicable financial reporting standards; or</w:t>
      </w:r>
    </w:p>
    <w:p>
      <w:pPr>
        <w:spacing w:after="0" w:line="241" w:lineRule="exact"/>
        <w:rPr>
          <w:rFonts w:ascii="Arial" w:cs="Arial" w:eastAsia="Arial" w:hAnsi="Arial"/>
          <w:sz w:val="16"/>
          <w:szCs w:val="16"/>
          <w:color w:val="auto"/>
        </w:rPr>
      </w:pPr>
    </w:p>
    <w:p>
      <w:pPr>
        <w:ind w:left="1902" w:hanging="293"/>
        <w:spacing w:after="0" w:line="268" w:lineRule="auto"/>
        <w:tabs>
          <w:tab w:leader="none" w:pos="1902" w:val="left"/>
        </w:tabs>
        <w:numPr>
          <w:ilvl w:val="0"/>
          <w:numId w:val="200"/>
        </w:numPr>
        <w:rPr>
          <w:rFonts w:ascii="Arial" w:cs="Arial" w:eastAsia="Arial" w:hAnsi="Arial"/>
          <w:sz w:val="16"/>
          <w:szCs w:val="16"/>
          <w:color w:val="auto"/>
        </w:rPr>
      </w:pPr>
      <w:r>
        <w:rPr>
          <w:rFonts w:ascii="Arial" w:cs="Arial" w:eastAsia="Arial" w:hAnsi="Arial"/>
          <w:sz w:val="16"/>
          <w:szCs w:val="16"/>
          <w:color w:val="auto"/>
        </w:rPr>
        <w:t>The Company (subject to any required approval by the applicable law) has determined that clawback proceedings in the specific case would be impossible, impractical or not commercially or legally efficient; or</w:t>
      </w:r>
    </w:p>
    <w:p>
      <w:pPr>
        <w:spacing w:after="0" w:line="204" w:lineRule="exact"/>
        <w:rPr>
          <w:rFonts w:ascii="Arial" w:cs="Arial" w:eastAsia="Arial" w:hAnsi="Arial"/>
          <w:sz w:val="16"/>
          <w:szCs w:val="16"/>
          <w:color w:val="auto"/>
        </w:rPr>
      </w:pPr>
    </w:p>
    <w:p>
      <w:pPr>
        <w:ind w:left="1902" w:hanging="293"/>
        <w:spacing w:after="0"/>
        <w:tabs>
          <w:tab w:leader="none" w:pos="1902" w:val="left"/>
        </w:tabs>
        <w:numPr>
          <w:ilvl w:val="0"/>
          <w:numId w:val="200"/>
        </w:numPr>
        <w:rPr>
          <w:rFonts w:ascii="Arial" w:cs="Arial" w:eastAsia="Arial" w:hAnsi="Arial"/>
          <w:sz w:val="15"/>
          <w:szCs w:val="15"/>
          <w:color w:val="auto"/>
        </w:rPr>
      </w:pPr>
      <w:r>
        <w:rPr>
          <w:rFonts w:ascii="Arial" w:cs="Arial" w:eastAsia="Arial" w:hAnsi="Arial"/>
          <w:sz w:val="15"/>
          <w:szCs w:val="15"/>
          <w:color w:val="auto"/>
        </w:rPr>
        <w:t>The amount to be paid under the clawback proceedings is less than 10% of the relevant bonus received by the Executive Officer.</w:t>
      </w:r>
    </w:p>
    <w:p>
      <w:pPr>
        <w:spacing w:after="0" w:line="253" w:lineRule="exact"/>
        <w:rPr>
          <w:sz w:val="20"/>
          <w:szCs w:val="20"/>
          <w:color w:val="auto"/>
        </w:rPr>
      </w:pPr>
    </w:p>
    <w:p>
      <w:pPr>
        <w:ind w:left="1542" w:right="20" w:hanging="661"/>
        <w:spacing w:after="0" w:line="268" w:lineRule="auto"/>
        <w:tabs>
          <w:tab w:leader="none" w:pos="1521" w:val="left"/>
        </w:tabs>
        <w:rPr>
          <w:sz w:val="20"/>
          <w:szCs w:val="20"/>
          <w:color w:val="auto"/>
        </w:rPr>
      </w:pPr>
      <w:r>
        <w:rPr>
          <w:rFonts w:ascii="Arial" w:cs="Arial" w:eastAsia="Arial" w:hAnsi="Arial"/>
          <w:sz w:val="16"/>
          <w:szCs w:val="16"/>
          <w:color w:val="auto"/>
        </w:rPr>
        <w:t>11.2.4.</w:t>
        <w:tab/>
        <w:t>It shall be clarified, that Sol-Gel shall not be entitled to Compensation Recovery with respect to equity-based compensation granted to its Executive Officers.</w:t>
      </w:r>
    </w:p>
    <w:p>
      <w:pPr>
        <w:spacing w:after="0" w:line="200" w:lineRule="exact"/>
        <w:rPr>
          <w:sz w:val="20"/>
          <w:szCs w:val="20"/>
          <w:color w:val="auto"/>
        </w:rPr>
      </w:pPr>
    </w:p>
    <w:p>
      <w:pPr>
        <w:ind w:left="422"/>
        <w:spacing w:after="0"/>
        <w:rPr>
          <w:sz w:val="20"/>
          <w:szCs w:val="20"/>
          <w:color w:val="auto"/>
        </w:rPr>
      </w:pPr>
      <w:r>
        <w:rPr>
          <w:rFonts w:ascii="Arial" w:cs="Arial" w:eastAsia="Arial" w:hAnsi="Arial"/>
          <w:sz w:val="16"/>
          <w:szCs w:val="16"/>
          <w:color w:val="auto"/>
        </w:rPr>
        <w:t xml:space="preserve">11.3.  </w:t>
      </w:r>
      <w:r>
        <w:rPr>
          <w:rFonts w:ascii="Arial" w:cs="Arial" w:eastAsia="Arial" w:hAnsi="Arial"/>
          <w:sz w:val="16"/>
          <w:szCs w:val="16"/>
          <w:b w:val="1"/>
          <w:bCs w:val="1"/>
          <w:u w:val="single" w:color="auto"/>
          <w:color w:val="auto"/>
        </w:rPr>
        <w:t>Reduction or Postponement</w:t>
      </w:r>
    </w:p>
    <w:p>
      <w:pPr>
        <w:spacing w:after="0" w:line="246" w:lineRule="exact"/>
        <w:rPr>
          <w:sz w:val="20"/>
          <w:szCs w:val="20"/>
          <w:color w:val="auto"/>
        </w:rPr>
      </w:pPr>
    </w:p>
    <w:p>
      <w:pPr>
        <w:jc w:val="both"/>
        <w:ind w:left="842"/>
        <w:spacing w:after="0" w:line="257" w:lineRule="auto"/>
        <w:rPr>
          <w:sz w:val="20"/>
          <w:szCs w:val="20"/>
          <w:color w:val="auto"/>
        </w:rPr>
      </w:pPr>
      <w:r>
        <w:rPr>
          <w:rFonts w:ascii="Arial" w:cs="Arial" w:eastAsia="Arial" w:hAnsi="Arial"/>
          <w:sz w:val="16"/>
          <w:szCs w:val="16"/>
          <w:color w:val="auto"/>
        </w:rPr>
        <w:t>In the event of the termination of office of an Executive Officer under circumstances in which he/she will not be entitled to severance pay, the Company (subject to the approvals of the Compensation Committee and the Board) may revoke the entitlement of such an Executive Officer to an annual bonus and to all parts of the annual bonus which have not yet been paid to him.</w:t>
      </w:r>
    </w:p>
    <w:p>
      <w:pPr>
        <w:spacing w:after="0" w:line="124" w:lineRule="exact"/>
        <w:rPr>
          <w:sz w:val="20"/>
          <w:szCs w:val="20"/>
          <w:color w:val="auto"/>
        </w:rPr>
      </w:pPr>
    </w:p>
    <w:p>
      <w:pPr>
        <w:jc w:val="center"/>
        <w:ind w:right="298"/>
        <w:spacing w:after="0"/>
        <w:rPr>
          <w:sz w:val="20"/>
          <w:szCs w:val="20"/>
          <w:color w:val="auto"/>
        </w:rPr>
      </w:pPr>
      <w:r>
        <w:rPr>
          <w:rFonts w:ascii="Arial" w:cs="Arial" w:eastAsia="Arial" w:hAnsi="Arial"/>
          <w:sz w:val="19"/>
          <w:szCs w:val="19"/>
          <w:color w:val="auto"/>
        </w:rPr>
        <w:t>A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-179705</wp:posOffset>
            </wp:positionH>
            <wp:positionV relativeFrom="paragraph">
              <wp:posOffset>38735</wp:posOffset>
            </wp:positionV>
            <wp:extent cx="7149465" cy="152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6">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0982"/>
          </w:cols>
          <w:pgMar w:left="598" w:top="123" w:right="319" w:bottom="1440" w:gutter="0" w:footer="0" w:header="0"/>
        </w:sectPr>
      </w:pPr>
    </w:p>
    <w:bookmarkStart w:id="185" w:name="page186"/>
    <w:bookmarkEnd w:id="185"/>
    <w:p>
      <w:pPr>
        <w:ind w:left="5"/>
        <w:spacing w:after="0"/>
        <w:rPr>
          <w:sz w:val="20"/>
          <w:szCs w:val="20"/>
          <w:color w:val="auto"/>
        </w:rPr>
      </w:pPr>
      <w:r>
        <w:rPr>
          <w:rFonts w:ascii="Arial" w:cs="Arial" w:eastAsia="Arial" w:hAnsi="Arial"/>
          <w:sz w:val="19"/>
          <w:szCs w:val="19"/>
          <w:b w:val="1"/>
          <w:bCs w:val="1"/>
          <w:color w:val="auto"/>
        </w:rPr>
        <w:t xml:space="preserve">D. </w:t>
      </w:r>
      <w:r>
        <w:rPr>
          <w:rFonts w:ascii="Arial" w:cs="Arial" w:eastAsia="Arial" w:hAnsi="Arial"/>
          <w:sz w:val="19"/>
          <w:szCs w:val="19"/>
          <w:b w:val="1"/>
          <w:bCs w:val="1"/>
          <w:u w:val="single" w:color="auto"/>
          <w:color w:val="auto"/>
        </w:rPr>
        <w:t>Equity-Based Compensation</w:t>
      </w:r>
    </w:p>
    <w:p>
      <w:pPr>
        <w:spacing w:after="0" w:line="200" w:lineRule="exact"/>
        <w:rPr>
          <w:sz w:val="20"/>
          <w:szCs w:val="20"/>
          <w:color w:val="auto"/>
        </w:rPr>
      </w:pPr>
    </w:p>
    <w:p>
      <w:pPr>
        <w:spacing w:after="0" w:line="288" w:lineRule="exact"/>
        <w:rPr>
          <w:sz w:val="20"/>
          <w:szCs w:val="20"/>
          <w:color w:val="auto"/>
        </w:rPr>
      </w:pPr>
    </w:p>
    <w:p>
      <w:pPr>
        <w:ind w:left="665" w:hanging="382"/>
        <w:spacing w:after="0"/>
        <w:tabs>
          <w:tab w:leader="none" w:pos="665" w:val="left"/>
        </w:tabs>
        <w:numPr>
          <w:ilvl w:val="0"/>
          <w:numId w:val="201"/>
        </w:numPr>
        <w:rPr>
          <w:rFonts w:ascii="Arial" w:cs="Arial" w:eastAsia="Arial" w:hAnsi="Arial"/>
          <w:sz w:val="16"/>
          <w:szCs w:val="16"/>
          <w:color w:val="auto"/>
        </w:rPr>
      </w:pPr>
      <w:r>
        <w:rPr>
          <w:rFonts w:ascii="Arial" w:cs="Arial" w:eastAsia="Arial" w:hAnsi="Arial"/>
          <w:sz w:val="16"/>
          <w:szCs w:val="16"/>
          <w:b w:val="1"/>
          <w:bCs w:val="1"/>
          <w:u w:val="single" w:color="auto"/>
          <w:color w:val="auto"/>
        </w:rPr>
        <w:t>General and Objectives</w:t>
      </w:r>
    </w:p>
    <w:p>
      <w:pPr>
        <w:spacing w:after="0" w:line="246" w:lineRule="exact"/>
        <w:rPr>
          <w:sz w:val="20"/>
          <w:szCs w:val="20"/>
          <w:color w:val="auto"/>
        </w:rPr>
      </w:pPr>
    </w:p>
    <w:p>
      <w:pPr>
        <w:jc w:val="both"/>
        <w:ind w:left="1125" w:right="20" w:hanging="413"/>
        <w:spacing w:after="0" w:line="252" w:lineRule="auto"/>
        <w:rPr>
          <w:sz w:val="20"/>
          <w:szCs w:val="20"/>
          <w:color w:val="auto"/>
        </w:rPr>
      </w:pPr>
      <w:r>
        <w:rPr>
          <w:rFonts w:ascii="Arial" w:cs="Arial" w:eastAsia="Arial" w:hAnsi="Arial"/>
          <w:sz w:val="16"/>
          <w:szCs w:val="16"/>
          <w:color w:val="auto"/>
        </w:rPr>
        <w:t xml:space="preserve">12.1. The Company (subject to the approvals of the Compensation Committee and the Board, and with respect to the Company's directors and CEO- also the Company's general meeting of shareholders) may grant from time to time equity-based compensation which will be individually determined and awarded according to, </w:t>
      </w:r>
      <w:r>
        <w:rPr>
          <w:rFonts w:ascii="Arial" w:cs="Arial" w:eastAsia="Arial" w:hAnsi="Arial"/>
          <w:sz w:val="16"/>
          <w:szCs w:val="16"/>
          <w:i w:val="1"/>
          <w:iCs w:val="1"/>
          <w:color w:val="auto"/>
        </w:rPr>
        <w:t>inter alia</w:t>
      </w:r>
      <w:r>
        <w:rPr>
          <w:rFonts w:ascii="Arial" w:cs="Arial" w:eastAsia="Arial" w:hAnsi="Arial"/>
          <w:sz w:val="16"/>
          <w:szCs w:val="16"/>
          <w:color w:val="auto"/>
        </w:rPr>
        <w:t>, the performance, educational background, prior business experience, qualifications, role and the personal responsibilities of the Executive Officer. Equity-based compensation may also be awarded to the Company's directors, including, for the avoidance of doubt, the Executive Chairman, provided that such directors do not also serve as officers in the Company.</w:t>
      </w:r>
    </w:p>
    <w:p>
      <w:pPr>
        <w:spacing w:after="0" w:line="217" w:lineRule="exact"/>
        <w:rPr>
          <w:sz w:val="20"/>
          <w:szCs w:val="20"/>
          <w:color w:val="auto"/>
        </w:rPr>
      </w:pPr>
    </w:p>
    <w:p>
      <w:pPr>
        <w:jc w:val="both"/>
        <w:ind w:left="1125" w:right="20" w:hanging="413"/>
        <w:spacing w:after="0" w:line="311" w:lineRule="auto"/>
        <w:rPr>
          <w:sz w:val="20"/>
          <w:szCs w:val="20"/>
          <w:color w:val="auto"/>
        </w:rPr>
      </w:pPr>
      <w:r>
        <w:rPr>
          <w:rFonts w:ascii="Arial" w:cs="Arial" w:eastAsia="Arial" w:hAnsi="Arial"/>
          <w:sz w:val="14"/>
          <w:szCs w:val="14"/>
          <w:color w:val="auto"/>
        </w:rPr>
        <w:t>12.2. The main objectives of the equity-based compensation is to enhance the alignment between the Executive Officers' and directors' interests with the long term interests of Sol-Gel and its shareholders, and to strengthen the retention and the motivation of Executive Officers in the medium-to-long term. In addition, since equity-based awards are structured to vest over several years, their incentive value to recipients is aligned with longer-term strategic plans.</w:t>
      </w:r>
    </w:p>
    <w:p>
      <w:pPr>
        <w:spacing w:after="0" w:line="178" w:lineRule="exact"/>
        <w:rPr>
          <w:sz w:val="20"/>
          <w:szCs w:val="20"/>
          <w:color w:val="auto"/>
        </w:rPr>
      </w:pPr>
    </w:p>
    <w:p>
      <w:pPr>
        <w:jc w:val="both"/>
        <w:ind w:left="1125" w:hanging="413"/>
        <w:spacing w:after="0" w:line="291" w:lineRule="auto"/>
        <w:rPr>
          <w:sz w:val="20"/>
          <w:szCs w:val="20"/>
          <w:color w:val="auto"/>
        </w:rPr>
      </w:pPr>
      <w:r>
        <w:rPr>
          <w:rFonts w:ascii="Arial" w:cs="Arial" w:eastAsia="Arial" w:hAnsi="Arial"/>
          <w:sz w:val="15"/>
          <w:szCs w:val="15"/>
          <w:color w:val="auto"/>
        </w:rPr>
        <w:t>12.3. The equity based compensation offered by Sol-Gel is intended to be in a form of options exercisable into shares, restricted shares and/or other equity based awards, such as restricted share units (RSUs), in accordance with the Company's incentive plan in place as may be updated from time to time.</w:t>
      </w:r>
      <w:r>
        <w:rPr>
          <w:rFonts w:ascii="Arial" w:cs="Arial" w:eastAsia="Arial" w:hAnsi="Arial"/>
          <w:sz w:val="25"/>
          <w:szCs w:val="25"/>
          <w:color w:val="auto"/>
          <w:vertAlign w:val="superscript"/>
        </w:rPr>
        <w:t>2</w:t>
      </w:r>
    </w:p>
    <w:p>
      <w:pPr>
        <w:spacing w:after="0" w:line="53" w:lineRule="exact"/>
        <w:rPr>
          <w:sz w:val="20"/>
          <w:szCs w:val="20"/>
          <w:color w:val="auto"/>
        </w:rPr>
      </w:pPr>
    </w:p>
    <w:p>
      <w:pPr>
        <w:ind w:left="665" w:hanging="382"/>
        <w:spacing w:after="0"/>
        <w:tabs>
          <w:tab w:leader="none" w:pos="665" w:val="left"/>
        </w:tabs>
        <w:numPr>
          <w:ilvl w:val="0"/>
          <w:numId w:val="202"/>
        </w:numPr>
        <w:rPr>
          <w:rFonts w:ascii="Arial" w:cs="Arial" w:eastAsia="Arial" w:hAnsi="Arial"/>
          <w:sz w:val="16"/>
          <w:szCs w:val="16"/>
          <w:color w:val="auto"/>
        </w:rPr>
      </w:pPr>
      <w:r>
        <w:rPr>
          <w:rFonts w:ascii="Arial" w:cs="Arial" w:eastAsia="Arial" w:hAnsi="Arial"/>
          <w:sz w:val="16"/>
          <w:szCs w:val="16"/>
          <w:b w:val="1"/>
          <w:bCs w:val="1"/>
          <w:u w:val="single" w:color="auto"/>
          <w:color w:val="auto"/>
        </w:rPr>
        <w:t>Fair Market Value</w:t>
      </w:r>
    </w:p>
    <w:p>
      <w:pPr>
        <w:spacing w:after="0" w:line="245" w:lineRule="exact"/>
        <w:rPr>
          <w:rFonts w:ascii="Arial" w:cs="Arial" w:eastAsia="Arial" w:hAnsi="Arial"/>
          <w:sz w:val="16"/>
          <w:szCs w:val="16"/>
          <w:color w:val="auto"/>
        </w:rPr>
      </w:pPr>
    </w:p>
    <w:p>
      <w:pPr>
        <w:ind w:left="665"/>
        <w:spacing w:after="0" w:line="271" w:lineRule="auto"/>
        <w:rPr>
          <w:rFonts w:ascii="Arial" w:cs="Arial" w:eastAsia="Arial" w:hAnsi="Arial"/>
          <w:sz w:val="16"/>
          <w:szCs w:val="16"/>
          <w:color w:val="auto"/>
        </w:rPr>
      </w:pPr>
      <w:r>
        <w:rPr>
          <w:rFonts w:ascii="Arial" w:cs="Arial" w:eastAsia="Arial" w:hAnsi="Arial"/>
          <w:sz w:val="16"/>
          <w:szCs w:val="16"/>
          <w:color w:val="auto"/>
        </w:rPr>
        <w:t>The fair market value of the equity-based compensation for each Executive Officer during a fiscal year, shall not exceed 200% of his/her annual Base Salary, as shall be determined according to acceptable valuation practices at the time of grant.</w:t>
      </w:r>
      <w:r>
        <w:rPr>
          <w:rFonts w:ascii="Arial" w:cs="Arial" w:eastAsia="Arial" w:hAnsi="Arial"/>
          <w:sz w:val="26"/>
          <w:szCs w:val="26"/>
          <w:color w:val="auto"/>
          <w:vertAlign w:val="superscript"/>
        </w:rPr>
        <w:t>3</w:t>
      </w:r>
    </w:p>
    <w:p>
      <w:pPr>
        <w:spacing w:after="0" w:line="65" w:lineRule="exact"/>
        <w:rPr>
          <w:rFonts w:ascii="Arial" w:cs="Arial" w:eastAsia="Arial" w:hAnsi="Arial"/>
          <w:sz w:val="16"/>
          <w:szCs w:val="16"/>
          <w:color w:val="auto"/>
        </w:rPr>
      </w:pPr>
    </w:p>
    <w:p>
      <w:pPr>
        <w:ind w:left="665" w:hanging="382"/>
        <w:spacing w:after="0"/>
        <w:tabs>
          <w:tab w:leader="none" w:pos="665" w:val="left"/>
        </w:tabs>
        <w:numPr>
          <w:ilvl w:val="0"/>
          <w:numId w:val="202"/>
        </w:numPr>
        <w:rPr>
          <w:rFonts w:ascii="Arial" w:cs="Arial" w:eastAsia="Arial" w:hAnsi="Arial"/>
          <w:sz w:val="16"/>
          <w:szCs w:val="16"/>
          <w:color w:val="auto"/>
        </w:rPr>
      </w:pPr>
      <w:r>
        <w:rPr>
          <w:rFonts w:ascii="Arial" w:cs="Arial" w:eastAsia="Arial" w:hAnsi="Arial"/>
          <w:sz w:val="16"/>
          <w:szCs w:val="16"/>
          <w:b w:val="1"/>
          <w:bCs w:val="1"/>
          <w:u w:val="single" w:color="auto"/>
          <w:color w:val="auto"/>
        </w:rPr>
        <w:t>Taxation Regime</w:t>
      </w:r>
    </w:p>
    <w:p>
      <w:pPr>
        <w:spacing w:after="0" w:line="245" w:lineRule="exact"/>
        <w:rPr>
          <w:rFonts w:ascii="Arial" w:cs="Arial" w:eastAsia="Arial" w:hAnsi="Arial"/>
          <w:sz w:val="16"/>
          <w:szCs w:val="16"/>
          <w:color w:val="auto"/>
        </w:rPr>
      </w:pPr>
    </w:p>
    <w:p>
      <w:pPr>
        <w:jc w:val="both"/>
        <w:ind w:left="665" w:right="20"/>
        <w:spacing w:after="0" w:line="257" w:lineRule="auto"/>
        <w:rPr>
          <w:rFonts w:ascii="Arial" w:cs="Arial" w:eastAsia="Arial" w:hAnsi="Arial"/>
          <w:sz w:val="16"/>
          <w:szCs w:val="16"/>
          <w:color w:val="auto"/>
        </w:rPr>
      </w:pPr>
      <w:r>
        <w:rPr>
          <w:rFonts w:ascii="Arial" w:cs="Arial" w:eastAsia="Arial" w:hAnsi="Arial"/>
          <w:sz w:val="16"/>
          <w:szCs w:val="16"/>
          <w:color w:val="auto"/>
        </w:rPr>
        <w:t>Subject to any applicable law, Sol-Gel may determine, at the discretion of the Compensation Committee and the Board (and with respect to the Company's directors and CEO- also the Company's general meeting of shareholders), the tax regime under which equity-based compensation may be granted, including a tax regime which will maximize the benefit to the Executive Officers.</w:t>
      </w:r>
    </w:p>
    <w:p>
      <w:pPr>
        <w:spacing w:after="0" w:line="209" w:lineRule="exact"/>
        <w:rPr>
          <w:rFonts w:ascii="Arial" w:cs="Arial" w:eastAsia="Arial" w:hAnsi="Arial"/>
          <w:sz w:val="16"/>
          <w:szCs w:val="16"/>
          <w:color w:val="auto"/>
        </w:rPr>
      </w:pPr>
    </w:p>
    <w:p>
      <w:pPr>
        <w:ind w:left="665" w:hanging="382"/>
        <w:spacing w:after="0"/>
        <w:tabs>
          <w:tab w:leader="none" w:pos="665" w:val="left"/>
        </w:tabs>
        <w:numPr>
          <w:ilvl w:val="0"/>
          <w:numId w:val="202"/>
        </w:numPr>
        <w:rPr>
          <w:rFonts w:ascii="Arial" w:cs="Arial" w:eastAsia="Arial" w:hAnsi="Arial"/>
          <w:sz w:val="16"/>
          <w:szCs w:val="16"/>
          <w:color w:val="auto"/>
        </w:rPr>
      </w:pPr>
      <w:r>
        <w:rPr>
          <w:rFonts w:ascii="Arial" w:cs="Arial" w:eastAsia="Arial" w:hAnsi="Arial"/>
          <w:sz w:val="16"/>
          <w:szCs w:val="16"/>
          <w:b w:val="1"/>
          <w:bCs w:val="1"/>
          <w:u w:val="single" w:color="auto"/>
          <w:color w:val="auto"/>
        </w:rPr>
        <w:t>Exercise Period</w:t>
      </w:r>
    </w:p>
    <w:p>
      <w:pPr>
        <w:spacing w:after="0" w:line="245" w:lineRule="exact"/>
        <w:rPr>
          <w:rFonts w:ascii="Arial" w:cs="Arial" w:eastAsia="Arial" w:hAnsi="Arial"/>
          <w:sz w:val="16"/>
          <w:szCs w:val="16"/>
          <w:color w:val="auto"/>
        </w:rPr>
      </w:pPr>
    </w:p>
    <w:p>
      <w:pPr>
        <w:ind w:left="665" w:right="20"/>
        <w:spacing w:after="0" w:line="268" w:lineRule="auto"/>
        <w:rPr>
          <w:rFonts w:ascii="Arial" w:cs="Arial" w:eastAsia="Arial" w:hAnsi="Arial"/>
          <w:sz w:val="16"/>
          <w:szCs w:val="16"/>
          <w:color w:val="auto"/>
        </w:rPr>
      </w:pPr>
      <w:r>
        <w:rPr>
          <w:rFonts w:ascii="Arial" w:cs="Arial" w:eastAsia="Arial" w:hAnsi="Arial"/>
          <w:sz w:val="16"/>
          <w:szCs w:val="16"/>
          <w:color w:val="auto"/>
        </w:rPr>
        <w:t>The exercise price for each option shall not be less than the average closing Company's share price on NASDAQ over the 30 trading days preceding the Board’s decision on the grant of the relevant option.</w:t>
      </w:r>
    </w:p>
    <w:p>
      <w:pPr>
        <w:spacing w:after="0" w:line="156" w:lineRule="exact"/>
        <w:rPr>
          <w:rFonts w:ascii="Arial" w:cs="Arial" w:eastAsia="Arial" w:hAnsi="Arial"/>
          <w:sz w:val="16"/>
          <w:szCs w:val="16"/>
          <w:color w:val="auto"/>
        </w:rPr>
      </w:pPr>
    </w:p>
    <w:p>
      <w:pPr>
        <w:jc w:val="both"/>
        <w:ind w:left="665"/>
        <w:spacing w:after="0" w:line="253" w:lineRule="auto"/>
        <w:rPr>
          <w:rFonts w:ascii="Arial" w:cs="Arial" w:eastAsia="Arial" w:hAnsi="Arial"/>
          <w:sz w:val="16"/>
          <w:szCs w:val="16"/>
          <w:color w:val="auto"/>
        </w:rPr>
      </w:pPr>
      <w:r>
        <w:rPr>
          <w:rFonts w:ascii="Arial" w:cs="Arial" w:eastAsia="Arial" w:hAnsi="Arial"/>
          <w:sz w:val="16"/>
          <w:szCs w:val="16"/>
          <w:color w:val="auto"/>
        </w:rPr>
        <w:t>It is hereby clarified, that unless otherwise determined by the Company (subject to the approvals of the Compensation Committee and the Board, and with respect to the Company's directors and CEO- also the Company's general meeting of shareholders), and subject to the provisions of any applicable law, the exercise price of restricted shares and restricted share units (RSUs) is zero. In addition, it shall be clarified, that the exercise of restricted shares and RSUs may be subject to the achievement of goals set in advance and approved in accordance with the applicable law.</w:t>
      </w:r>
    </w:p>
    <w:p>
      <w:pPr>
        <w:spacing w:after="0" w:line="170" w:lineRule="exact"/>
        <w:rPr>
          <w:rFonts w:ascii="Arial" w:cs="Arial" w:eastAsia="Arial" w:hAnsi="Arial"/>
          <w:sz w:val="16"/>
          <w:szCs w:val="16"/>
          <w:color w:val="auto"/>
        </w:rPr>
      </w:pPr>
    </w:p>
    <w:p>
      <w:pPr>
        <w:ind w:left="665"/>
        <w:spacing w:after="0"/>
        <w:rPr>
          <w:rFonts w:ascii="Arial" w:cs="Arial" w:eastAsia="Arial" w:hAnsi="Arial"/>
          <w:sz w:val="16"/>
          <w:szCs w:val="16"/>
          <w:color w:val="auto"/>
        </w:rPr>
      </w:pPr>
      <w:r>
        <w:rPr>
          <w:rFonts w:ascii="Arial" w:cs="Arial" w:eastAsia="Arial" w:hAnsi="Arial"/>
          <w:sz w:val="16"/>
          <w:szCs w:val="16"/>
          <w:color w:val="auto"/>
        </w:rPr>
        <w:t>Options, restricted shares and restricted share units (RSUs) may also be exercised by a method of "Cashless" exercise.</w:t>
      </w:r>
    </w:p>
    <w:p>
      <w:pPr>
        <w:spacing w:after="0" w:line="194" w:lineRule="exact"/>
        <w:rPr>
          <w:rFonts w:ascii="Arial" w:cs="Arial" w:eastAsia="Arial" w:hAnsi="Arial"/>
          <w:sz w:val="16"/>
          <w:szCs w:val="16"/>
          <w:color w:val="auto"/>
        </w:rPr>
      </w:pPr>
    </w:p>
    <w:p>
      <w:pPr>
        <w:ind w:left="665" w:right="20"/>
        <w:spacing w:after="0" w:line="268" w:lineRule="auto"/>
        <w:rPr>
          <w:rFonts w:ascii="Arial" w:cs="Arial" w:eastAsia="Arial" w:hAnsi="Arial"/>
          <w:sz w:val="16"/>
          <w:szCs w:val="16"/>
          <w:color w:val="auto"/>
        </w:rPr>
      </w:pPr>
      <w:r>
        <w:rPr>
          <w:rFonts w:ascii="Arial" w:cs="Arial" w:eastAsia="Arial" w:hAnsi="Arial"/>
          <w:sz w:val="16"/>
          <w:szCs w:val="16"/>
          <w:color w:val="auto"/>
        </w:rPr>
        <w:t>The Board considered the possibility of determining a ceiling for the exercise value of the variable equity components and decided, taking into account the purpose of the equity-based compensation, not to set such a ceiling in this Policy.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182880</wp:posOffset>
            </wp:positionV>
            <wp:extent cx="1442085" cy="762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7">
                      <a:extLst>
                        <a:ext uri="{28A0092B-C50C-407E-A947-70E740481C1C}"/>
                      </a:extLst>
                    </a:blip>
                    <a:srcRect/>
                    <a:stretch>
                      <a:fillRect/>
                    </a:stretch>
                  </pic:blipFill>
                  <pic:spPr bwMode="auto">
                    <a:xfrm>
                      <a:off x="0" y="0"/>
                      <a:ext cx="1442085" cy="7620"/>
                    </a:xfrm>
                    <a:prstGeom prst="rect">
                      <a:avLst/>
                    </a:prstGeom>
                    <a:noFill/>
                  </pic:spPr>
                </pic:pic>
              </a:graphicData>
            </a:graphic>
          </wp:anchor>
        </w:drawing>
      </w:r>
    </w:p>
    <w:p>
      <w:pPr>
        <w:spacing w:after="0" w:line="200" w:lineRule="exact"/>
        <w:rPr>
          <w:sz w:val="20"/>
          <w:szCs w:val="20"/>
          <w:color w:val="auto"/>
        </w:rPr>
      </w:pPr>
    </w:p>
    <w:p>
      <w:pPr>
        <w:spacing w:after="0" w:line="299" w:lineRule="exact"/>
        <w:rPr>
          <w:sz w:val="20"/>
          <w:szCs w:val="20"/>
          <w:color w:val="auto"/>
        </w:rPr>
      </w:pPr>
    </w:p>
    <w:p>
      <w:pPr>
        <w:ind w:left="445" w:hanging="445"/>
        <w:spacing w:after="0"/>
        <w:tabs>
          <w:tab w:leader="none" w:pos="445" w:val="left"/>
        </w:tabs>
        <w:numPr>
          <w:ilvl w:val="0"/>
          <w:numId w:val="203"/>
        </w:numPr>
        <w:rPr>
          <w:rFonts w:ascii="Arial" w:cs="Arial" w:eastAsia="Arial" w:hAnsi="Arial"/>
          <w:sz w:val="26"/>
          <w:szCs w:val="26"/>
          <w:color w:val="auto"/>
          <w:vertAlign w:val="superscript"/>
        </w:rPr>
      </w:pPr>
      <w:r>
        <w:rPr>
          <w:rFonts w:ascii="Arial" w:cs="Arial" w:eastAsia="Arial" w:hAnsi="Arial"/>
          <w:sz w:val="16"/>
          <w:szCs w:val="16"/>
          <w:color w:val="auto"/>
        </w:rPr>
        <w:t>The equity based compensation is based on the fair value on the date of grant, calculated annually, on a linear basis.</w:t>
      </w:r>
    </w:p>
    <w:p>
      <w:pPr>
        <w:spacing w:after="0" w:line="127" w:lineRule="exact"/>
        <w:rPr>
          <w:sz w:val="20"/>
          <w:szCs w:val="20"/>
          <w:color w:val="auto"/>
        </w:rPr>
      </w:pPr>
    </w:p>
    <w:p>
      <w:pPr>
        <w:ind w:left="445" w:hanging="445"/>
        <w:spacing w:after="0"/>
        <w:tabs>
          <w:tab w:leader="none" w:pos="445" w:val="left"/>
        </w:tabs>
        <w:numPr>
          <w:ilvl w:val="0"/>
          <w:numId w:val="204"/>
        </w:numPr>
        <w:rPr>
          <w:rFonts w:ascii="Arial" w:cs="Arial" w:eastAsia="Arial" w:hAnsi="Arial"/>
          <w:sz w:val="26"/>
          <w:szCs w:val="26"/>
          <w:color w:val="auto"/>
          <w:vertAlign w:val="superscript"/>
        </w:rPr>
      </w:pPr>
      <w:r>
        <w:rPr>
          <w:rFonts w:ascii="Arial" w:cs="Arial" w:eastAsia="Arial" w:hAnsi="Arial"/>
          <w:sz w:val="16"/>
          <w:szCs w:val="16"/>
          <w:color w:val="auto"/>
        </w:rPr>
        <w:t>Calculated annually, on a linear basis.</w:t>
      </w:r>
    </w:p>
    <w:p>
      <w:pPr>
        <w:spacing w:after="0" w:line="373"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A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8">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363" w:right="319" w:bottom="1440" w:gutter="0" w:footer="0" w:header="0"/>
        </w:sectPr>
      </w:pPr>
    </w:p>
    <w:bookmarkStart w:id="186" w:name="page187"/>
    <w:bookmarkEnd w:id="186"/>
    <w:p>
      <w:pPr>
        <w:ind w:left="665" w:hanging="382"/>
        <w:spacing w:after="0"/>
        <w:tabs>
          <w:tab w:leader="none" w:pos="665" w:val="left"/>
        </w:tabs>
        <w:numPr>
          <w:ilvl w:val="1"/>
          <w:numId w:val="205"/>
        </w:numPr>
        <w:rPr>
          <w:rFonts w:ascii="Arial" w:cs="Arial" w:eastAsia="Arial" w:hAnsi="Arial"/>
          <w:sz w:val="16"/>
          <w:szCs w:val="16"/>
          <w:color w:val="auto"/>
        </w:rPr>
      </w:pPr>
      <w:r>
        <w:rPr>
          <w:rFonts w:ascii="Arial" w:cs="Arial" w:eastAsia="Arial" w:hAnsi="Arial"/>
          <w:sz w:val="16"/>
          <w:szCs w:val="16"/>
          <w:b w:val="1"/>
          <w:bCs w:val="1"/>
          <w:u w:val="single" w:color="auto"/>
          <w:color w:val="auto"/>
        </w:rPr>
        <w:t>Vesting</w:t>
      </w:r>
    </w:p>
    <w:p>
      <w:pPr>
        <w:spacing w:after="0" w:line="245" w:lineRule="exact"/>
        <w:rPr>
          <w:rFonts w:ascii="Arial" w:cs="Arial" w:eastAsia="Arial" w:hAnsi="Arial"/>
          <w:sz w:val="16"/>
          <w:szCs w:val="16"/>
          <w:color w:val="auto"/>
        </w:rPr>
      </w:pPr>
    </w:p>
    <w:p>
      <w:pPr>
        <w:jc w:val="both"/>
        <w:ind w:left="665"/>
        <w:spacing w:after="0" w:line="291" w:lineRule="auto"/>
        <w:rPr>
          <w:rFonts w:ascii="Arial" w:cs="Arial" w:eastAsia="Arial" w:hAnsi="Arial"/>
          <w:sz w:val="16"/>
          <w:szCs w:val="16"/>
          <w:color w:val="auto"/>
        </w:rPr>
      </w:pPr>
      <w:r>
        <w:rPr>
          <w:rFonts w:ascii="Arial" w:cs="Arial" w:eastAsia="Arial" w:hAnsi="Arial"/>
          <w:sz w:val="14"/>
          <w:szCs w:val="14"/>
          <w:color w:val="auto"/>
        </w:rPr>
        <w:t>All equity-based incentives granted to Executive Officers and directors shall be subject to vesting periods in order to promote long-term retention of such recipients. Grants to Executive Officers (excluding directors) shall vest gradually over a period of at least two years, while grants to directors shall vest over a period of at least one year. Such grants may be vested on a quarterly, semi-annual or an annual basis, or based on other time periods (which may not be necessarily equal), as determined by the Company (subject to the approvals of the Compensation Committee and the Board, and with respect to the Company's directors and CEO- also the Company's general meeting of shareholders). The Company (subject to the abovementioned required approvals) may condition the vesting of part or all of the equity-based incentives, for some or all of its Executive Officers, upon the achievement of predetermined performance goals. The Company (subject to the abovementioned required approvals) may also set terms relating to vesting in connection with an Executive Officer leaving the Company (due to a dismissal, resignation, death or disability).</w:t>
      </w:r>
    </w:p>
    <w:p>
      <w:pPr>
        <w:spacing w:after="0" w:line="194" w:lineRule="exact"/>
        <w:rPr>
          <w:rFonts w:ascii="Arial" w:cs="Arial" w:eastAsia="Arial" w:hAnsi="Arial"/>
          <w:sz w:val="16"/>
          <w:szCs w:val="16"/>
          <w:color w:val="auto"/>
        </w:rPr>
      </w:pPr>
    </w:p>
    <w:p>
      <w:pPr>
        <w:ind w:left="665" w:hanging="382"/>
        <w:spacing w:after="0"/>
        <w:tabs>
          <w:tab w:leader="none" w:pos="665" w:val="left"/>
        </w:tabs>
        <w:numPr>
          <w:ilvl w:val="1"/>
          <w:numId w:val="205"/>
        </w:numPr>
        <w:rPr>
          <w:rFonts w:ascii="Arial" w:cs="Arial" w:eastAsia="Arial" w:hAnsi="Arial"/>
          <w:sz w:val="16"/>
          <w:szCs w:val="16"/>
          <w:color w:val="auto"/>
        </w:rPr>
      </w:pPr>
      <w:r>
        <w:rPr>
          <w:rFonts w:ascii="Arial" w:cs="Arial" w:eastAsia="Arial" w:hAnsi="Arial"/>
          <w:sz w:val="16"/>
          <w:szCs w:val="16"/>
          <w:color w:val="auto"/>
        </w:rPr>
        <w:t>For details regarding ceilings with respect to director's equity-based compensation see section 29 below.</w:t>
      </w:r>
    </w:p>
    <w:p>
      <w:pPr>
        <w:spacing w:after="0" w:line="237" w:lineRule="exact"/>
        <w:rPr>
          <w:rFonts w:ascii="Arial" w:cs="Arial" w:eastAsia="Arial" w:hAnsi="Arial"/>
          <w:sz w:val="16"/>
          <w:szCs w:val="16"/>
          <w:color w:val="auto"/>
        </w:rPr>
      </w:pPr>
    </w:p>
    <w:p>
      <w:pPr>
        <w:ind w:left="665" w:hanging="382"/>
        <w:spacing w:after="0"/>
        <w:tabs>
          <w:tab w:leader="none" w:pos="665" w:val="left"/>
        </w:tabs>
        <w:numPr>
          <w:ilvl w:val="1"/>
          <w:numId w:val="205"/>
        </w:numPr>
        <w:rPr>
          <w:rFonts w:ascii="Arial" w:cs="Arial" w:eastAsia="Arial" w:hAnsi="Arial"/>
          <w:sz w:val="16"/>
          <w:szCs w:val="16"/>
          <w:color w:val="auto"/>
        </w:rPr>
      </w:pPr>
      <w:r>
        <w:rPr>
          <w:rFonts w:ascii="Arial" w:cs="Arial" w:eastAsia="Arial" w:hAnsi="Arial"/>
          <w:sz w:val="16"/>
          <w:szCs w:val="16"/>
          <w:b w:val="1"/>
          <w:bCs w:val="1"/>
          <w:u w:val="single" w:color="auto"/>
          <w:color w:val="auto"/>
        </w:rPr>
        <w:t>General</w:t>
      </w:r>
    </w:p>
    <w:p>
      <w:pPr>
        <w:spacing w:after="0" w:line="245" w:lineRule="exact"/>
        <w:rPr>
          <w:rFonts w:ascii="Arial" w:cs="Arial" w:eastAsia="Arial" w:hAnsi="Arial"/>
          <w:sz w:val="16"/>
          <w:szCs w:val="16"/>
          <w:color w:val="auto"/>
        </w:rPr>
      </w:pPr>
    </w:p>
    <w:p>
      <w:pPr>
        <w:jc w:val="both"/>
        <w:ind w:left="665" w:right="20"/>
        <w:spacing w:after="0" w:line="252" w:lineRule="auto"/>
        <w:rPr>
          <w:rFonts w:ascii="Arial" w:cs="Arial" w:eastAsia="Arial" w:hAnsi="Arial"/>
          <w:sz w:val="16"/>
          <w:szCs w:val="16"/>
          <w:color w:val="auto"/>
        </w:rPr>
      </w:pPr>
      <w:r>
        <w:rPr>
          <w:rFonts w:ascii="Arial" w:cs="Arial" w:eastAsia="Arial" w:hAnsi="Arial"/>
          <w:sz w:val="16"/>
          <w:szCs w:val="16"/>
          <w:color w:val="auto"/>
        </w:rPr>
        <w:t>All other terms of the equity awards shall be in accordance with Sol-Gel's incentive plans and other related practices and policies. Accordingly, the Company may (subject to the approvals of the Compensation Committee and the Board, and with respect to the Company's directors and CEO- also the Company's general meeting of shareholders) extend the period of time for which an award is to remain exercisable and make provisions with respect to the acceleration of the vesting period of any Executive Officer's awards, including, without limitation, in connection with a corporate transaction involving a change of control, subject to any additional approval as may be required by the Companies Law.</w:t>
      </w:r>
    </w:p>
    <w:p>
      <w:pPr>
        <w:spacing w:after="0" w:line="192" w:lineRule="exact"/>
        <w:rPr>
          <w:rFonts w:ascii="Arial" w:cs="Arial" w:eastAsia="Arial" w:hAnsi="Arial"/>
          <w:sz w:val="16"/>
          <w:szCs w:val="16"/>
          <w:color w:val="auto"/>
        </w:rPr>
      </w:pPr>
    </w:p>
    <w:p>
      <w:pPr>
        <w:ind w:left="225" w:hanging="225"/>
        <w:spacing w:after="0"/>
        <w:tabs>
          <w:tab w:leader="none" w:pos="225" w:val="left"/>
        </w:tabs>
        <w:numPr>
          <w:ilvl w:val="0"/>
          <w:numId w:val="206"/>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Retirement and Termination of Service Arrangements (Excluding Directors)</w:t>
      </w:r>
    </w:p>
    <w:p>
      <w:pPr>
        <w:spacing w:after="0" w:line="251" w:lineRule="exact"/>
        <w:rPr>
          <w:rFonts w:ascii="Arial" w:cs="Arial" w:eastAsia="Arial" w:hAnsi="Arial"/>
          <w:sz w:val="19"/>
          <w:szCs w:val="19"/>
          <w:b w:val="1"/>
          <w:bCs w:val="1"/>
          <w:color w:val="auto"/>
        </w:rPr>
      </w:pPr>
    </w:p>
    <w:p>
      <w:pPr>
        <w:ind w:left="665" w:hanging="382"/>
        <w:spacing w:after="0"/>
        <w:tabs>
          <w:tab w:leader="none" w:pos="665" w:val="left"/>
        </w:tabs>
        <w:numPr>
          <w:ilvl w:val="1"/>
          <w:numId w:val="206"/>
        </w:numPr>
        <w:rPr>
          <w:rFonts w:ascii="Arial" w:cs="Arial" w:eastAsia="Arial" w:hAnsi="Arial"/>
          <w:sz w:val="16"/>
          <w:szCs w:val="16"/>
          <w:color w:val="auto"/>
        </w:rPr>
      </w:pPr>
      <w:r>
        <w:rPr>
          <w:rFonts w:ascii="Arial" w:cs="Arial" w:eastAsia="Arial" w:hAnsi="Arial"/>
          <w:sz w:val="16"/>
          <w:szCs w:val="16"/>
          <w:b w:val="1"/>
          <w:bCs w:val="1"/>
          <w:u w:val="single" w:color="auto"/>
          <w:color w:val="auto"/>
        </w:rPr>
        <w:t>Advanced Notice Period</w:t>
      </w:r>
    </w:p>
    <w:p>
      <w:pPr>
        <w:spacing w:after="0" w:line="246" w:lineRule="exact"/>
        <w:rPr>
          <w:sz w:val="20"/>
          <w:szCs w:val="20"/>
          <w:color w:val="auto"/>
        </w:rPr>
      </w:pPr>
    </w:p>
    <w:p>
      <w:pPr>
        <w:jc w:val="both"/>
        <w:ind w:left="1125" w:right="20" w:hanging="413"/>
        <w:spacing w:after="0" w:line="273" w:lineRule="auto"/>
        <w:rPr>
          <w:sz w:val="20"/>
          <w:szCs w:val="20"/>
          <w:color w:val="auto"/>
        </w:rPr>
      </w:pPr>
      <w:r>
        <w:rPr>
          <w:rFonts w:ascii="Arial" w:cs="Arial" w:eastAsia="Arial" w:hAnsi="Arial"/>
          <w:sz w:val="15"/>
          <w:szCs w:val="15"/>
          <w:color w:val="auto"/>
        </w:rPr>
        <w:t>19.1. Sol-Gel (subject to the approvals of the Compensation Committee and the Board, and with respect to the CEO- also the Company's general meeting of shareholders) may provide each Executive Officer (excluding directors), pursuant to an Executive Officer's employment agreement and according to the Company's decision per each case, a prior notice of termination of up to six (6) months, except for the CEO whose prior notice may be of up to twelve (12) months (the "</w:t>
      </w:r>
      <w:r>
        <w:rPr>
          <w:rFonts w:ascii="Arial" w:cs="Arial" w:eastAsia="Arial" w:hAnsi="Arial"/>
          <w:sz w:val="15"/>
          <w:szCs w:val="15"/>
          <w:b w:val="1"/>
          <w:bCs w:val="1"/>
          <w:color w:val="auto"/>
        </w:rPr>
        <w:t>Advance Notice Period</w:t>
      </w:r>
      <w:r>
        <w:rPr>
          <w:rFonts w:ascii="Arial" w:cs="Arial" w:eastAsia="Arial" w:hAnsi="Arial"/>
          <w:sz w:val="15"/>
          <w:szCs w:val="15"/>
          <w:color w:val="auto"/>
        </w:rPr>
        <w:t>"). During the Advance Notice Period, the Executive Officer may be entitled to all of the compensation elements, and to the continuation of vesting of his/her options, restricted shares, RSUs and/or any other equity based awards.</w:t>
      </w:r>
    </w:p>
    <w:p>
      <w:pPr>
        <w:spacing w:after="0" w:line="202" w:lineRule="exact"/>
        <w:rPr>
          <w:sz w:val="20"/>
          <w:szCs w:val="20"/>
          <w:color w:val="auto"/>
        </w:rPr>
      </w:pPr>
    </w:p>
    <w:p>
      <w:pPr>
        <w:jc w:val="both"/>
        <w:ind w:left="1125" w:hanging="413"/>
        <w:spacing w:after="0" w:line="253" w:lineRule="auto"/>
        <w:rPr>
          <w:sz w:val="20"/>
          <w:szCs w:val="20"/>
          <w:color w:val="auto"/>
        </w:rPr>
      </w:pPr>
      <w:r>
        <w:rPr>
          <w:rFonts w:ascii="Arial" w:cs="Arial" w:eastAsia="Arial" w:hAnsi="Arial"/>
          <w:sz w:val="16"/>
          <w:szCs w:val="16"/>
          <w:color w:val="auto"/>
        </w:rPr>
        <w:t>19.2. During the Advance Notice Period, an Executive Officer will be required to keep performing his/her duties pursuant to his/her agreement with the Company, unless the Company (subject to the approvals of the Compensation Committee and the Board, and with respect to the CEO- also the Company's general meeting of shareholders) has waived the Executive Officer’s services to the Company during the Advance Notice Period and pay the amount payable in lieu of notice, plus the value of benefits.</w:t>
      </w:r>
    </w:p>
    <w:p>
      <w:pPr>
        <w:spacing w:after="0" w:line="218" w:lineRule="exact"/>
        <w:rPr>
          <w:sz w:val="20"/>
          <w:szCs w:val="20"/>
          <w:color w:val="auto"/>
        </w:rPr>
      </w:pPr>
    </w:p>
    <w:p>
      <w:pPr>
        <w:jc w:val="both"/>
        <w:ind w:left="1125" w:hanging="413"/>
        <w:spacing w:after="0" w:line="253" w:lineRule="auto"/>
        <w:rPr>
          <w:sz w:val="20"/>
          <w:szCs w:val="20"/>
          <w:color w:val="auto"/>
        </w:rPr>
      </w:pPr>
      <w:r>
        <w:rPr>
          <w:rFonts w:ascii="Arial" w:cs="Arial" w:eastAsia="Arial" w:hAnsi="Arial"/>
          <w:sz w:val="16"/>
          <w:szCs w:val="16"/>
          <w:color w:val="auto"/>
        </w:rPr>
        <w:t>19.3. In the event of a change of control in the Company, the Company (subject to the approvals of the Compensation Committee and the Board, and with respect to the CEO- also the Company's general meeting of shareholders) may decide to extend the Advance Notice Period as provided in section 19.1 above (and the compensation paid for such Advance Notice Period, accordingly) to up to two times the original Advance Notice Period of the Executive Officer, in accordance with the applicable law as of that time.</w:t>
      </w:r>
    </w:p>
    <w:p>
      <w:pPr>
        <w:spacing w:after="0" w:line="365"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A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9">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3" w:right="319" w:bottom="1440" w:gutter="0" w:footer="0" w:header="0"/>
        </w:sectPr>
      </w:pPr>
    </w:p>
    <w:bookmarkStart w:id="187" w:name="page188"/>
    <w:bookmarkEnd w:id="187"/>
    <w:p>
      <w:pPr>
        <w:ind w:left="665" w:hanging="382"/>
        <w:spacing w:after="0"/>
        <w:tabs>
          <w:tab w:leader="none" w:pos="665" w:val="left"/>
        </w:tabs>
        <w:numPr>
          <w:ilvl w:val="1"/>
          <w:numId w:val="207"/>
        </w:numPr>
        <w:rPr>
          <w:rFonts w:ascii="Arial" w:cs="Arial" w:eastAsia="Arial" w:hAnsi="Arial"/>
          <w:sz w:val="16"/>
          <w:szCs w:val="16"/>
          <w:color w:val="auto"/>
        </w:rPr>
      </w:pPr>
      <w:r>
        <w:rPr>
          <w:rFonts w:ascii="Arial" w:cs="Arial" w:eastAsia="Arial" w:hAnsi="Arial"/>
          <w:sz w:val="16"/>
          <w:szCs w:val="16"/>
          <w:b w:val="1"/>
          <w:bCs w:val="1"/>
          <w:u w:val="single" w:color="auto"/>
          <w:color w:val="auto"/>
        </w:rPr>
        <w:t>Adjustment Period/Retirement Bonus</w:t>
      </w:r>
    </w:p>
    <w:p>
      <w:pPr>
        <w:spacing w:after="0" w:line="245" w:lineRule="exact"/>
        <w:rPr>
          <w:rFonts w:ascii="Arial" w:cs="Arial" w:eastAsia="Arial" w:hAnsi="Arial"/>
          <w:sz w:val="16"/>
          <w:szCs w:val="16"/>
          <w:color w:val="auto"/>
        </w:rPr>
      </w:pPr>
    </w:p>
    <w:p>
      <w:pPr>
        <w:jc w:val="both"/>
        <w:ind w:left="665"/>
        <w:spacing w:after="0" w:line="273" w:lineRule="auto"/>
        <w:rPr>
          <w:rFonts w:ascii="Arial" w:cs="Arial" w:eastAsia="Arial" w:hAnsi="Arial"/>
          <w:sz w:val="16"/>
          <w:szCs w:val="16"/>
          <w:color w:val="auto"/>
        </w:rPr>
      </w:pPr>
      <w:r>
        <w:rPr>
          <w:rFonts w:ascii="Arial" w:cs="Arial" w:eastAsia="Arial" w:hAnsi="Arial"/>
          <w:sz w:val="15"/>
          <w:szCs w:val="15"/>
          <w:color w:val="auto"/>
        </w:rPr>
        <w:t>In addition to the Advance Notice Period, the Company (subject to the approvals of the Compensation Committee and the Board, and with respect to the CEO- also the Company's general meeting of shareholders) may provide an additional adjustment period/retirement payment that will be determined, among other things, taking into consideration the Executive Officer's seniority in the Company, performance during employment, contribution to Sol-Gel achieving its goals and the circumstances of retirement or termination. The maximum adjustment period/retirement bonus that may be paid to each Executive Officer shall be up to six (6) month Base Salaries and may only be granted to Executive Officers who have served in the Company for at least one year.</w:t>
      </w:r>
    </w:p>
    <w:p>
      <w:pPr>
        <w:spacing w:after="0" w:line="197" w:lineRule="exact"/>
        <w:rPr>
          <w:rFonts w:ascii="Arial" w:cs="Arial" w:eastAsia="Arial" w:hAnsi="Arial"/>
          <w:sz w:val="16"/>
          <w:szCs w:val="16"/>
          <w:color w:val="auto"/>
        </w:rPr>
      </w:pPr>
    </w:p>
    <w:p>
      <w:pPr>
        <w:ind w:left="665" w:hanging="382"/>
        <w:spacing w:after="0"/>
        <w:tabs>
          <w:tab w:leader="none" w:pos="665" w:val="left"/>
        </w:tabs>
        <w:numPr>
          <w:ilvl w:val="1"/>
          <w:numId w:val="207"/>
        </w:numPr>
        <w:rPr>
          <w:rFonts w:ascii="Arial" w:cs="Arial" w:eastAsia="Arial" w:hAnsi="Arial"/>
          <w:sz w:val="16"/>
          <w:szCs w:val="16"/>
          <w:color w:val="auto"/>
        </w:rPr>
      </w:pPr>
      <w:r>
        <w:rPr>
          <w:rFonts w:ascii="Arial" w:cs="Arial" w:eastAsia="Arial" w:hAnsi="Arial"/>
          <w:sz w:val="16"/>
          <w:szCs w:val="16"/>
          <w:b w:val="1"/>
          <w:bCs w:val="1"/>
          <w:u w:val="single" w:color="auto"/>
          <w:color w:val="auto"/>
        </w:rPr>
        <w:t>Additional Retirement and Termination Benefits</w:t>
      </w:r>
    </w:p>
    <w:p>
      <w:pPr>
        <w:spacing w:after="0" w:line="245" w:lineRule="exact"/>
        <w:rPr>
          <w:rFonts w:ascii="Arial" w:cs="Arial" w:eastAsia="Arial" w:hAnsi="Arial"/>
          <w:sz w:val="16"/>
          <w:szCs w:val="16"/>
          <w:color w:val="auto"/>
        </w:rPr>
      </w:pPr>
    </w:p>
    <w:p>
      <w:pPr>
        <w:ind w:left="665" w:right="20"/>
        <w:spacing w:after="0" w:line="302" w:lineRule="auto"/>
        <w:rPr>
          <w:rFonts w:ascii="Arial" w:cs="Arial" w:eastAsia="Arial" w:hAnsi="Arial"/>
          <w:sz w:val="16"/>
          <w:szCs w:val="16"/>
          <w:color w:val="auto"/>
        </w:rPr>
      </w:pPr>
      <w:r>
        <w:rPr>
          <w:rFonts w:ascii="Arial" w:cs="Arial" w:eastAsia="Arial" w:hAnsi="Arial"/>
          <w:sz w:val="15"/>
          <w:szCs w:val="15"/>
          <w:color w:val="auto"/>
        </w:rPr>
        <w:t>Sol-Gel may provide additional retirement and terminations benefits and payments as may be required by applicable law (e.g., mandatory severance pay under Israeli labor laws- unless employment/term of service was terminated for cause), or which will be comparable to customary market practices.</w:t>
      </w:r>
    </w:p>
    <w:p>
      <w:pPr>
        <w:spacing w:after="0" w:line="180" w:lineRule="exact"/>
        <w:rPr>
          <w:rFonts w:ascii="Arial" w:cs="Arial" w:eastAsia="Arial" w:hAnsi="Arial"/>
          <w:sz w:val="16"/>
          <w:szCs w:val="16"/>
          <w:color w:val="auto"/>
        </w:rPr>
      </w:pPr>
    </w:p>
    <w:p>
      <w:pPr>
        <w:ind w:left="185" w:hanging="185"/>
        <w:spacing w:after="0"/>
        <w:tabs>
          <w:tab w:leader="none" w:pos="185" w:val="left"/>
        </w:tabs>
        <w:numPr>
          <w:ilvl w:val="0"/>
          <w:numId w:val="208"/>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Exemption, Indemnification and Insurance</w:t>
      </w:r>
    </w:p>
    <w:p>
      <w:pPr>
        <w:spacing w:after="0" w:line="251" w:lineRule="exact"/>
        <w:rPr>
          <w:rFonts w:ascii="Arial" w:cs="Arial" w:eastAsia="Arial" w:hAnsi="Arial"/>
          <w:sz w:val="19"/>
          <w:szCs w:val="19"/>
          <w:b w:val="1"/>
          <w:bCs w:val="1"/>
          <w:color w:val="auto"/>
        </w:rPr>
      </w:pPr>
    </w:p>
    <w:p>
      <w:pPr>
        <w:ind w:left="665" w:hanging="382"/>
        <w:spacing w:after="0"/>
        <w:tabs>
          <w:tab w:leader="none" w:pos="665" w:val="left"/>
        </w:tabs>
        <w:numPr>
          <w:ilvl w:val="1"/>
          <w:numId w:val="208"/>
        </w:numPr>
        <w:rPr>
          <w:rFonts w:ascii="Arial" w:cs="Arial" w:eastAsia="Arial" w:hAnsi="Arial"/>
          <w:sz w:val="16"/>
          <w:szCs w:val="16"/>
          <w:color w:val="auto"/>
        </w:rPr>
      </w:pPr>
      <w:r>
        <w:rPr>
          <w:rFonts w:ascii="Arial" w:cs="Arial" w:eastAsia="Arial" w:hAnsi="Arial"/>
          <w:sz w:val="16"/>
          <w:szCs w:val="16"/>
          <w:b w:val="1"/>
          <w:bCs w:val="1"/>
          <w:u w:val="single" w:color="auto"/>
          <w:color w:val="auto"/>
        </w:rPr>
        <w:t>Exemption</w:t>
      </w:r>
    </w:p>
    <w:p>
      <w:pPr>
        <w:spacing w:after="0" w:line="245" w:lineRule="exact"/>
        <w:rPr>
          <w:rFonts w:ascii="Arial" w:cs="Arial" w:eastAsia="Arial" w:hAnsi="Arial"/>
          <w:sz w:val="16"/>
          <w:szCs w:val="16"/>
          <w:color w:val="auto"/>
        </w:rPr>
      </w:pPr>
    </w:p>
    <w:p>
      <w:pPr>
        <w:jc w:val="both"/>
        <w:ind w:left="665" w:right="20"/>
        <w:spacing w:after="0" w:line="253" w:lineRule="auto"/>
        <w:rPr>
          <w:rFonts w:ascii="Arial" w:cs="Arial" w:eastAsia="Arial" w:hAnsi="Arial"/>
          <w:sz w:val="16"/>
          <w:szCs w:val="16"/>
          <w:color w:val="auto"/>
        </w:rPr>
      </w:pPr>
      <w:r>
        <w:rPr>
          <w:rFonts w:ascii="Arial" w:cs="Arial" w:eastAsia="Arial" w:hAnsi="Arial"/>
          <w:sz w:val="16"/>
          <w:szCs w:val="16"/>
          <w:color w:val="auto"/>
        </w:rPr>
        <w:t>Sol-Gel (subject to the approvals of the Compensation Committee and the Board, and with respect to the Company's directors and CEO- also the Company's general meeting of shareholders) may exempt in advance and retroactively its Executive Officers, from any liability to the Company, in whole or in part, for damages in consequence of his or her duty of care vis-a-vis the Company, to the fullest extent permitted by law and subject to the provisions of the Company’s Articles of Association.</w:t>
      </w:r>
    </w:p>
    <w:p>
      <w:pPr>
        <w:spacing w:after="0" w:line="213" w:lineRule="exact"/>
        <w:rPr>
          <w:rFonts w:ascii="Arial" w:cs="Arial" w:eastAsia="Arial" w:hAnsi="Arial"/>
          <w:sz w:val="16"/>
          <w:szCs w:val="16"/>
          <w:color w:val="auto"/>
        </w:rPr>
      </w:pPr>
    </w:p>
    <w:p>
      <w:pPr>
        <w:ind w:left="665" w:hanging="382"/>
        <w:spacing w:after="0"/>
        <w:tabs>
          <w:tab w:leader="none" w:pos="665" w:val="left"/>
        </w:tabs>
        <w:numPr>
          <w:ilvl w:val="1"/>
          <w:numId w:val="208"/>
        </w:numPr>
        <w:rPr>
          <w:rFonts w:ascii="Arial" w:cs="Arial" w:eastAsia="Arial" w:hAnsi="Arial"/>
          <w:sz w:val="16"/>
          <w:szCs w:val="16"/>
          <w:color w:val="auto"/>
        </w:rPr>
      </w:pPr>
      <w:r>
        <w:rPr>
          <w:rFonts w:ascii="Arial" w:cs="Arial" w:eastAsia="Arial" w:hAnsi="Arial"/>
          <w:sz w:val="16"/>
          <w:szCs w:val="16"/>
          <w:b w:val="1"/>
          <w:bCs w:val="1"/>
          <w:u w:val="single" w:color="auto"/>
          <w:color w:val="auto"/>
        </w:rPr>
        <w:t>Indemnification</w:t>
      </w:r>
    </w:p>
    <w:p>
      <w:pPr>
        <w:spacing w:after="0" w:line="245" w:lineRule="exact"/>
        <w:rPr>
          <w:rFonts w:ascii="Arial" w:cs="Arial" w:eastAsia="Arial" w:hAnsi="Arial"/>
          <w:sz w:val="16"/>
          <w:szCs w:val="16"/>
          <w:color w:val="auto"/>
        </w:rPr>
      </w:pPr>
    </w:p>
    <w:p>
      <w:pPr>
        <w:jc w:val="both"/>
        <w:ind w:left="665"/>
        <w:spacing w:after="0" w:line="253" w:lineRule="auto"/>
        <w:rPr>
          <w:rFonts w:ascii="Arial" w:cs="Arial" w:eastAsia="Arial" w:hAnsi="Arial"/>
          <w:sz w:val="16"/>
          <w:szCs w:val="16"/>
          <w:color w:val="auto"/>
        </w:rPr>
      </w:pPr>
      <w:r>
        <w:rPr>
          <w:rFonts w:ascii="Arial" w:cs="Arial" w:eastAsia="Arial" w:hAnsi="Arial"/>
          <w:sz w:val="16"/>
          <w:szCs w:val="16"/>
          <w:color w:val="auto"/>
        </w:rPr>
        <w:t>Sol-Gel (subject to the approvals of the Compensation Committee and the Board, and with respect to the Company's directors and CEO- also the Company's general meeting of shareholders) may indemnify its Executive Officers to the fullest extent permitted by applicable law and the Company's Articles of Association, for any liability and expense that may be imposed on the Executive Officer, as provided in the Indemnity Agreement between such individuals and Sol-Gel, all subject to applicable law and the Company’s Articles of Association.</w:t>
      </w:r>
    </w:p>
    <w:p>
      <w:pPr>
        <w:spacing w:after="0" w:line="213" w:lineRule="exact"/>
        <w:rPr>
          <w:rFonts w:ascii="Arial" w:cs="Arial" w:eastAsia="Arial" w:hAnsi="Arial"/>
          <w:sz w:val="16"/>
          <w:szCs w:val="16"/>
          <w:color w:val="auto"/>
        </w:rPr>
      </w:pPr>
    </w:p>
    <w:p>
      <w:pPr>
        <w:ind w:left="665" w:hanging="382"/>
        <w:spacing w:after="0"/>
        <w:tabs>
          <w:tab w:leader="none" w:pos="665" w:val="left"/>
        </w:tabs>
        <w:numPr>
          <w:ilvl w:val="1"/>
          <w:numId w:val="208"/>
        </w:numPr>
        <w:rPr>
          <w:rFonts w:ascii="Arial" w:cs="Arial" w:eastAsia="Arial" w:hAnsi="Arial"/>
          <w:sz w:val="16"/>
          <w:szCs w:val="16"/>
          <w:color w:val="auto"/>
        </w:rPr>
      </w:pPr>
      <w:r>
        <w:rPr>
          <w:rFonts w:ascii="Arial" w:cs="Arial" w:eastAsia="Arial" w:hAnsi="Arial"/>
          <w:sz w:val="16"/>
          <w:szCs w:val="16"/>
          <w:b w:val="1"/>
          <w:bCs w:val="1"/>
          <w:u w:val="single" w:color="auto"/>
          <w:color w:val="auto"/>
        </w:rPr>
        <w:t>Insurance</w:t>
      </w:r>
    </w:p>
    <w:p>
      <w:pPr>
        <w:spacing w:after="0" w:line="246" w:lineRule="exact"/>
        <w:rPr>
          <w:sz w:val="20"/>
          <w:szCs w:val="20"/>
          <w:color w:val="auto"/>
        </w:rPr>
      </w:pPr>
    </w:p>
    <w:p>
      <w:pPr>
        <w:jc w:val="both"/>
        <w:ind w:left="1125" w:right="20" w:hanging="413"/>
        <w:spacing w:after="0" w:line="257" w:lineRule="auto"/>
        <w:rPr>
          <w:sz w:val="20"/>
          <w:szCs w:val="20"/>
          <w:color w:val="auto"/>
        </w:rPr>
      </w:pPr>
      <w:r>
        <w:rPr>
          <w:rFonts w:ascii="Arial" w:cs="Arial" w:eastAsia="Arial" w:hAnsi="Arial"/>
          <w:sz w:val="16"/>
          <w:szCs w:val="16"/>
          <w:color w:val="auto"/>
        </w:rPr>
        <w:t>24.1. Sol-Gel (subject to the approvals of the Compensation Committee and the Board, and with respect to the Company's directors and CEO- also the Company's general meeting of shareholders) will provide "Directors’ and Officers’ Liability Insurance" (the "</w:t>
      </w:r>
      <w:r>
        <w:rPr>
          <w:rFonts w:ascii="Arial" w:cs="Arial" w:eastAsia="Arial" w:hAnsi="Arial"/>
          <w:sz w:val="16"/>
          <w:szCs w:val="16"/>
          <w:b w:val="1"/>
          <w:bCs w:val="1"/>
          <w:color w:val="auto"/>
        </w:rPr>
        <w:t>Insurance Policy</w:t>
      </w:r>
      <w:r>
        <w:rPr>
          <w:rFonts w:ascii="Arial" w:cs="Arial" w:eastAsia="Arial" w:hAnsi="Arial"/>
          <w:sz w:val="16"/>
          <w:szCs w:val="16"/>
          <w:color w:val="auto"/>
        </w:rPr>
        <w:t>"), as well as a "run off" insurance policy for its Executive Officers as follows:</w:t>
      </w:r>
    </w:p>
    <w:p>
      <w:pPr>
        <w:spacing w:after="0" w:line="213" w:lineRule="exact"/>
        <w:rPr>
          <w:sz w:val="20"/>
          <w:szCs w:val="20"/>
          <w:color w:val="auto"/>
        </w:rPr>
      </w:pPr>
    </w:p>
    <w:p>
      <w:pPr>
        <w:ind w:left="1905" w:hanging="285"/>
        <w:spacing w:after="0"/>
        <w:tabs>
          <w:tab w:leader="none" w:pos="1905" w:val="left"/>
        </w:tabs>
        <w:numPr>
          <w:ilvl w:val="0"/>
          <w:numId w:val="209"/>
        </w:numPr>
        <w:rPr>
          <w:rFonts w:ascii="Arial" w:cs="Arial" w:eastAsia="Arial" w:hAnsi="Arial"/>
          <w:sz w:val="16"/>
          <w:szCs w:val="16"/>
          <w:color w:val="auto"/>
        </w:rPr>
      </w:pPr>
      <w:r>
        <w:rPr>
          <w:rFonts w:ascii="Arial" w:cs="Arial" w:eastAsia="Arial" w:hAnsi="Arial"/>
          <w:sz w:val="16"/>
          <w:szCs w:val="16"/>
          <w:color w:val="auto"/>
        </w:rPr>
        <w:t>The annual premium to be paid by Sol-Gel shall not exceed $1.5 million of the aggregate coverage of the Insurance Policy;</w:t>
      </w:r>
    </w:p>
    <w:p>
      <w:pPr>
        <w:spacing w:after="0" w:line="241" w:lineRule="exact"/>
        <w:rPr>
          <w:rFonts w:ascii="Arial" w:cs="Arial" w:eastAsia="Arial" w:hAnsi="Arial"/>
          <w:sz w:val="16"/>
          <w:szCs w:val="16"/>
          <w:color w:val="auto"/>
        </w:rPr>
      </w:pPr>
    </w:p>
    <w:p>
      <w:pPr>
        <w:ind w:left="1905" w:hanging="285"/>
        <w:spacing w:after="0"/>
        <w:tabs>
          <w:tab w:leader="none" w:pos="1905" w:val="left"/>
        </w:tabs>
        <w:numPr>
          <w:ilvl w:val="0"/>
          <w:numId w:val="209"/>
        </w:numPr>
        <w:rPr>
          <w:rFonts w:ascii="Arial" w:cs="Arial" w:eastAsia="Arial" w:hAnsi="Arial"/>
          <w:sz w:val="16"/>
          <w:szCs w:val="16"/>
          <w:color w:val="auto"/>
        </w:rPr>
      </w:pPr>
      <w:r>
        <w:rPr>
          <w:rFonts w:ascii="Arial" w:cs="Arial" w:eastAsia="Arial" w:hAnsi="Arial"/>
          <w:sz w:val="16"/>
          <w:szCs w:val="16"/>
          <w:color w:val="auto"/>
        </w:rPr>
        <w:t>The limit of liability of the insurer shall be up to $75 million per event and in the aggregate in the insurance period.</w:t>
      </w:r>
    </w:p>
    <w:p>
      <w:pPr>
        <w:spacing w:after="0" w:line="241" w:lineRule="exact"/>
        <w:rPr>
          <w:rFonts w:ascii="Arial" w:cs="Arial" w:eastAsia="Arial" w:hAnsi="Arial"/>
          <w:sz w:val="16"/>
          <w:szCs w:val="16"/>
          <w:color w:val="auto"/>
        </w:rPr>
      </w:pPr>
    </w:p>
    <w:p>
      <w:pPr>
        <w:ind w:left="1885" w:hanging="265"/>
        <w:spacing w:after="0"/>
        <w:tabs>
          <w:tab w:leader="none" w:pos="1885" w:val="left"/>
        </w:tabs>
        <w:numPr>
          <w:ilvl w:val="0"/>
          <w:numId w:val="209"/>
        </w:numPr>
        <w:rPr>
          <w:rFonts w:ascii="Arial" w:cs="Arial" w:eastAsia="Arial" w:hAnsi="Arial"/>
          <w:sz w:val="16"/>
          <w:szCs w:val="16"/>
          <w:color w:val="auto"/>
        </w:rPr>
      </w:pPr>
      <w:r>
        <w:rPr>
          <w:rFonts w:ascii="Arial" w:cs="Arial" w:eastAsia="Arial" w:hAnsi="Arial"/>
          <w:sz w:val="16"/>
          <w:szCs w:val="16"/>
          <w:color w:val="auto"/>
        </w:rPr>
        <w:t>The deductible amount per each claim shall not exceed $5 million.</w:t>
      </w:r>
    </w:p>
    <w:p>
      <w:pPr>
        <w:spacing w:after="0" w:line="241" w:lineRule="exact"/>
        <w:rPr>
          <w:rFonts w:ascii="Arial" w:cs="Arial" w:eastAsia="Arial" w:hAnsi="Arial"/>
          <w:sz w:val="16"/>
          <w:szCs w:val="16"/>
          <w:color w:val="auto"/>
        </w:rPr>
      </w:pPr>
    </w:p>
    <w:p>
      <w:pPr>
        <w:jc w:val="both"/>
        <w:ind w:left="1905" w:hanging="285"/>
        <w:spacing w:after="0" w:line="252" w:lineRule="auto"/>
        <w:tabs>
          <w:tab w:leader="none" w:pos="1905" w:val="left"/>
        </w:tabs>
        <w:numPr>
          <w:ilvl w:val="0"/>
          <w:numId w:val="209"/>
        </w:numPr>
        <w:rPr>
          <w:rFonts w:ascii="Arial" w:cs="Arial" w:eastAsia="Arial" w:hAnsi="Arial"/>
          <w:sz w:val="16"/>
          <w:szCs w:val="16"/>
          <w:color w:val="auto"/>
        </w:rPr>
      </w:pPr>
      <w:r>
        <w:rPr>
          <w:rFonts w:ascii="Arial" w:cs="Arial" w:eastAsia="Arial" w:hAnsi="Arial"/>
          <w:sz w:val="16"/>
          <w:szCs w:val="16"/>
          <w:color w:val="auto"/>
        </w:rPr>
        <w:t>The Insurance Policy, as well as the limit of liability and the premium for each extension or renewal shall be approved by the Company, which shall determine (subject to the approvals of the Compensation Committee and the Board, and with respect to the Company's directors and CEO- also the Company's general meeting of shareholders) that the sums are reasonable considering Sol-Gel's exposures, the scope of coverage and the market conditions and that the Insurance Policy reflects the current market conditions, and it shall not materially affect the Company's profitability, assets or liabilities.</w:t>
      </w:r>
    </w:p>
    <w:p>
      <w:pPr>
        <w:spacing w:after="0" w:line="216" w:lineRule="exact"/>
        <w:rPr>
          <w:rFonts w:ascii="Arial" w:cs="Arial" w:eastAsia="Arial" w:hAnsi="Arial"/>
          <w:sz w:val="16"/>
          <w:szCs w:val="16"/>
          <w:color w:val="auto"/>
        </w:rPr>
      </w:pPr>
    </w:p>
    <w:p>
      <w:pPr>
        <w:ind w:left="1905" w:right="20" w:hanging="285"/>
        <w:spacing w:after="0" w:line="302" w:lineRule="auto"/>
        <w:tabs>
          <w:tab w:leader="none" w:pos="1905" w:val="left"/>
        </w:tabs>
        <w:numPr>
          <w:ilvl w:val="0"/>
          <w:numId w:val="209"/>
        </w:numPr>
        <w:rPr>
          <w:rFonts w:ascii="Arial" w:cs="Arial" w:eastAsia="Arial" w:hAnsi="Arial"/>
          <w:sz w:val="15"/>
          <w:szCs w:val="15"/>
          <w:color w:val="auto"/>
        </w:rPr>
      </w:pPr>
      <w:r>
        <w:rPr>
          <w:rFonts w:ascii="Arial" w:cs="Arial" w:eastAsia="Arial" w:hAnsi="Arial"/>
          <w:sz w:val="15"/>
          <w:szCs w:val="15"/>
          <w:color w:val="auto"/>
        </w:rPr>
        <w:t>The policy will also cover the liability of the controlling shareholders due to their positions as Executive Officers in the Company, from time to time, provided that the coverage terms in this respect do not exceed those of the other Executive Officers in the Company.</w:t>
      </w:r>
    </w:p>
    <w:p>
      <w:pPr>
        <w:spacing w:after="0" w:line="32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A-10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38735</wp:posOffset>
            </wp:positionV>
            <wp:extent cx="7149465" cy="152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50">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5"/>
          </w:cols>
          <w:pgMar w:left="315" w:top="123" w:right="319" w:bottom="1440" w:gutter="0" w:footer="0" w:header="0"/>
        </w:sectPr>
      </w:pPr>
    </w:p>
    <w:bookmarkStart w:id="188" w:name="page189"/>
    <w:bookmarkEnd w:id="188"/>
    <w:p>
      <w:pPr>
        <w:spacing w:after="0"/>
        <w:rPr>
          <w:sz w:val="20"/>
          <w:szCs w:val="20"/>
          <w:color w:val="auto"/>
        </w:rPr>
      </w:pPr>
      <w:r>
        <w:rPr>
          <w:rFonts w:ascii="Arial" w:cs="Arial" w:eastAsia="Arial" w:hAnsi="Arial"/>
          <w:sz w:val="19"/>
          <w:szCs w:val="19"/>
          <w:b w:val="1"/>
          <w:bCs w:val="1"/>
          <w:color w:val="auto"/>
        </w:rPr>
        <w:t xml:space="preserve">G. </w:t>
      </w:r>
      <w:r>
        <w:rPr>
          <w:rFonts w:ascii="Arial" w:cs="Arial" w:eastAsia="Arial" w:hAnsi="Arial"/>
          <w:sz w:val="19"/>
          <w:szCs w:val="19"/>
          <w:b w:val="1"/>
          <w:bCs w:val="1"/>
          <w:u w:val="single" w:color="auto"/>
          <w:color w:val="auto"/>
        </w:rPr>
        <w:t>Arrangements upon Change of Control</w:t>
      </w:r>
    </w:p>
    <w:p>
      <w:pPr>
        <w:spacing w:after="0" w:line="255" w:lineRule="exact"/>
        <w:rPr>
          <w:sz w:val="20"/>
          <w:szCs w:val="20"/>
          <w:color w:val="auto"/>
        </w:rPr>
      </w:pPr>
    </w:p>
    <w:p>
      <w:pPr>
        <w:ind w:left="660" w:hanging="382"/>
        <w:spacing w:after="0" w:line="268" w:lineRule="auto"/>
        <w:tabs>
          <w:tab w:leader="none" w:pos="660" w:val="left"/>
        </w:tabs>
        <w:numPr>
          <w:ilvl w:val="0"/>
          <w:numId w:val="210"/>
        </w:numPr>
        <w:rPr>
          <w:rFonts w:ascii="Arial" w:cs="Arial" w:eastAsia="Arial" w:hAnsi="Arial"/>
          <w:sz w:val="16"/>
          <w:szCs w:val="16"/>
          <w:color w:val="auto"/>
        </w:rPr>
      </w:pPr>
      <w:r>
        <w:rPr>
          <w:rFonts w:ascii="Arial" w:cs="Arial" w:eastAsia="Arial" w:hAnsi="Arial"/>
          <w:sz w:val="16"/>
          <w:szCs w:val="16"/>
          <w:color w:val="auto"/>
        </w:rPr>
        <w:t>The following benefits may be granted to the Executive Officers in addition to the benefits applicable in the case of any retirement or termination of service upon a "Change of Control" following of which the employment of the Executive Officer is terminated or adversely adjusted in a material way:</w:t>
      </w:r>
    </w:p>
    <w:p>
      <w:pPr>
        <w:spacing w:after="0" w:line="204"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25.1. Vesting acceleration of outstanding options, restricted shares, restricted share units (RSUs) and/or other equity based awards.</w:t>
      </w:r>
    </w:p>
    <w:p>
      <w:pPr>
        <w:spacing w:after="0" w:line="242" w:lineRule="exact"/>
        <w:rPr>
          <w:sz w:val="20"/>
          <w:szCs w:val="20"/>
          <w:color w:val="auto"/>
        </w:rPr>
      </w:pPr>
    </w:p>
    <w:p>
      <w:pPr>
        <w:ind w:left="1120" w:right="20" w:hanging="413"/>
        <w:spacing w:after="0" w:line="268" w:lineRule="auto"/>
        <w:rPr>
          <w:sz w:val="20"/>
          <w:szCs w:val="20"/>
          <w:color w:val="auto"/>
        </w:rPr>
      </w:pPr>
      <w:r>
        <w:rPr>
          <w:rFonts w:ascii="Arial" w:cs="Arial" w:eastAsia="Arial" w:hAnsi="Arial"/>
          <w:sz w:val="16"/>
          <w:szCs w:val="16"/>
          <w:color w:val="auto"/>
        </w:rPr>
        <w:t>25.2. Extension of the exercising period of options, restricted shares, restricted share units (RSUs) and/or other equity based awards for Sol-Gel’s Executive Officers for a period of up to five (5) years, following the date of termination of employment.</w:t>
      </w:r>
    </w:p>
    <w:p>
      <w:pPr>
        <w:spacing w:after="0" w:line="204"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25.3. An Advance Notice Period, in accordance with section 19.3 above.</w:t>
      </w:r>
    </w:p>
    <w:p>
      <w:pPr>
        <w:spacing w:after="0" w:line="242"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25.4. An Adjustment period/retirement bonus in accordance with section 20 above, of up to twelve (12) months of Employment Cost.</w:t>
      </w:r>
    </w:p>
    <w:p>
      <w:pPr>
        <w:spacing w:after="0" w:line="24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H. </w:t>
      </w:r>
      <w:r>
        <w:rPr>
          <w:rFonts w:ascii="Arial" w:cs="Arial" w:eastAsia="Arial" w:hAnsi="Arial"/>
          <w:sz w:val="19"/>
          <w:szCs w:val="19"/>
          <w:b w:val="1"/>
          <w:bCs w:val="1"/>
          <w:u w:val="single" w:color="auto"/>
          <w:color w:val="auto"/>
        </w:rPr>
        <w:t>Board of Directors Compensation</w:t>
      </w:r>
    </w:p>
    <w:p>
      <w:pPr>
        <w:spacing w:after="0" w:line="255" w:lineRule="exact"/>
        <w:rPr>
          <w:sz w:val="20"/>
          <w:szCs w:val="20"/>
          <w:color w:val="auto"/>
        </w:rPr>
      </w:pPr>
    </w:p>
    <w:p>
      <w:pPr>
        <w:jc w:val="both"/>
        <w:ind w:left="660" w:right="20" w:hanging="382"/>
        <w:spacing w:after="0" w:line="311" w:lineRule="auto"/>
        <w:tabs>
          <w:tab w:leader="none" w:pos="660" w:val="left"/>
        </w:tabs>
        <w:numPr>
          <w:ilvl w:val="0"/>
          <w:numId w:val="211"/>
        </w:numPr>
        <w:rPr>
          <w:rFonts w:ascii="Arial" w:cs="Arial" w:eastAsia="Arial" w:hAnsi="Arial"/>
          <w:sz w:val="14"/>
          <w:szCs w:val="14"/>
          <w:color w:val="auto"/>
        </w:rPr>
      </w:pPr>
      <w:r>
        <w:rPr>
          <w:rFonts w:ascii="Arial" w:cs="Arial" w:eastAsia="Arial" w:hAnsi="Arial"/>
          <w:sz w:val="14"/>
          <w:szCs w:val="14"/>
          <w:color w:val="auto"/>
        </w:rPr>
        <w:t>The compensation of the Company's directors shall be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in accordance with section 27 below, subject to any required approvals by the applicable law.</w:t>
      </w:r>
    </w:p>
    <w:p>
      <w:pPr>
        <w:spacing w:after="0" w:line="178" w:lineRule="exact"/>
        <w:rPr>
          <w:rFonts w:ascii="Arial" w:cs="Arial" w:eastAsia="Arial" w:hAnsi="Arial"/>
          <w:sz w:val="14"/>
          <w:szCs w:val="14"/>
          <w:color w:val="auto"/>
        </w:rPr>
      </w:pPr>
    </w:p>
    <w:p>
      <w:pPr>
        <w:ind w:left="660" w:hanging="382"/>
        <w:spacing w:after="0"/>
        <w:tabs>
          <w:tab w:leader="none" w:pos="660" w:val="left"/>
        </w:tabs>
        <w:numPr>
          <w:ilvl w:val="0"/>
          <w:numId w:val="211"/>
        </w:numPr>
        <w:rPr>
          <w:rFonts w:ascii="Arial" w:cs="Arial" w:eastAsia="Arial" w:hAnsi="Arial"/>
          <w:sz w:val="16"/>
          <w:szCs w:val="16"/>
          <w:color w:val="auto"/>
        </w:rPr>
      </w:pPr>
      <w:r>
        <w:rPr>
          <w:rFonts w:ascii="Arial" w:cs="Arial" w:eastAsia="Arial" w:hAnsi="Arial"/>
          <w:sz w:val="16"/>
          <w:szCs w:val="16"/>
          <w:color w:val="auto"/>
        </w:rPr>
        <w:t>The compensation of the Company's directors (including external directors and independent directors) shall not exceed the following:</w:t>
      </w:r>
    </w:p>
    <w:p>
      <w:pPr>
        <w:spacing w:after="0" w:line="238"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27.1. Base payment of $45,000 per year (the "</w:t>
      </w:r>
      <w:r>
        <w:rPr>
          <w:rFonts w:ascii="Arial" w:cs="Arial" w:eastAsia="Arial" w:hAnsi="Arial"/>
          <w:sz w:val="16"/>
          <w:szCs w:val="16"/>
          <w:b w:val="1"/>
          <w:bCs w:val="1"/>
          <w:color w:val="auto"/>
        </w:rPr>
        <w:t>Base Payment</w:t>
      </w:r>
      <w:r>
        <w:rPr>
          <w:rFonts w:ascii="Arial" w:cs="Arial" w:eastAsia="Arial" w:hAnsi="Arial"/>
          <w:sz w:val="16"/>
          <w:szCs w:val="16"/>
          <w:color w:val="auto"/>
        </w:rPr>
        <w:t>");</w:t>
      </w:r>
    </w:p>
    <w:p>
      <w:pPr>
        <w:spacing w:after="0" w:line="246"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27.2. Chairman of the Board- an additional amount of $25,000 per year to the Base Payment;</w:t>
      </w:r>
    </w:p>
    <w:p>
      <w:pPr>
        <w:spacing w:after="0" w:line="242"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27.3. Committee Chairman- an additional amount of $10,000 per year to the Base Payment;</w:t>
      </w:r>
    </w:p>
    <w:p>
      <w:pPr>
        <w:spacing w:after="0" w:line="242" w:lineRule="exact"/>
        <w:rPr>
          <w:sz w:val="20"/>
          <w:szCs w:val="20"/>
          <w:color w:val="auto"/>
        </w:rPr>
      </w:pPr>
    </w:p>
    <w:p>
      <w:pPr>
        <w:ind w:left="700"/>
        <w:spacing w:after="0"/>
        <w:rPr>
          <w:sz w:val="20"/>
          <w:szCs w:val="20"/>
          <w:color w:val="auto"/>
        </w:rPr>
      </w:pPr>
      <w:r>
        <w:rPr>
          <w:rFonts w:ascii="Arial" w:cs="Arial" w:eastAsia="Arial" w:hAnsi="Arial"/>
          <w:sz w:val="16"/>
          <w:szCs w:val="16"/>
          <w:color w:val="auto"/>
        </w:rPr>
        <w:t>27.4. Committee member- an additional amount of $5,000 per year to the Base Payment;</w:t>
      </w:r>
    </w:p>
    <w:p>
      <w:pPr>
        <w:spacing w:after="0" w:line="242" w:lineRule="exact"/>
        <w:rPr>
          <w:sz w:val="20"/>
          <w:szCs w:val="20"/>
          <w:color w:val="auto"/>
        </w:rPr>
      </w:pPr>
    </w:p>
    <w:p>
      <w:pPr>
        <w:jc w:val="both"/>
        <w:ind w:left="660" w:right="20" w:hanging="382"/>
        <w:spacing w:after="0" w:line="257" w:lineRule="auto"/>
        <w:tabs>
          <w:tab w:leader="none" w:pos="660" w:val="left"/>
        </w:tabs>
        <w:numPr>
          <w:ilvl w:val="0"/>
          <w:numId w:val="212"/>
        </w:numPr>
        <w:rPr>
          <w:rFonts w:ascii="Arial" w:cs="Arial" w:eastAsia="Arial" w:hAnsi="Arial"/>
          <w:sz w:val="16"/>
          <w:szCs w:val="16"/>
          <w:color w:val="auto"/>
        </w:rPr>
      </w:pPr>
      <w:r>
        <w:rPr>
          <w:rFonts w:ascii="Arial" w:cs="Arial" w:eastAsia="Arial" w:hAnsi="Arial"/>
          <w:sz w:val="16"/>
          <w:szCs w:val="16"/>
          <w:color w:val="auto"/>
        </w:rPr>
        <w:t>In addition, the Company may engage with its directors (excluding external and independent directors) for the receipt of consulting services and/or other special services, for a consideration of up to $1,000 per day, plus reasonable expense reimbursement. Such compensation shall be paid for a maximum of 6 days per year for each director.</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A-11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38735</wp:posOffset>
            </wp:positionV>
            <wp:extent cx="7149465" cy="1524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51">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60"/>
          </w:cols>
          <w:pgMar w:left="320" w:top="126" w:right="319" w:bottom="1440" w:gutter="0" w:footer="0" w:header="0"/>
        </w:sectPr>
      </w:pPr>
    </w:p>
    <w:bookmarkStart w:id="189" w:name="page190"/>
    <w:bookmarkEnd w:id="189"/>
    <w:p>
      <w:pPr>
        <w:ind w:left="665" w:hanging="382"/>
        <w:spacing w:after="0" w:line="271" w:lineRule="auto"/>
        <w:tabs>
          <w:tab w:leader="none" w:pos="665" w:val="left"/>
        </w:tabs>
        <w:numPr>
          <w:ilvl w:val="0"/>
          <w:numId w:val="213"/>
        </w:numPr>
        <w:rPr>
          <w:rFonts w:ascii="Arial" w:cs="Arial" w:eastAsia="Arial" w:hAnsi="Arial"/>
          <w:sz w:val="16"/>
          <w:szCs w:val="16"/>
          <w:color w:val="auto"/>
        </w:rPr>
      </w:pPr>
      <w:r>
        <w:rPr>
          <w:rFonts w:ascii="Arial" w:cs="Arial" w:eastAsia="Arial" w:hAnsi="Arial"/>
          <w:sz w:val="16"/>
          <w:szCs w:val="16"/>
          <w:color w:val="auto"/>
        </w:rPr>
        <w:t>Directors may be granted equity-based compensation in accordance with the applicable principles detailed in section D of this Policy, and subject to the provisions of the Companies Law and the regulations thereunder.</w:t>
      </w:r>
      <w:r>
        <w:rPr>
          <w:rFonts w:ascii="Arial" w:cs="Arial" w:eastAsia="Arial" w:hAnsi="Arial"/>
          <w:sz w:val="26"/>
          <w:szCs w:val="26"/>
          <w:color w:val="auto"/>
          <w:vertAlign w:val="superscript"/>
        </w:rPr>
        <w:t>4</w:t>
      </w:r>
    </w:p>
    <w:p>
      <w:pPr>
        <w:spacing w:after="0" w:line="61" w:lineRule="exact"/>
        <w:rPr>
          <w:rFonts w:ascii="Arial" w:cs="Arial" w:eastAsia="Arial" w:hAnsi="Arial"/>
          <w:sz w:val="16"/>
          <w:szCs w:val="16"/>
          <w:color w:val="auto"/>
        </w:rPr>
      </w:pPr>
    </w:p>
    <w:p>
      <w:pPr>
        <w:ind w:left="665"/>
        <w:spacing w:after="0"/>
        <w:rPr>
          <w:rFonts w:ascii="Arial" w:cs="Arial" w:eastAsia="Arial" w:hAnsi="Arial"/>
          <w:sz w:val="16"/>
          <w:szCs w:val="16"/>
          <w:color w:val="auto"/>
        </w:rPr>
      </w:pPr>
      <w:r>
        <w:rPr>
          <w:rFonts w:ascii="Arial" w:cs="Arial" w:eastAsia="Arial" w:hAnsi="Arial"/>
          <w:sz w:val="16"/>
          <w:szCs w:val="16"/>
          <w:color w:val="auto"/>
        </w:rPr>
        <w:t>Equity based-compensation granted to the Company's directors, shall not exceed the following amounts (subject to any applicable law):</w:t>
      </w:r>
      <w:r>
        <w:rPr>
          <w:rFonts w:ascii="Arial" w:cs="Arial" w:eastAsia="Arial" w:hAnsi="Arial"/>
          <w:sz w:val="26"/>
          <w:szCs w:val="26"/>
          <w:color w:val="auto"/>
          <w:vertAlign w:val="superscript"/>
        </w:rPr>
        <w:t>5</w:t>
      </w:r>
    </w:p>
    <w:p>
      <w:pPr>
        <w:spacing w:after="0" w:line="131" w:lineRule="exact"/>
        <w:rPr>
          <w:sz w:val="20"/>
          <w:szCs w:val="20"/>
          <w:color w:val="auto"/>
        </w:rPr>
      </w:pPr>
    </w:p>
    <w:p>
      <w:pPr>
        <w:ind w:left="705"/>
        <w:spacing w:after="0"/>
        <w:rPr>
          <w:sz w:val="20"/>
          <w:szCs w:val="20"/>
          <w:color w:val="auto"/>
        </w:rPr>
      </w:pPr>
      <w:r>
        <w:rPr>
          <w:rFonts w:ascii="Arial" w:cs="Arial" w:eastAsia="Arial" w:hAnsi="Arial"/>
          <w:sz w:val="16"/>
          <w:szCs w:val="16"/>
          <w:color w:val="auto"/>
        </w:rPr>
        <w:t>29.1. Director: $55,000 per year (the "</w:t>
      </w:r>
      <w:r>
        <w:rPr>
          <w:rFonts w:ascii="Arial" w:cs="Arial" w:eastAsia="Arial" w:hAnsi="Arial"/>
          <w:sz w:val="16"/>
          <w:szCs w:val="16"/>
          <w:b w:val="1"/>
          <w:bCs w:val="1"/>
          <w:color w:val="auto"/>
        </w:rPr>
        <w:t>Equity Compensation</w:t>
      </w:r>
      <w:r>
        <w:rPr>
          <w:rFonts w:ascii="Arial" w:cs="Arial" w:eastAsia="Arial" w:hAnsi="Arial"/>
          <w:sz w:val="16"/>
          <w:szCs w:val="16"/>
          <w:color w:val="auto"/>
        </w:rPr>
        <w:t>");</w:t>
      </w:r>
    </w:p>
    <w:p>
      <w:pPr>
        <w:spacing w:after="0" w:line="246" w:lineRule="exact"/>
        <w:rPr>
          <w:sz w:val="20"/>
          <w:szCs w:val="20"/>
          <w:color w:val="auto"/>
        </w:rPr>
      </w:pPr>
    </w:p>
    <w:p>
      <w:pPr>
        <w:ind w:left="705"/>
        <w:spacing w:after="0"/>
        <w:rPr>
          <w:sz w:val="20"/>
          <w:szCs w:val="20"/>
          <w:color w:val="auto"/>
        </w:rPr>
      </w:pPr>
      <w:r>
        <w:rPr>
          <w:rFonts w:ascii="Arial" w:cs="Arial" w:eastAsia="Arial" w:hAnsi="Arial"/>
          <w:sz w:val="16"/>
          <w:szCs w:val="16"/>
          <w:color w:val="auto"/>
        </w:rPr>
        <w:t>29.2. Chairman of the Board- an additional amount of $55,000 per year to the Equity Compensation;</w:t>
      </w:r>
    </w:p>
    <w:p>
      <w:pPr>
        <w:spacing w:after="0" w:line="242" w:lineRule="exact"/>
        <w:rPr>
          <w:sz w:val="20"/>
          <w:szCs w:val="20"/>
          <w:color w:val="auto"/>
        </w:rPr>
      </w:pPr>
    </w:p>
    <w:p>
      <w:pPr>
        <w:ind w:left="705"/>
        <w:spacing w:after="0"/>
        <w:rPr>
          <w:sz w:val="20"/>
          <w:szCs w:val="20"/>
          <w:color w:val="auto"/>
        </w:rPr>
      </w:pPr>
      <w:r>
        <w:rPr>
          <w:rFonts w:ascii="Arial" w:cs="Arial" w:eastAsia="Arial" w:hAnsi="Arial"/>
          <w:sz w:val="16"/>
          <w:szCs w:val="16"/>
          <w:color w:val="auto"/>
        </w:rPr>
        <w:t>29.3. Committee Chairman- an additional amount of $10,000 per year per year to the Equity Compensation;</w:t>
      </w:r>
    </w:p>
    <w:p>
      <w:pPr>
        <w:spacing w:after="0" w:line="242" w:lineRule="exact"/>
        <w:rPr>
          <w:sz w:val="20"/>
          <w:szCs w:val="20"/>
          <w:color w:val="auto"/>
        </w:rPr>
      </w:pPr>
    </w:p>
    <w:p>
      <w:pPr>
        <w:ind w:left="705"/>
        <w:spacing w:after="0"/>
        <w:rPr>
          <w:sz w:val="20"/>
          <w:szCs w:val="20"/>
          <w:color w:val="auto"/>
        </w:rPr>
      </w:pPr>
      <w:r>
        <w:rPr>
          <w:rFonts w:ascii="Arial" w:cs="Arial" w:eastAsia="Arial" w:hAnsi="Arial"/>
          <w:sz w:val="16"/>
          <w:szCs w:val="16"/>
          <w:color w:val="auto"/>
        </w:rPr>
        <w:t>29.4. Committee member- an additional amount of $5,000 per year to the Equity Compensation;</w:t>
      </w:r>
    </w:p>
    <w:p>
      <w:pPr>
        <w:spacing w:after="0" w:line="242" w:lineRule="exact"/>
        <w:rPr>
          <w:sz w:val="20"/>
          <w:szCs w:val="20"/>
          <w:color w:val="auto"/>
        </w:rPr>
      </w:pPr>
    </w:p>
    <w:p>
      <w:pPr>
        <w:ind w:left="665" w:hanging="382"/>
        <w:spacing w:after="0"/>
        <w:tabs>
          <w:tab w:leader="none" w:pos="665" w:val="left"/>
        </w:tabs>
        <w:numPr>
          <w:ilvl w:val="1"/>
          <w:numId w:val="214"/>
        </w:numPr>
        <w:rPr>
          <w:rFonts w:ascii="Arial" w:cs="Arial" w:eastAsia="Arial" w:hAnsi="Arial"/>
          <w:sz w:val="14"/>
          <w:szCs w:val="14"/>
          <w:color w:val="auto"/>
        </w:rPr>
      </w:pPr>
      <w:r>
        <w:rPr>
          <w:rFonts w:ascii="Arial" w:cs="Arial" w:eastAsia="Arial" w:hAnsi="Arial"/>
          <w:sz w:val="14"/>
          <w:szCs w:val="14"/>
          <w:color w:val="auto"/>
        </w:rPr>
        <w:t>Sol-Gel's external and independent directors may be entitled to reimbursement of expenses in accordance with the Companies Law and the regulations thereunder.</w:t>
      </w:r>
    </w:p>
    <w:p>
      <w:pPr>
        <w:spacing w:after="0" w:line="264" w:lineRule="exact"/>
        <w:rPr>
          <w:rFonts w:ascii="Arial" w:cs="Arial" w:eastAsia="Arial" w:hAnsi="Arial"/>
          <w:sz w:val="14"/>
          <w:szCs w:val="14"/>
          <w:color w:val="auto"/>
        </w:rPr>
      </w:pPr>
    </w:p>
    <w:p>
      <w:pPr>
        <w:ind w:left="305" w:hanging="171"/>
        <w:spacing w:after="0"/>
        <w:tabs>
          <w:tab w:leader="none" w:pos="305" w:val="left"/>
        </w:tabs>
        <w:numPr>
          <w:ilvl w:val="0"/>
          <w:numId w:val="215"/>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Miscellaneous</w:t>
      </w:r>
    </w:p>
    <w:p>
      <w:pPr>
        <w:spacing w:after="0" w:line="255" w:lineRule="exact"/>
        <w:rPr>
          <w:rFonts w:ascii="Arial" w:cs="Arial" w:eastAsia="Arial" w:hAnsi="Arial"/>
          <w:sz w:val="19"/>
          <w:szCs w:val="19"/>
          <w:b w:val="1"/>
          <w:bCs w:val="1"/>
          <w:color w:val="auto"/>
        </w:rPr>
      </w:pPr>
    </w:p>
    <w:p>
      <w:pPr>
        <w:jc w:val="both"/>
        <w:ind w:left="665" w:hanging="382"/>
        <w:spacing w:after="0" w:line="253" w:lineRule="auto"/>
        <w:tabs>
          <w:tab w:leader="none" w:pos="665" w:val="left"/>
        </w:tabs>
        <w:numPr>
          <w:ilvl w:val="1"/>
          <w:numId w:val="215"/>
        </w:numPr>
        <w:rPr>
          <w:rFonts w:ascii="Arial" w:cs="Arial" w:eastAsia="Arial" w:hAnsi="Arial"/>
          <w:sz w:val="16"/>
          <w:szCs w:val="16"/>
          <w:color w:val="auto"/>
        </w:rPr>
      </w:pPr>
      <w:r>
        <w:rPr>
          <w:rFonts w:ascii="Arial" w:cs="Arial" w:eastAsia="Arial" w:hAnsi="Arial"/>
          <w:sz w:val="16"/>
          <w:szCs w:val="16"/>
          <w:color w:val="auto"/>
        </w:rPr>
        <w:t>This Policy is designed solely for the benefit of Sol-Gel. Nothing in this Compensation Policy shall be deemed to grant any of Sol-Gel’s Executive Officers or employees or any third party any right or privilege in connection with their employment by the Company and their compensation thereof. Such rights and privileges, to which Executive Officers or employees serving in the Company or that will serve in the Company in the future, are entitled for, shall be governed by the respective personal employment agreements.</w:t>
      </w:r>
    </w:p>
    <w:p>
      <w:pPr>
        <w:spacing w:after="0" w:line="217" w:lineRule="exact"/>
        <w:rPr>
          <w:rFonts w:ascii="Arial" w:cs="Arial" w:eastAsia="Arial" w:hAnsi="Arial"/>
          <w:sz w:val="16"/>
          <w:szCs w:val="16"/>
          <w:color w:val="auto"/>
        </w:rPr>
      </w:pPr>
    </w:p>
    <w:p>
      <w:pPr>
        <w:ind w:left="665" w:right="20" w:hanging="382"/>
        <w:spacing w:after="0" w:line="268" w:lineRule="auto"/>
        <w:tabs>
          <w:tab w:leader="none" w:pos="665" w:val="left"/>
        </w:tabs>
        <w:numPr>
          <w:ilvl w:val="1"/>
          <w:numId w:val="215"/>
        </w:numPr>
        <w:rPr>
          <w:rFonts w:ascii="Arial" w:cs="Arial" w:eastAsia="Arial" w:hAnsi="Arial"/>
          <w:sz w:val="16"/>
          <w:szCs w:val="16"/>
          <w:color w:val="auto"/>
        </w:rPr>
      </w:pPr>
      <w:r>
        <w:rPr>
          <w:rFonts w:ascii="Arial" w:cs="Arial" w:eastAsia="Arial" w:hAnsi="Arial"/>
          <w:sz w:val="16"/>
          <w:szCs w:val="16"/>
          <w:color w:val="auto"/>
        </w:rPr>
        <w:t>This Policy is subject to applicable law and is not intended, and should not be interpreted as limiting or derogating from, provisions of applicable law to the extent not permitted, nor should it be interpreted as limiting or derogating from the Company’s Articles of Association.</w:t>
      </w:r>
    </w:p>
    <w:p>
      <w:pPr>
        <w:spacing w:after="0" w:line="204" w:lineRule="exact"/>
        <w:rPr>
          <w:rFonts w:ascii="Arial" w:cs="Arial" w:eastAsia="Arial" w:hAnsi="Arial"/>
          <w:sz w:val="16"/>
          <w:szCs w:val="16"/>
          <w:color w:val="auto"/>
        </w:rPr>
      </w:pPr>
    </w:p>
    <w:p>
      <w:pPr>
        <w:ind w:left="665" w:hanging="382"/>
        <w:spacing w:after="0" w:line="268" w:lineRule="auto"/>
        <w:tabs>
          <w:tab w:leader="none" w:pos="665" w:val="left"/>
        </w:tabs>
        <w:numPr>
          <w:ilvl w:val="1"/>
          <w:numId w:val="215"/>
        </w:numPr>
        <w:rPr>
          <w:rFonts w:ascii="Arial" w:cs="Arial" w:eastAsia="Arial" w:hAnsi="Arial"/>
          <w:sz w:val="16"/>
          <w:szCs w:val="16"/>
          <w:color w:val="auto"/>
        </w:rPr>
      </w:pPr>
      <w:r>
        <w:rPr>
          <w:rFonts w:ascii="Arial" w:cs="Arial" w:eastAsia="Arial" w:hAnsi="Arial"/>
          <w:sz w:val="16"/>
          <w:szCs w:val="16"/>
          <w:color w:val="auto"/>
        </w:rPr>
        <w:t>This Policy is not intended to affect current agreements nor affect obligating customs (if applicable) between the Company and its Executive Officers as such may exist prior to the approval of this Compensation Policy, subject to any applicable law.</w:t>
      </w:r>
    </w:p>
    <w:p>
      <w:pPr>
        <w:spacing w:after="0" w:line="204" w:lineRule="exact"/>
        <w:rPr>
          <w:rFonts w:ascii="Arial" w:cs="Arial" w:eastAsia="Arial" w:hAnsi="Arial"/>
          <w:sz w:val="16"/>
          <w:szCs w:val="16"/>
          <w:color w:val="auto"/>
        </w:rPr>
      </w:pPr>
    </w:p>
    <w:p>
      <w:pPr>
        <w:ind w:left="665" w:right="20" w:hanging="382"/>
        <w:spacing w:after="0" w:line="268" w:lineRule="auto"/>
        <w:tabs>
          <w:tab w:leader="none" w:pos="665" w:val="left"/>
        </w:tabs>
        <w:numPr>
          <w:ilvl w:val="1"/>
          <w:numId w:val="215"/>
        </w:numPr>
        <w:rPr>
          <w:rFonts w:ascii="Arial" w:cs="Arial" w:eastAsia="Arial" w:hAnsi="Arial"/>
          <w:sz w:val="16"/>
          <w:szCs w:val="16"/>
          <w:color w:val="auto"/>
        </w:rPr>
      </w:pPr>
      <w:r>
        <w:rPr>
          <w:rFonts w:ascii="Arial" w:cs="Arial" w:eastAsia="Arial" w:hAnsi="Arial"/>
          <w:sz w:val="16"/>
          <w:szCs w:val="16"/>
          <w:color w:val="auto"/>
        </w:rPr>
        <w:t>In the event of amendments made to the Companies Law or any regulations promulgated thereunder providing relief in connection with Sol-Gel’s compensation to its Executive Officers, Sol-Gel may elect to act pursuant to such relief without regard to any contradiction with this Policy.</w:t>
      </w:r>
    </w:p>
    <w:p>
      <w:pPr>
        <w:spacing w:after="0" w:line="204" w:lineRule="exact"/>
        <w:rPr>
          <w:rFonts w:ascii="Arial" w:cs="Arial" w:eastAsia="Arial" w:hAnsi="Arial"/>
          <w:sz w:val="16"/>
          <w:szCs w:val="16"/>
          <w:color w:val="auto"/>
        </w:rPr>
      </w:pPr>
    </w:p>
    <w:p>
      <w:pPr>
        <w:ind w:left="665" w:hanging="382"/>
        <w:spacing w:after="0" w:line="268" w:lineRule="auto"/>
        <w:tabs>
          <w:tab w:leader="none" w:pos="665" w:val="left"/>
        </w:tabs>
        <w:numPr>
          <w:ilvl w:val="1"/>
          <w:numId w:val="215"/>
        </w:numPr>
        <w:rPr>
          <w:rFonts w:ascii="Arial" w:cs="Arial" w:eastAsia="Arial" w:hAnsi="Arial"/>
          <w:sz w:val="16"/>
          <w:szCs w:val="16"/>
          <w:color w:val="auto"/>
        </w:rPr>
      </w:pPr>
      <w:r>
        <w:rPr>
          <w:rFonts w:ascii="Arial" w:cs="Arial" w:eastAsia="Arial" w:hAnsi="Arial"/>
          <w:sz w:val="16"/>
          <w:szCs w:val="16"/>
          <w:color w:val="auto"/>
        </w:rPr>
        <w:t>The Company (subject to any required approvals by the applicable law) may determine that none or only part of the payments, benefits and perquisites shall be granted, and is authorized to cancel or suspend a compensation package or part of it.</w:t>
      </w:r>
    </w:p>
    <w:p>
      <w:pPr>
        <w:spacing w:after="0" w:line="204" w:lineRule="exact"/>
        <w:rPr>
          <w:rFonts w:ascii="Arial" w:cs="Arial" w:eastAsia="Arial" w:hAnsi="Arial"/>
          <w:sz w:val="16"/>
          <w:szCs w:val="16"/>
          <w:color w:val="auto"/>
        </w:rPr>
      </w:pPr>
    </w:p>
    <w:p>
      <w:pPr>
        <w:jc w:val="both"/>
        <w:ind w:left="665" w:hanging="382"/>
        <w:spacing w:after="0" w:line="276" w:lineRule="auto"/>
        <w:tabs>
          <w:tab w:leader="none" w:pos="665" w:val="left"/>
        </w:tabs>
        <w:numPr>
          <w:ilvl w:val="1"/>
          <w:numId w:val="215"/>
        </w:numPr>
        <w:rPr>
          <w:rFonts w:ascii="Arial" w:cs="Arial" w:eastAsia="Arial" w:hAnsi="Arial"/>
          <w:sz w:val="15"/>
          <w:szCs w:val="15"/>
          <w:color w:val="auto"/>
        </w:rPr>
      </w:pPr>
      <w:r>
        <w:rPr>
          <w:rFonts w:ascii="Arial" w:cs="Arial" w:eastAsia="Arial" w:hAnsi="Arial"/>
          <w:sz w:val="15"/>
          <w:szCs w:val="15"/>
          <w:color w:val="auto"/>
        </w:rPr>
        <w:t>An immaterial change in the terms of office of Executive Officers (excluding directors, a controlling shareholder or a controlling shareholder's relative) during the term of this Compensation Policy, will be subject to the approval of the Company's CEO only (changes in the terms of office of the CEO shall be approved in accordance with the Companies Law). An immaterial change in this matter shall be deemed to be a change that does not exceed 5% of the annual Employment Cost with respect to the employment of such an Executive Officer in the Company, subject to the conditions prescribed in this Compensation Policy.</w:t>
      </w:r>
    </w:p>
    <w:p>
      <w:pPr>
        <w:spacing w:after="0" w:line="199" w:lineRule="exact"/>
        <w:rPr>
          <w:rFonts w:ascii="Arial" w:cs="Arial" w:eastAsia="Arial" w:hAnsi="Arial"/>
          <w:sz w:val="15"/>
          <w:szCs w:val="15"/>
          <w:color w:val="auto"/>
        </w:rPr>
      </w:pPr>
    </w:p>
    <w:p>
      <w:pPr>
        <w:jc w:val="both"/>
        <w:ind w:left="665" w:hanging="382"/>
        <w:spacing w:after="0" w:line="257" w:lineRule="auto"/>
        <w:tabs>
          <w:tab w:leader="none" w:pos="665" w:val="left"/>
        </w:tabs>
        <w:numPr>
          <w:ilvl w:val="1"/>
          <w:numId w:val="215"/>
        </w:numPr>
        <w:rPr>
          <w:rFonts w:ascii="Arial" w:cs="Arial" w:eastAsia="Arial" w:hAnsi="Arial"/>
          <w:sz w:val="16"/>
          <w:szCs w:val="16"/>
          <w:color w:val="auto"/>
        </w:rPr>
      </w:pPr>
      <w:r>
        <w:rPr>
          <w:rFonts w:ascii="Arial" w:cs="Arial" w:eastAsia="Arial" w:hAnsi="Arial"/>
          <w:sz w:val="16"/>
          <w:szCs w:val="16"/>
          <w:color w:val="auto"/>
        </w:rPr>
        <w:t>It should be clarified, that the compensation components detailed in this Policy do not relate to various components that the Company may provide to all or part of its employees and/or its Executive Officers, such as: parking spaces, entry permits for its assets, reimbursement for meals and accommodation expenses, vacations, company events, etc.</w:t>
      </w:r>
    </w:p>
    <w:p>
      <w:pPr>
        <w:spacing w:after="0" w:line="218"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226060</wp:posOffset>
            </wp:positionV>
            <wp:extent cx="1442085" cy="762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2">
                      <a:extLst>
                        <a:ext uri="{28A0092B-C50C-407E-A947-70E740481C1C}"/>
                      </a:extLst>
                    </a:blip>
                    <a:srcRect/>
                    <a:stretch>
                      <a:fillRect/>
                    </a:stretch>
                  </pic:blipFill>
                  <pic:spPr bwMode="auto">
                    <a:xfrm>
                      <a:off x="0" y="0"/>
                      <a:ext cx="1442085" cy="7620"/>
                    </a:xfrm>
                    <a:prstGeom prst="rect">
                      <a:avLst/>
                    </a:prstGeom>
                    <a:noFill/>
                  </pic:spPr>
                </pic:pic>
              </a:graphicData>
            </a:graphic>
          </wp:anchor>
        </w:drawing>
      </w:r>
    </w:p>
    <w:p>
      <w:pPr>
        <w:spacing w:after="0" w:line="200" w:lineRule="exact"/>
        <w:rPr>
          <w:sz w:val="20"/>
          <w:szCs w:val="20"/>
          <w:color w:val="auto"/>
        </w:rPr>
      </w:pPr>
    </w:p>
    <w:p>
      <w:pPr>
        <w:spacing w:after="0" w:line="345" w:lineRule="exact"/>
        <w:rPr>
          <w:sz w:val="20"/>
          <w:szCs w:val="20"/>
          <w:color w:val="auto"/>
        </w:rPr>
      </w:pPr>
    </w:p>
    <w:p>
      <w:pPr>
        <w:ind w:left="445" w:hanging="445"/>
        <w:spacing w:after="0"/>
        <w:tabs>
          <w:tab w:leader="none" w:pos="445" w:val="left"/>
        </w:tabs>
        <w:numPr>
          <w:ilvl w:val="0"/>
          <w:numId w:val="216"/>
        </w:numPr>
        <w:rPr>
          <w:rFonts w:ascii="Arial" w:cs="Arial" w:eastAsia="Arial" w:hAnsi="Arial"/>
          <w:sz w:val="26"/>
          <w:szCs w:val="26"/>
          <w:color w:val="auto"/>
          <w:vertAlign w:val="superscript"/>
        </w:rPr>
      </w:pPr>
      <w:r>
        <w:rPr>
          <w:rFonts w:ascii="Arial" w:cs="Arial" w:eastAsia="Arial" w:hAnsi="Arial"/>
          <w:sz w:val="16"/>
          <w:szCs w:val="16"/>
          <w:color w:val="auto"/>
        </w:rPr>
        <w:t>The equity based compensation is based on the fair value on the date of grant, calculated annually, on a linear basis.</w:t>
      </w:r>
    </w:p>
    <w:p>
      <w:pPr>
        <w:spacing w:after="0" w:line="103" w:lineRule="exact"/>
        <w:rPr>
          <w:sz w:val="20"/>
          <w:szCs w:val="20"/>
          <w:color w:val="auto"/>
        </w:rPr>
      </w:pPr>
    </w:p>
    <w:p>
      <w:pPr>
        <w:ind w:left="445" w:hanging="445"/>
        <w:spacing w:after="0"/>
        <w:tabs>
          <w:tab w:leader="none" w:pos="445" w:val="left"/>
        </w:tabs>
        <w:numPr>
          <w:ilvl w:val="0"/>
          <w:numId w:val="217"/>
        </w:numPr>
        <w:rPr>
          <w:rFonts w:ascii="Arial" w:cs="Arial" w:eastAsia="Arial" w:hAnsi="Arial"/>
          <w:sz w:val="26"/>
          <w:szCs w:val="26"/>
          <w:color w:val="auto"/>
          <w:vertAlign w:val="superscript"/>
        </w:rPr>
      </w:pPr>
      <w:r>
        <w:rPr>
          <w:rFonts w:ascii="Arial" w:cs="Arial" w:eastAsia="Arial" w:hAnsi="Arial"/>
          <w:sz w:val="16"/>
          <w:szCs w:val="16"/>
          <w:color w:val="auto"/>
        </w:rPr>
        <w:t>Based on the fair value on the date of grant, calculated annually, on a linear basis.</w:t>
      </w:r>
    </w:p>
    <w:p>
      <w:pPr>
        <w:spacing w:after="0" w:line="195"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A-12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68580</wp:posOffset>
            </wp:positionV>
            <wp:extent cx="7149465" cy="762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3">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151130</wp:posOffset>
            </wp:positionV>
            <wp:extent cx="7149465" cy="298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4">
                      <a:extLst>
                        <a:ext uri="{28A0092B-C50C-407E-A947-70E740481C1C}"/>
                      </a:extLst>
                    </a:blip>
                    <a:srcRect/>
                    <a:stretch>
                      <a:fillRect/>
                    </a:stretch>
                  </pic:blipFill>
                  <pic:spPr bwMode="auto">
                    <a:xfrm>
                      <a:off x="0" y="0"/>
                      <a:ext cx="7149465" cy="29845"/>
                    </a:xfrm>
                    <a:prstGeom prst="rect">
                      <a:avLst/>
                    </a:prstGeom>
                    <a:noFill/>
                  </pic:spPr>
                </pic:pic>
              </a:graphicData>
            </a:graphic>
          </wp:anchor>
        </w:drawing>
      </w:r>
    </w:p>
    <w:p>
      <w:pPr>
        <w:sectPr>
          <w:pgSz w:w="11900" w:h="16838" w:orient="portrait"/>
          <w:cols w:equalWidth="0" w:num="1">
            <w:col w:w="11265"/>
          </w:cols>
          <w:pgMar w:left="315" w:top="127" w:right="319" w:bottom="1440" w:gutter="0" w:footer="0" w:header="0"/>
        </w:sectPr>
      </w:pPr>
    </w:p>
    <w:bookmarkStart w:id="190" w:name="page191"/>
    <w:bookmarkEnd w:id="190"/>
    <w:p>
      <w:pPr>
        <w:jc w:val="right"/>
        <w:spacing w:after="0"/>
        <w:rPr>
          <w:sz w:val="20"/>
          <w:szCs w:val="20"/>
          <w:color w:val="auto"/>
        </w:rPr>
      </w:pPr>
      <w:r>
        <w:rPr>
          <w:rFonts w:ascii="Arial" w:cs="Arial" w:eastAsia="Arial" w:hAnsi="Arial"/>
          <w:sz w:val="19"/>
          <w:szCs w:val="19"/>
          <w:b w:val="1"/>
          <w:bCs w:val="1"/>
          <w:u w:val="single" w:color="auto"/>
          <w:color w:val="auto"/>
        </w:rPr>
        <w:drawing>
          <wp:anchor simplePos="0" relativeHeight="251657728" behindDoc="1" locked="0" layoutInCell="0" allowOverlap="1">
            <wp:simplePos x="0" y="0"/>
            <wp:positionH relativeFrom="page">
              <wp:posOffset>200025</wp:posOffset>
            </wp:positionH>
            <wp:positionV relativeFrom="page">
              <wp:posOffset>88900</wp:posOffset>
            </wp:positionV>
            <wp:extent cx="7149465" cy="298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5">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193675</wp:posOffset>
            </wp:positionV>
            <wp:extent cx="7149465" cy="762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6">
                      <a:extLst>
                        <a:ext uri="{28A0092B-C50C-407E-A947-70E740481C1C}"/>
                      </a:extLst>
                    </a:blip>
                    <a:srcRect/>
                    <a:stretch>
                      <a:fillRect/>
                    </a:stretch>
                  </pic:blipFill>
                  <pic:spPr bwMode="auto">
                    <a:xfrm>
                      <a:off x="0" y="0"/>
                      <a:ext cx="7149465" cy="7620"/>
                    </a:xfrm>
                    <a:prstGeom prst="rect">
                      <a:avLst/>
                    </a:prstGeom>
                    <a:noFill/>
                  </pic:spPr>
                </pic:pic>
              </a:graphicData>
            </a:graphic>
          </wp:anchor>
        </w:drawing>
        <w:t>Exhibit 12.1</w:t>
      </w:r>
    </w:p>
    <w:p>
      <w:pPr>
        <w:spacing w:after="0" w:line="255" w:lineRule="exact"/>
        <w:rPr>
          <w:sz w:val="20"/>
          <w:szCs w:val="20"/>
          <w:color w:val="auto"/>
        </w:rPr>
      </w:pPr>
    </w:p>
    <w:p>
      <w:pPr>
        <w:jc w:val="center"/>
        <w:ind w:right="60"/>
        <w:spacing w:after="0"/>
        <w:rPr>
          <w:sz w:val="20"/>
          <w:szCs w:val="20"/>
          <w:color w:val="auto"/>
        </w:rPr>
      </w:pPr>
      <w:r>
        <w:rPr>
          <w:rFonts w:ascii="Arial" w:cs="Arial" w:eastAsia="Arial" w:hAnsi="Arial"/>
          <w:sz w:val="19"/>
          <w:szCs w:val="19"/>
          <w:b w:val="1"/>
          <w:bCs w:val="1"/>
          <w:color w:val="auto"/>
        </w:rPr>
        <w:t>CERTIFICATION BY CHIEF EXECUTIVE OFFICER PURSUANT TO SECTION 302</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OF THE SARBANES-OXLEY ACT OF 2002</w:t>
      </w:r>
    </w:p>
    <w:p>
      <w:pPr>
        <w:spacing w:after="0" w:line="251" w:lineRule="exact"/>
        <w:rPr>
          <w:sz w:val="20"/>
          <w:szCs w:val="20"/>
          <w:color w:val="auto"/>
        </w:rPr>
      </w:pPr>
    </w:p>
    <w:p>
      <w:pPr>
        <w:spacing w:after="0"/>
        <w:rPr>
          <w:sz w:val="20"/>
          <w:szCs w:val="20"/>
          <w:color w:val="auto"/>
        </w:rPr>
      </w:pPr>
      <w:r>
        <w:rPr>
          <w:rFonts w:ascii="Arial" w:cs="Arial" w:eastAsia="Arial" w:hAnsi="Arial"/>
          <w:sz w:val="19"/>
          <w:szCs w:val="19"/>
          <w:color w:val="auto"/>
        </w:rPr>
        <w:t>I, Alon Seri-Levy, certify that:</w:t>
      </w:r>
    </w:p>
    <w:p>
      <w:pPr>
        <w:spacing w:after="0" w:line="249" w:lineRule="exact"/>
        <w:rPr>
          <w:sz w:val="20"/>
          <w:szCs w:val="20"/>
          <w:color w:val="auto"/>
        </w:rPr>
      </w:pPr>
    </w:p>
    <w:p>
      <w:pPr>
        <w:ind w:left="560" w:hanging="329"/>
        <w:spacing w:after="0"/>
        <w:tabs>
          <w:tab w:leader="none" w:pos="560" w:val="left"/>
        </w:tabs>
        <w:numPr>
          <w:ilvl w:val="0"/>
          <w:numId w:val="218"/>
        </w:numPr>
        <w:rPr>
          <w:rFonts w:ascii="Arial" w:cs="Arial" w:eastAsia="Arial" w:hAnsi="Arial"/>
          <w:sz w:val="16"/>
          <w:szCs w:val="16"/>
          <w:color w:val="auto"/>
        </w:rPr>
      </w:pPr>
      <w:r>
        <w:rPr>
          <w:rFonts w:ascii="Arial" w:cs="Arial" w:eastAsia="Arial" w:hAnsi="Arial"/>
          <w:sz w:val="16"/>
          <w:szCs w:val="16"/>
          <w:color w:val="auto"/>
        </w:rPr>
        <w:t>I have reviewed this annual report on Form 20-F of Sol-Gel Technologies Ltd.;</w:t>
      </w:r>
    </w:p>
    <w:p>
      <w:pPr>
        <w:spacing w:after="0" w:line="241" w:lineRule="exact"/>
        <w:rPr>
          <w:rFonts w:ascii="Arial" w:cs="Arial" w:eastAsia="Arial" w:hAnsi="Arial"/>
          <w:sz w:val="16"/>
          <w:szCs w:val="16"/>
          <w:color w:val="auto"/>
        </w:rPr>
      </w:pPr>
    </w:p>
    <w:p>
      <w:pPr>
        <w:ind w:left="560" w:right="20" w:hanging="329"/>
        <w:spacing w:after="0" w:line="302" w:lineRule="auto"/>
        <w:tabs>
          <w:tab w:leader="none" w:pos="560" w:val="left"/>
        </w:tabs>
        <w:numPr>
          <w:ilvl w:val="0"/>
          <w:numId w:val="21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0" w:lineRule="exact"/>
        <w:rPr>
          <w:rFonts w:ascii="Arial" w:cs="Arial" w:eastAsia="Arial" w:hAnsi="Arial"/>
          <w:sz w:val="15"/>
          <w:szCs w:val="15"/>
          <w:color w:val="auto"/>
        </w:rPr>
      </w:pPr>
    </w:p>
    <w:p>
      <w:pPr>
        <w:ind w:left="560" w:hanging="329"/>
        <w:spacing w:after="0" w:line="268" w:lineRule="auto"/>
        <w:tabs>
          <w:tab w:leader="none" w:pos="560" w:val="left"/>
        </w:tabs>
        <w:numPr>
          <w:ilvl w:val="0"/>
          <w:numId w:val="21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04" w:lineRule="exact"/>
        <w:rPr>
          <w:rFonts w:ascii="Arial" w:cs="Arial" w:eastAsia="Arial" w:hAnsi="Arial"/>
          <w:sz w:val="16"/>
          <w:szCs w:val="16"/>
          <w:color w:val="auto"/>
        </w:rPr>
      </w:pPr>
    </w:p>
    <w:p>
      <w:pPr>
        <w:ind w:left="560" w:hanging="329"/>
        <w:spacing w:after="0"/>
        <w:tabs>
          <w:tab w:leader="none" w:pos="560" w:val="left"/>
        </w:tabs>
        <w:numPr>
          <w:ilvl w:val="0"/>
          <w:numId w:val="218"/>
        </w:numPr>
        <w:rPr>
          <w:rFonts w:ascii="Arial" w:cs="Arial" w:eastAsia="Arial" w:hAnsi="Arial"/>
          <w:sz w:val="14"/>
          <w:szCs w:val="14"/>
          <w:color w:val="auto"/>
        </w:rPr>
      </w:pPr>
      <w:r>
        <w:rPr>
          <w:rFonts w:ascii="Arial" w:cs="Arial" w:eastAsia="Arial" w:hAnsi="Arial"/>
          <w:sz w:val="14"/>
          <w:szCs w:val="14"/>
          <w:color w:val="auto"/>
        </w:rPr>
        <w:t>The company’s other certifying officer(s) and I are responsible for establishing and maintaining disclosure controls and procedures (as defined in Exchange Act Rules</w:t>
      </w:r>
    </w:p>
    <w:p>
      <w:pPr>
        <w:spacing w:after="0" w:line="39" w:lineRule="exact"/>
        <w:rPr>
          <w:rFonts w:ascii="Arial" w:cs="Arial" w:eastAsia="Arial" w:hAnsi="Arial"/>
          <w:sz w:val="14"/>
          <w:szCs w:val="14"/>
          <w:color w:val="auto"/>
        </w:rPr>
      </w:pPr>
    </w:p>
    <w:p>
      <w:pPr>
        <w:ind w:left="560"/>
        <w:spacing w:after="0"/>
        <w:rPr>
          <w:rFonts w:ascii="Arial" w:cs="Arial" w:eastAsia="Arial" w:hAnsi="Arial"/>
          <w:sz w:val="14"/>
          <w:szCs w:val="14"/>
          <w:color w:val="auto"/>
        </w:rPr>
      </w:pPr>
      <w:r>
        <w:rPr>
          <w:rFonts w:ascii="Arial" w:cs="Arial" w:eastAsia="Arial" w:hAnsi="Arial"/>
          <w:sz w:val="15"/>
          <w:szCs w:val="15"/>
          <w:color w:val="auto"/>
        </w:rPr>
        <w:t>13a-15(e) and 15d-15(e)) and internal control over financial reporting (as defined in Exchange Act Rules 13a-15(f) and 15d-15(f)) for the company and have:</w:t>
      </w:r>
    </w:p>
    <w:p>
      <w:pPr>
        <w:spacing w:after="0" w:line="242" w:lineRule="exact"/>
        <w:rPr>
          <w:rFonts w:ascii="Arial" w:cs="Arial" w:eastAsia="Arial" w:hAnsi="Arial"/>
          <w:sz w:val="14"/>
          <w:szCs w:val="14"/>
          <w:color w:val="auto"/>
        </w:rPr>
      </w:pPr>
    </w:p>
    <w:p>
      <w:pPr>
        <w:jc w:val="both"/>
        <w:ind w:left="1020" w:hanging="300"/>
        <w:spacing w:after="0" w:line="257" w:lineRule="auto"/>
        <w:tabs>
          <w:tab w:leader="none" w:pos="1020" w:val="left"/>
        </w:tabs>
        <w:numPr>
          <w:ilvl w:val="2"/>
          <w:numId w:val="218"/>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13" w:lineRule="exact"/>
        <w:rPr>
          <w:rFonts w:ascii="Arial" w:cs="Arial" w:eastAsia="Arial" w:hAnsi="Arial"/>
          <w:sz w:val="16"/>
          <w:szCs w:val="16"/>
          <w:color w:val="auto"/>
        </w:rPr>
      </w:pPr>
    </w:p>
    <w:p>
      <w:pPr>
        <w:jc w:val="both"/>
        <w:ind w:left="1020" w:hanging="300"/>
        <w:spacing w:after="0" w:line="257" w:lineRule="auto"/>
        <w:tabs>
          <w:tab w:leader="none" w:pos="1020" w:val="left"/>
        </w:tabs>
        <w:numPr>
          <w:ilvl w:val="2"/>
          <w:numId w:val="218"/>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5" w:lineRule="exact"/>
        <w:rPr>
          <w:rFonts w:ascii="Arial" w:cs="Arial" w:eastAsia="Arial" w:hAnsi="Arial"/>
          <w:sz w:val="16"/>
          <w:szCs w:val="16"/>
          <w:color w:val="auto"/>
        </w:rPr>
      </w:pPr>
    </w:p>
    <w:p>
      <w:pPr>
        <w:ind w:left="1020" w:hanging="300"/>
        <w:spacing w:after="0" w:line="268" w:lineRule="auto"/>
        <w:tabs>
          <w:tab w:leader="none" w:pos="1020" w:val="left"/>
        </w:tabs>
        <w:numPr>
          <w:ilvl w:val="2"/>
          <w:numId w:val="218"/>
        </w:numPr>
        <w:rPr>
          <w:rFonts w:ascii="Arial" w:cs="Arial" w:eastAsia="Arial" w:hAnsi="Arial"/>
          <w:sz w:val="16"/>
          <w:szCs w:val="16"/>
          <w:color w:val="auto"/>
        </w:rPr>
      </w:pPr>
      <w:r>
        <w:rPr>
          <w:rFonts w:ascii="Arial" w:cs="Arial" w:eastAsia="Arial" w:hAnsi="Arial"/>
          <w:sz w:val="16"/>
          <w:szCs w:val="16"/>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04" w:lineRule="exact"/>
        <w:rPr>
          <w:rFonts w:ascii="Arial" w:cs="Arial" w:eastAsia="Arial" w:hAnsi="Arial"/>
          <w:sz w:val="16"/>
          <w:szCs w:val="16"/>
          <w:color w:val="auto"/>
        </w:rPr>
      </w:pPr>
    </w:p>
    <w:p>
      <w:pPr>
        <w:ind w:left="1020" w:right="680" w:hanging="339"/>
        <w:spacing w:after="0" w:line="302" w:lineRule="auto"/>
        <w:tabs>
          <w:tab w:leader="none" w:pos="1020" w:val="left"/>
        </w:tabs>
        <w:numPr>
          <w:ilvl w:val="1"/>
          <w:numId w:val="218"/>
        </w:numPr>
        <w:rPr>
          <w:rFonts w:ascii="Arial" w:cs="Arial" w:eastAsia="Arial" w:hAnsi="Arial"/>
          <w:sz w:val="15"/>
          <w:szCs w:val="15"/>
          <w:color w:val="auto"/>
        </w:rPr>
      </w:pPr>
      <w:r>
        <w:rPr>
          <w:rFonts w:ascii="Arial" w:cs="Arial" w:eastAsia="Arial" w:hAnsi="Arial"/>
          <w:sz w:val="15"/>
          <w:szCs w:val="15"/>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180" w:lineRule="exact"/>
        <w:rPr>
          <w:rFonts w:ascii="Arial" w:cs="Arial" w:eastAsia="Arial" w:hAnsi="Arial"/>
          <w:sz w:val="15"/>
          <w:szCs w:val="15"/>
          <w:color w:val="auto"/>
        </w:rPr>
      </w:pPr>
    </w:p>
    <w:p>
      <w:pPr>
        <w:ind w:left="560" w:right="20" w:hanging="329"/>
        <w:spacing w:after="0" w:line="268" w:lineRule="auto"/>
        <w:tabs>
          <w:tab w:leader="none" w:pos="560" w:val="left"/>
        </w:tabs>
        <w:numPr>
          <w:ilvl w:val="0"/>
          <w:numId w:val="218"/>
        </w:numPr>
        <w:rPr>
          <w:rFonts w:ascii="Arial" w:cs="Arial" w:eastAsia="Arial" w:hAnsi="Arial"/>
          <w:sz w:val="16"/>
          <w:szCs w:val="16"/>
          <w:color w:val="auto"/>
        </w:rPr>
      </w:pPr>
      <w:r>
        <w:rPr>
          <w:rFonts w:ascii="Arial" w:cs="Arial" w:eastAsia="Arial" w:hAnsi="Arial"/>
          <w:sz w:val="16"/>
          <w:szCs w:val="16"/>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04" w:lineRule="exact"/>
        <w:rPr>
          <w:rFonts w:ascii="Arial" w:cs="Arial" w:eastAsia="Arial" w:hAnsi="Arial"/>
          <w:sz w:val="16"/>
          <w:szCs w:val="16"/>
          <w:color w:val="auto"/>
        </w:rPr>
      </w:pPr>
    </w:p>
    <w:p>
      <w:pPr>
        <w:ind w:left="1020" w:right="20" w:hanging="339"/>
        <w:spacing w:after="0" w:line="268" w:lineRule="auto"/>
        <w:tabs>
          <w:tab w:leader="none" w:pos="1020" w:val="left"/>
        </w:tabs>
        <w:numPr>
          <w:ilvl w:val="1"/>
          <w:numId w:val="21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04" w:lineRule="exact"/>
        <w:rPr>
          <w:rFonts w:ascii="Arial" w:cs="Arial" w:eastAsia="Arial" w:hAnsi="Arial"/>
          <w:sz w:val="16"/>
          <w:szCs w:val="16"/>
          <w:color w:val="auto"/>
        </w:rPr>
      </w:pPr>
    </w:p>
    <w:p>
      <w:pPr>
        <w:ind w:left="1020" w:hanging="339"/>
        <w:spacing w:after="0" w:line="268" w:lineRule="auto"/>
        <w:tabs>
          <w:tab w:leader="none" w:pos="1020" w:val="left"/>
        </w:tabs>
        <w:numPr>
          <w:ilvl w:val="1"/>
          <w:numId w:val="219"/>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company’s internal control over financial reporting.</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color w:val="auto"/>
        </w:rPr>
        <w:t>Date: March 4, 2021</w:t>
      </w:r>
    </w:p>
    <w:p>
      <w:pPr>
        <w:spacing w:after="0" w:line="249" w:lineRule="exact"/>
        <w:rPr>
          <w:sz w:val="20"/>
          <w:szCs w:val="20"/>
          <w:color w:val="auto"/>
        </w:rPr>
      </w:pPr>
    </w:p>
    <w:p>
      <w:pPr>
        <w:spacing w:after="0"/>
        <w:rPr>
          <w:sz w:val="20"/>
          <w:szCs w:val="20"/>
          <w:color w:val="auto"/>
        </w:rPr>
      </w:pPr>
      <w:r>
        <w:rPr>
          <w:rFonts w:ascii="Arial" w:cs="Arial" w:eastAsia="Arial" w:hAnsi="Arial"/>
          <w:sz w:val="16"/>
          <w:szCs w:val="16"/>
          <w:color w:val="auto"/>
        </w:rPr>
        <w:t>/s/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11430</wp:posOffset>
            </wp:positionV>
            <wp:extent cx="1787525" cy="1524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7">
                      <a:extLst>
                        <a:ext uri="{28A0092B-C50C-407E-A947-70E740481C1C}"/>
                      </a:extLst>
                    </a:blip>
                    <a:srcRect/>
                    <a:stretch>
                      <a:fillRect/>
                    </a:stretch>
                  </pic:blipFill>
                  <pic:spPr bwMode="auto">
                    <a:xfrm>
                      <a:off x="0" y="0"/>
                      <a:ext cx="1787525" cy="15240"/>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Alon Seri-Levy</w:t>
      </w:r>
    </w:p>
    <w:p>
      <w:pPr>
        <w:spacing w:after="0" w:line="16" w:lineRule="exact"/>
        <w:rPr>
          <w:sz w:val="20"/>
          <w:szCs w:val="20"/>
          <w:color w:val="auto"/>
        </w:rPr>
      </w:pPr>
    </w:p>
    <w:p>
      <w:pPr>
        <w:spacing w:after="0"/>
        <w:rPr>
          <w:sz w:val="20"/>
          <w:szCs w:val="20"/>
          <w:color w:val="auto"/>
        </w:rPr>
      </w:pPr>
      <w:r>
        <w:rPr>
          <w:rFonts w:ascii="Arial" w:cs="Arial" w:eastAsia="Arial" w:hAnsi="Arial"/>
          <w:sz w:val="16"/>
          <w:szCs w:val="16"/>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199390</wp:posOffset>
            </wp:positionV>
            <wp:extent cx="7149465" cy="762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8">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281940</wp:posOffset>
            </wp:positionV>
            <wp:extent cx="7149465" cy="298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9">
                      <a:extLst>
                        <a:ext uri="{28A0092B-C50C-407E-A947-70E740481C1C}"/>
                      </a:extLst>
                    </a:blip>
                    <a:srcRect/>
                    <a:stretch>
                      <a:fillRect/>
                    </a:stretch>
                  </pic:blipFill>
                  <pic:spPr bwMode="auto">
                    <a:xfrm>
                      <a:off x="0" y="0"/>
                      <a:ext cx="7149465" cy="29845"/>
                    </a:xfrm>
                    <a:prstGeom prst="rect">
                      <a:avLst/>
                    </a:prstGeom>
                    <a:noFill/>
                  </pic:spPr>
                </pic:pic>
              </a:graphicData>
            </a:graphic>
          </wp:anchor>
        </w:drawing>
      </w:r>
    </w:p>
    <w:p>
      <w:pPr>
        <w:sectPr>
          <w:pgSz w:w="11900" w:h="16838" w:orient="portrait"/>
          <w:cols w:equalWidth="0" w:num="1">
            <w:col w:w="11260"/>
          </w:cols>
          <w:pgMar w:left="320" w:top="398" w:right="319" w:bottom="1440" w:gutter="0" w:footer="0" w:header="0"/>
        </w:sectPr>
      </w:pPr>
    </w:p>
    <w:bookmarkStart w:id="191" w:name="page192"/>
    <w:bookmarkEnd w:id="191"/>
    <w:p>
      <w:pPr>
        <w:jc w:val="right"/>
        <w:spacing w:after="0"/>
        <w:rPr>
          <w:sz w:val="20"/>
          <w:szCs w:val="20"/>
          <w:color w:val="auto"/>
        </w:rPr>
      </w:pPr>
      <w:r>
        <w:rPr>
          <w:rFonts w:ascii="Arial" w:cs="Arial" w:eastAsia="Arial" w:hAnsi="Arial"/>
          <w:sz w:val="19"/>
          <w:szCs w:val="19"/>
          <w:b w:val="1"/>
          <w:bCs w:val="1"/>
          <w:u w:val="single" w:color="auto"/>
          <w:color w:val="auto"/>
        </w:rPr>
        <w:drawing>
          <wp:anchor simplePos="0" relativeHeight="251657728" behindDoc="1" locked="0" layoutInCell="0" allowOverlap="1">
            <wp:simplePos x="0" y="0"/>
            <wp:positionH relativeFrom="page">
              <wp:posOffset>200025</wp:posOffset>
            </wp:positionH>
            <wp:positionV relativeFrom="page">
              <wp:posOffset>88900</wp:posOffset>
            </wp:positionV>
            <wp:extent cx="7149465" cy="298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60">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194310</wp:posOffset>
            </wp:positionV>
            <wp:extent cx="7149465" cy="762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61">
                      <a:extLst>
                        <a:ext uri="{28A0092B-C50C-407E-A947-70E740481C1C}"/>
                      </a:extLst>
                    </a:blip>
                    <a:srcRect/>
                    <a:stretch>
                      <a:fillRect/>
                    </a:stretch>
                  </pic:blipFill>
                  <pic:spPr bwMode="auto">
                    <a:xfrm>
                      <a:off x="0" y="0"/>
                      <a:ext cx="7149465" cy="7620"/>
                    </a:xfrm>
                    <a:prstGeom prst="rect">
                      <a:avLst/>
                    </a:prstGeom>
                    <a:noFill/>
                  </pic:spPr>
                </pic:pic>
              </a:graphicData>
            </a:graphic>
          </wp:anchor>
        </w:drawing>
        <w:t>Exhibit 12.2</w:t>
      </w: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CERTIFICATION BY CHIEF FINANCIAL OFFICER PURSUANT TO SECTION 302</w:t>
      </w:r>
    </w:p>
    <w:p>
      <w:pPr>
        <w:spacing w:after="0" w:line="28" w:lineRule="exact"/>
        <w:rPr>
          <w:sz w:val="20"/>
          <w:szCs w:val="20"/>
          <w:color w:val="auto"/>
        </w:rPr>
      </w:pPr>
    </w:p>
    <w:p>
      <w:pPr>
        <w:jc w:val="center"/>
        <w:spacing w:after="0" w:line="219" w:lineRule="exact"/>
        <w:rPr>
          <w:sz w:val="20"/>
          <w:szCs w:val="20"/>
          <w:color w:val="auto"/>
        </w:rPr>
      </w:pPr>
      <w:r>
        <w:rPr>
          <w:rFonts w:ascii="Arial" w:cs="Arial" w:eastAsia="Arial" w:hAnsi="Arial"/>
          <w:sz w:val="19"/>
          <w:szCs w:val="19"/>
          <w:b w:val="1"/>
          <w:bCs w:val="1"/>
          <w:color w:val="auto"/>
        </w:rPr>
        <w:t>OF THE SARBANES</w:t>
      </w:r>
      <w:r>
        <w:rPr>
          <w:rFonts w:ascii="MS PGothic" w:cs="MS PGothic" w:eastAsia="MS PGothic" w:hAnsi="MS PGothic"/>
          <w:sz w:val="19"/>
          <w:szCs w:val="19"/>
          <w:b w:val="1"/>
          <w:bCs w:val="1"/>
          <w:color w:val="auto"/>
        </w:rPr>
        <w:t>‑</w:t>
      </w:r>
      <w:r>
        <w:rPr>
          <w:rFonts w:ascii="Arial" w:cs="Arial" w:eastAsia="Arial" w:hAnsi="Arial"/>
          <w:sz w:val="19"/>
          <w:szCs w:val="19"/>
          <w:b w:val="1"/>
          <w:bCs w:val="1"/>
          <w:color w:val="auto"/>
        </w:rPr>
        <w:t>OXLEY ACT OF 2002</w:t>
      </w:r>
    </w:p>
    <w:p>
      <w:pPr>
        <w:spacing w:after="0" w:line="251" w:lineRule="exact"/>
        <w:rPr>
          <w:sz w:val="20"/>
          <w:szCs w:val="20"/>
          <w:color w:val="auto"/>
        </w:rPr>
      </w:pPr>
    </w:p>
    <w:p>
      <w:pPr>
        <w:spacing w:after="0"/>
        <w:rPr>
          <w:sz w:val="20"/>
          <w:szCs w:val="20"/>
          <w:color w:val="auto"/>
        </w:rPr>
      </w:pPr>
      <w:r>
        <w:rPr>
          <w:rFonts w:ascii="Arial" w:cs="Arial" w:eastAsia="Arial" w:hAnsi="Arial"/>
          <w:sz w:val="19"/>
          <w:szCs w:val="19"/>
          <w:color w:val="auto"/>
        </w:rPr>
        <w:t>I, Gilad Mamlok, certify that:</w:t>
      </w:r>
    </w:p>
    <w:p>
      <w:pPr>
        <w:spacing w:after="0" w:line="249" w:lineRule="exact"/>
        <w:rPr>
          <w:sz w:val="20"/>
          <w:szCs w:val="20"/>
          <w:color w:val="auto"/>
        </w:rPr>
      </w:pPr>
    </w:p>
    <w:p>
      <w:pPr>
        <w:ind w:left="720" w:hanging="288"/>
        <w:spacing w:after="0"/>
        <w:tabs>
          <w:tab w:leader="none" w:pos="720" w:val="left"/>
        </w:tabs>
        <w:numPr>
          <w:ilvl w:val="0"/>
          <w:numId w:val="220"/>
        </w:numPr>
        <w:rPr>
          <w:rFonts w:ascii="Arial" w:cs="Arial" w:eastAsia="Arial" w:hAnsi="Arial"/>
          <w:sz w:val="16"/>
          <w:szCs w:val="16"/>
          <w:color w:val="auto"/>
        </w:rPr>
      </w:pPr>
      <w:r>
        <w:rPr>
          <w:rFonts w:ascii="Arial" w:cs="Arial" w:eastAsia="Arial" w:hAnsi="Arial"/>
          <w:sz w:val="16"/>
          <w:szCs w:val="16"/>
          <w:color w:val="auto"/>
        </w:rPr>
        <w:t>I have reviewed this annual report on Form 20-F of Sol-Gel Technologies Ltd.;</w:t>
      </w:r>
    </w:p>
    <w:p>
      <w:pPr>
        <w:spacing w:after="0" w:line="241" w:lineRule="exact"/>
        <w:rPr>
          <w:rFonts w:ascii="Arial" w:cs="Arial" w:eastAsia="Arial" w:hAnsi="Arial"/>
          <w:sz w:val="16"/>
          <w:szCs w:val="16"/>
          <w:color w:val="auto"/>
        </w:rPr>
      </w:pPr>
    </w:p>
    <w:p>
      <w:pPr>
        <w:ind w:left="720" w:right="20" w:hanging="288"/>
        <w:spacing w:after="0" w:line="302" w:lineRule="auto"/>
        <w:tabs>
          <w:tab w:leader="none" w:pos="720" w:val="left"/>
        </w:tabs>
        <w:numPr>
          <w:ilvl w:val="0"/>
          <w:numId w:val="220"/>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0" w:lineRule="exact"/>
        <w:rPr>
          <w:rFonts w:ascii="Arial" w:cs="Arial" w:eastAsia="Arial" w:hAnsi="Arial"/>
          <w:sz w:val="15"/>
          <w:szCs w:val="15"/>
          <w:color w:val="auto"/>
        </w:rPr>
      </w:pPr>
    </w:p>
    <w:p>
      <w:pPr>
        <w:ind w:left="720" w:hanging="288"/>
        <w:spacing w:after="0" w:line="268" w:lineRule="auto"/>
        <w:tabs>
          <w:tab w:leader="none" w:pos="720" w:val="left"/>
        </w:tabs>
        <w:numPr>
          <w:ilvl w:val="0"/>
          <w:numId w:val="22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04" w:lineRule="exact"/>
        <w:rPr>
          <w:rFonts w:ascii="Arial" w:cs="Arial" w:eastAsia="Arial" w:hAnsi="Arial"/>
          <w:sz w:val="16"/>
          <w:szCs w:val="16"/>
          <w:color w:val="auto"/>
        </w:rPr>
      </w:pPr>
    </w:p>
    <w:p>
      <w:pPr>
        <w:ind w:left="720" w:hanging="288"/>
        <w:spacing w:after="0"/>
        <w:tabs>
          <w:tab w:leader="none" w:pos="720" w:val="left"/>
        </w:tabs>
        <w:numPr>
          <w:ilvl w:val="0"/>
          <w:numId w:val="220"/>
        </w:numPr>
        <w:rPr>
          <w:rFonts w:ascii="Arial" w:cs="Arial" w:eastAsia="Arial" w:hAnsi="Arial"/>
          <w:sz w:val="14"/>
          <w:szCs w:val="14"/>
          <w:color w:val="auto"/>
        </w:rPr>
      </w:pPr>
      <w:r>
        <w:rPr>
          <w:rFonts w:ascii="Arial" w:cs="Arial" w:eastAsia="Arial" w:hAnsi="Arial"/>
          <w:sz w:val="14"/>
          <w:szCs w:val="14"/>
          <w:color w:val="auto"/>
        </w:rPr>
        <w:t>The company’s other certifying officer(s) and I are responsible for establishing and maintaining disclosure controls and procedures (as defined in Exchange Act Rules</w:t>
      </w:r>
    </w:p>
    <w:p>
      <w:pPr>
        <w:spacing w:after="0" w:line="39" w:lineRule="exact"/>
        <w:rPr>
          <w:rFonts w:ascii="Arial" w:cs="Arial" w:eastAsia="Arial" w:hAnsi="Arial"/>
          <w:sz w:val="14"/>
          <w:szCs w:val="14"/>
          <w:color w:val="auto"/>
        </w:rPr>
      </w:pPr>
    </w:p>
    <w:p>
      <w:pPr>
        <w:ind w:left="720"/>
        <w:spacing w:after="0"/>
        <w:rPr>
          <w:rFonts w:ascii="Arial" w:cs="Arial" w:eastAsia="Arial" w:hAnsi="Arial"/>
          <w:sz w:val="14"/>
          <w:szCs w:val="14"/>
          <w:color w:val="auto"/>
        </w:rPr>
      </w:pPr>
      <w:r>
        <w:rPr>
          <w:rFonts w:ascii="Arial" w:cs="Arial" w:eastAsia="Arial" w:hAnsi="Arial"/>
          <w:sz w:val="15"/>
          <w:szCs w:val="15"/>
          <w:color w:val="auto"/>
        </w:rPr>
        <w:t>13a-15(e) and 15d-15(e)) and internal control over financial reporting (as defined in Exchange Act Rules 13a-15(f) and 15d-15(f)) for the company and have:</w:t>
      </w:r>
    </w:p>
    <w:p>
      <w:pPr>
        <w:spacing w:after="0" w:line="242" w:lineRule="exact"/>
        <w:rPr>
          <w:rFonts w:ascii="Arial" w:cs="Arial" w:eastAsia="Arial" w:hAnsi="Arial"/>
          <w:sz w:val="14"/>
          <w:szCs w:val="14"/>
          <w:color w:val="auto"/>
        </w:rPr>
      </w:pPr>
    </w:p>
    <w:p>
      <w:pPr>
        <w:jc w:val="both"/>
        <w:ind w:left="1160" w:right="20" w:hanging="278"/>
        <w:spacing w:after="0" w:line="257" w:lineRule="auto"/>
        <w:tabs>
          <w:tab w:leader="none" w:pos="1160" w:val="left"/>
        </w:tabs>
        <w:numPr>
          <w:ilvl w:val="1"/>
          <w:numId w:val="220"/>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13" w:lineRule="exact"/>
        <w:rPr>
          <w:rFonts w:ascii="Arial" w:cs="Arial" w:eastAsia="Arial" w:hAnsi="Arial"/>
          <w:sz w:val="16"/>
          <w:szCs w:val="16"/>
          <w:color w:val="auto"/>
        </w:rPr>
      </w:pPr>
    </w:p>
    <w:p>
      <w:pPr>
        <w:jc w:val="both"/>
        <w:ind w:left="1160" w:hanging="278"/>
        <w:spacing w:after="0" w:line="257" w:lineRule="auto"/>
        <w:tabs>
          <w:tab w:leader="none" w:pos="1160" w:val="left"/>
        </w:tabs>
        <w:numPr>
          <w:ilvl w:val="1"/>
          <w:numId w:val="220"/>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13" w:lineRule="exact"/>
        <w:rPr>
          <w:rFonts w:ascii="Arial" w:cs="Arial" w:eastAsia="Arial" w:hAnsi="Arial"/>
          <w:sz w:val="16"/>
          <w:szCs w:val="16"/>
          <w:color w:val="auto"/>
        </w:rPr>
      </w:pPr>
    </w:p>
    <w:p>
      <w:pPr>
        <w:ind w:left="1160" w:hanging="278"/>
        <w:spacing w:after="0" w:line="268" w:lineRule="auto"/>
        <w:tabs>
          <w:tab w:leader="none" w:pos="1160" w:val="left"/>
        </w:tabs>
        <w:numPr>
          <w:ilvl w:val="1"/>
          <w:numId w:val="220"/>
        </w:numPr>
        <w:rPr>
          <w:rFonts w:ascii="Arial" w:cs="Arial" w:eastAsia="Arial" w:hAnsi="Arial"/>
          <w:sz w:val="16"/>
          <w:szCs w:val="16"/>
          <w:color w:val="auto"/>
        </w:rPr>
      </w:pPr>
      <w:r>
        <w:rPr>
          <w:rFonts w:ascii="Arial" w:cs="Arial" w:eastAsia="Arial" w:hAnsi="Arial"/>
          <w:sz w:val="16"/>
          <w:szCs w:val="16"/>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04" w:lineRule="exact"/>
        <w:rPr>
          <w:rFonts w:ascii="Arial" w:cs="Arial" w:eastAsia="Arial" w:hAnsi="Arial"/>
          <w:sz w:val="16"/>
          <w:szCs w:val="16"/>
          <w:color w:val="auto"/>
        </w:rPr>
      </w:pPr>
    </w:p>
    <w:p>
      <w:pPr>
        <w:ind w:left="1160" w:hanging="278"/>
        <w:spacing w:after="0" w:line="268" w:lineRule="auto"/>
        <w:tabs>
          <w:tab w:leader="none" w:pos="1160" w:val="left"/>
        </w:tabs>
        <w:numPr>
          <w:ilvl w:val="1"/>
          <w:numId w:val="220"/>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04" w:lineRule="exact"/>
        <w:rPr>
          <w:rFonts w:ascii="Arial" w:cs="Arial" w:eastAsia="Arial" w:hAnsi="Arial"/>
          <w:sz w:val="16"/>
          <w:szCs w:val="16"/>
          <w:color w:val="auto"/>
        </w:rPr>
      </w:pPr>
    </w:p>
    <w:p>
      <w:pPr>
        <w:ind w:left="720" w:right="20" w:hanging="288"/>
        <w:spacing w:after="0" w:line="268" w:lineRule="auto"/>
        <w:tabs>
          <w:tab w:leader="none" w:pos="720" w:val="left"/>
        </w:tabs>
        <w:numPr>
          <w:ilvl w:val="0"/>
          <w:numId w:val="220"/>
        </w:numPr>
        <w:rPr>
          <w:rFonts w:ascii="Arial" w:cs="Arial" w:eastAsia="Arial" w:hAnsi="Arial"/>
          <w:sz w:val="16"/>
          <w:szCs w:val="16"/>
          <w:color w:val="auto"/>
        </w:rPr>
      </w:pPr>
      <w:r>
        <w:rPr>
          <w:rFonts w:ascii="Arial" w:cs="Arial" w:eastAsia="Arial" w:hAnsi="Arial"/>
          <w:sz w:val="16"/>
          <w:szCs w:val="16"/>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04" w:lineRule="exact"/>
        <w:rPr>
          <w:rFonts w:ascii="Arial" w:cs="Arial" w:eastAsia="Arial" w:hAnsi="Arial"/>
          <w:sz w:val="16"/>
          <w:szCs w:val="16"/>
          <w:color w:val="auto"/>
        </w:rPr>
      </w:pPr>
    </w:p>
    <w:p>
      <w:pPr>
        <w:ind w:left="1280" w:hanging="280"/>
        <w:spacing w:after="0" w:line="268" w:lineRule="auto"/>
        <w:tabs>
          <w:tab w:leader="none" w:pos="1280" w:val="left"/>
        </w:tabs>
        <w:numPr>
          <w:ilvl w:val="2"/>
          <w:numId w:val="22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04" w:lineRule="exact"/>
        <w:rPr>
          <w:rFonts w:ascii="Arial" w:cs="Arial" w:eastAsia="Arial" w:hAnsi="Arial"/>
          <w:sz w:val="16"/>
          <w:szCs w:val="16"/>
          <w:color w:val="auto"/>
        </w:rPr>
      </w:pPr>
    </w:p>
    <w:p>
      <w:pPr>
        <w:ind w:left="1280" w:hanging="280"/>
        <w:spacing w:after="0" w:line="268" w:lineRule="auto"/>
        <w:tabs>
          <w:tab w:leader="none" w:pos="1280" w:val="left"/>
        </w:tabs>
        <w:numPr>
          <w:ilvl w:val="2"/>
          <w:numId w:val="220"/>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company’s internal control over financial reporting.</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color w:val="auto"/>
        </w:rPr>
        <w:t>Date: March 4, 2021</w:t>
      </w:r>
    </w:p>
    <w:p>
      <w:pPr>
        <w:spacing w:after="0" w:line="249" w:lineRule="exact"/>
        <w:rPr>
          <w:sz w:val="20"/>
          <w:szCs w:val="20"/>
          <w:color w:val="auto"/>
        </w:rPr>
      </w:pPr>
    </w:p>
    <w:p>
      <w:pPr>
        <w:spacing w:after="0"/>
        <w:rPr>
          <w:sz w:val="20"/>
          <w:szCs w:val="20"/>
          <w:color w:val="auto"/>
        </w:rPr>
      </w:pPr>
      <w:r>
        <w:rPr>
          <w:rFonts w:ascii="Arial" w:cs="Arial" w:eastAsia="Arial" w:hAnsi="Arial"/>
          <w:sz w:val="16"/>
          <w:szCs w:val="16"/>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11430</wp:posOffset>
            </wp:positionV>
            <wp:extent cx="1787525" cy="1524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62">
                      <a:extLst>
                        <a:ext uri="{28A0092B-C50C-407E-A947-70E740481C1C}"/>
                      </a:extLst>
                    </a:blip>
                    <a:srcRect/>
                    <a:stretch>
                      <a:fillRect/>
                    </a:stretch>
                  </pic:blipFill>
                  <pic:spPr bwMode="auto">
                    <a:xfrm>
                      <a:off x="0" y="0"/>
                      <a:ext cx="1787525" cy="15240"/>
                    </a:xfrm>
                    <a:prstGeom prst="rect">
                      <a:avLst/>
                    </a:prstGeom>
                    <a:noFill/>
                  </pic:spPr>
                </pic:pic>
              </a:graphicData>
            </a:graphic>
          </wp:anchor>
        </w:drawing>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Gilad Mamlok</w:t>
      </w:r>
    </w:p>
    <w:p>
      <w:pPr>
        <w:spacing w:after="0" w:line="16" w:lineRule="exact"/>
        <w:rPr>
          <w:sz w:val="20"/>
          <w:szCs w:val="20"/>
          <w:color w:val="auto"/>
        </w:rPr>
      </w:pPr>
    </w:p>
    <w:p>
      <w:pPr>
        <w:spacing w:after="0"/>
        <w:rPr>
          <w:sz w:val="20"/>
          <w:szCs w:val="20"/>
          <w:color w:val="auto"/>
        </w:rPr>
      </w:pPr>
      <w:r>
        <w:rPr>
          <w:rFonts w:ascii="Arial" w:cs="Arial" w:eastAsia="Arial" w:hAnsi="Arial"/>
          <w:sz w:val="16"/>
          <w:szCs w:val="16"/>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214630</wp:posOffset>
            </wp:positionV>
            <wp:extent cx="7149465" cy="762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63">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297180</wp:posOffset>
            </wp:positionV>
            <wp:extent cx="7149465" cy="298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64">
                      <a:extLst>
                        <a:ext uri="{28A0092B-C50C-407E-A947-70E740481C1C}"/>
                      </a:extLst>
                    </a:blip>
                    <a:srcRect/>
                    <a:stretch>
                      <a:fillRect/>
                    </a:stretch>
                  </pic:blipFill>
                  <pic:spPr bwMode="auto">
                    <a:xfrm>
                      <a:off x="0" y="0"/>
                      <a:ext cx="7149465" cy="29845"/>
                    </a:xfrm>
                    <a:prstGeom prst="rect">
                      <a:avLst/>
                    </a:prstGeom>
                    <a:noFill/>
                  </pic:spPr>
                </pic:pic>
              </a:graphicData>
            </a:graphic>
          </wp:anchor>
        </w:drawing>
      </w:r>
    </w:p>
    <w:p>
      <w:pPr>
        <w:sectPr>
          <w:pgSz w:w="11900" w:h="16838" w:orient="portrait"/>
          <w:cols w:equalWidth="0" w:num="1">
            <w:col w:w="11260"/>
          </w:cols>
          <w:pgMar w:left="320" w:top="398" w:right="319" w:bottom="1440" w:gutter="0" w:footer="0" w:header="0"/>
        </w:sectPr>
      </w:pPr>
    </w:p>
    <w:bookmarkStart w:id="192" w:name="page193"/>
    <w:bookmarkEnd w:id="192"/>
    <w:p>
      <w:pPr>
        <w:jc w:val="right"/>
        <w:spacing w:after="0"/>
        <w:rPr>
          <w:sz w:val="20"/>
          <w:szCs w:val="20"/>
          <w:color w:val="auto"/>
        </w:rPr>
      </w:pPr>
      <w:r>
        <w:rPr>
          <w:rFonts w:ascii="Arial" w:cs="Arial" w:eastAsia="Arial" w:hAnsi="Arial"/>
          <w:sz w:val="19"/>
          <w:szCs w:val="19"/>
          <w:b w:val="1"/>
          <w:bCs w:val="1"/>
          <w:u w:val="single" w:color="auto"/>
          <w:color w:val="auto"/>
        </w:rPr>
        <w:drawing>
          <wp:anchor simplePos="0" relativeHeight="251657728" behindDoc="1" locked="0" layoutInCell="0" allowOverlap="1">
            <wp:simplePos x="0" y="0"/>
            <wp:positionH relativeFrom="page">
              <wp:posOffset>200025</wp:posOffset>
            </wp:positionH>
            <wp:positionV relativeFrom="page">
              <wp:posOffset>88900</wp:posOffset>
            </wp:positionV>
            <wp:extent cx="7149465" cy="298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5">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193675</wp:posOffset>
            </wp:positionV>
            <wp:extent cx="7149465" cy="762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66">
                      <a:extLst>
                        <a:ext uri="{28A0092B-C50C-407E-A947-70E740481C1C}"/>
                      </a:extLst>
                    </a:blip>
                    <a:srcRect/>
                    <a:stretch>
                      <a:fillRect/>
                    </a:stretch>
                  </pic:blipFill>
                  <pic:spPr bwMode="auto">
                    <a:xfrm>
                      <a:off x="0" y="0"/>
                      <a:ext cx="7149465" cy="7620"/>
                    </a:xfrm>
                    <a:prstGeom prst="rect">
                      <a:avLst/>
                    </a:prstGeom>
                    <a:noFill/>
                  </pic:spPr>
                </pic:pic>
              </a:graphicData>
            </a:graphic>
          </wp:anchor>
        </w:drawing>
        <w:t>Exhibit 13</w:t>
      </w:r>
    </w:p>
    <w:p>
      <w:pPr>
        <w:spacing w:after="0" w:line="255" w:lineRule="exact"/>
        <w:rPr>
          <w:sz w:val="20"/>
          <w:szCs w:val="20"/>
          <w:color w:val="auto"/>
        </w:rPr>
      </w:pPr>
    </w:p>
    <w:p>
      <w:pPr>
        <w:ind w:left="2185"/>
        <w:spacing w:after="0"/>
        <w:rPr>
          <w:sz w:val="20"/>
          <w:szCs w:val="20"/>
          <w:color w:val="auto"/>
        </w:rPr>
      </w:pPr>
      <w:r>
        <w:rPr>
          <w:rFonts w:ascii="Arial" w:cs="Arial" w:eastAsia="Arial" w:hAnsi="Arial"/>
          <w:sz w:val="19"/>
          <w:szCs w:val="19"/>
          <w:b w:val="1"/>
          <w:bCs w:val="1"/>
          <w:color w:val="auto"/>
        </w:rPr>
        <w:t>CERTIFICATION BY CHIEF EXECUTIVE OFFICER AND CHIEF FINANCIAL</w:t>
      </w:r>
    </w:p>
    <w:p>
      <w:pPr>
        <w:spacing w:after="0" w:line="28" w:lineRule="exact"/>
        <w:rPr>
          <w:sz w:val="20"/>
          <w:szCs w:val="20"/>
          <w:color w:val="auto"/>
        </w:rPr>
      </w:pPr>
    </w:p>
    <w:p>
      <w:pPr>
        <w:ind w:left="2005"/>
        <w:spacing w:after="0"/>
        <w:rPr>
          <w:sz w:val="20"/>
          <w:szCs w:val="20"/>
          <w:color w:val="auto"/>
        </w:rPr>
      </w:pPr>
      <w:r>
        <w:rPr>
          <w:rFonts w:ascii="Arial" w:cs="Arial" w:eastAsia="Arial" w:hAnsi="Arial"/>
          <w:sz w:val="19"/>
          <w:szCs w:val="19"/>
          <w:b w:val="1"/>
          <w:bCs w:val="1"/>
          <w:color w:val="auto"/>
        </w:rPr>
        <w:t>OFFICER PURSUAN TO SECTION 906 OF THE SARBANES-OXLEY ACT OF 2002</w:t>
      </w:r>
    </w:p>
    <w:p>
      <w:pPr>
        <w:spacing w:after="0" w:line="251" w:lineRule="exact"/>
        <w:rPr>
          <w:sz w:val="20"/>
          <w:szCs w:val="20"/>
          <w:color w:val="auto"/>
        </w:rPr>
      </w:pPr>
    </w:p>
    <w:p>
      <w:pPr>
        <w:jc w:val="both"/>
        <w:ind w:left="5" w:right="120"/>
        <w:spacing w:after="0" w:line="293" w:lineRule="auto"/>
        <w:rPr>
          <w:sz w:val="20"/>
          <w:szCs w:val="20"/>
          <w:color w:val="auto"/>
        </w:rPr>
      </w:pPr>
      <w:r>
        <w:rPr>
          <w:rFonts w:ascii="Arial" w:cs="Arial" w:eastAsia="Arial" w:hAnsi="Arial"/>
          <w:sz w:val="18"/>
          <w:szCs w:val="18"/>
          <w:color w:val="auto"/>
        </w:rPr>
        <w:t>In connection with the Annual Report of Sol-Gel Technologies Ltd. (the “Company”) on Form 20-F for the period ended December 31, 2020 as filed with the Securities and Exchange Commission on the date hereof (the “Report”), each of the undersigned officers of the Company certifies, pursuant to 18 U.S.C. §1350, as adopted pursuant to §906 of the Sarbanes-Oxley Act of 2002, that to such officer's knowledge:</w:t>
      </w:r>
    </w:p>
    <w:p>
      <w:pPr>
        <w:spacing w:after="0" w:line="183" w:lineRule="exact"/>
        <w:rPr>
          <w:sz w:val="20"/>
          <w:szCs w:val="20"/>
          <w:color w:val="auto"/>
        </w:rPr>
      </w:pPr>
    </w:p>
    <w:p>
      <w:pPr>
        <w:ind w:left="565" w:hanging="565"/>
        <w:spacing w:after="0"/>
        <w:tabs>
          <w:tab w:leader="none" w:pos="565" w:val="left"/>
        </w:tabs>
        <w:numPr>
          <w:ilvl w:val="0"/>
          <w:numId w:val="221"/>
        </w:numPr>
        <w:rPr>
          <w:rFonts w:ascii="Arial" w:cs="Arial" w:eastAsia="Arial" w:hAnsi="Arial"/>
          <w:sz w:val="16"/>
          <w:szCs w:val="16"/>
          <w:color w:val="auto"/>
        </w:rPr>
      </w:pPr>
      <w:r>
        <w:rPr>
          <w:rFonts w:ascii="Arial" w:cs="Arial" w:eastAsia="Arial" w:hAnsi="Arial"/>
          <w:sz w:val="16"/>
          <w:szCs w:val="16"/>
          <w:color w:val="auto"/>
        </w:rPr>
        <w:t>The Report fully complies with the requirements of section 13(a) or 15(d) of the Securities Exchange Act of 1934; and</w:t>
      </w:r>
    </w:p>
    <w:p>
      <w:pPr>
        <w:spacing w:after="0" w:line="16" w:lineRule="exact"/>
        <w:rPr>
          <w:rFonts w:ascii="Arial" w:cs="Arial" w:eastAsia="Arial" w:hAnsi="Arial"/>
          <w:sz w:val="16"/>
          <w:szCs w:val="16"/>
          <w:color w:val="auto"/>
        </w:rPr>
      </w:pPr>
    </w:p>
    <w:p>
      <w:pPr>
        <w:ind w:left="565" w:hanging="565"/>
        <w:spacing w:after="0"/>
        <w:tabs>
          <w:tab w:leader="none" w:pos="565" w:val="left"/>
        </w:tabs>
        <w:numPr>
          <w:ilvl w:val="0"/>
          <w:numId w:val="22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36" w:lineRule="exact"/>
        <w:rPr>
          <w:sz w:val="20"/>
          <w:szCs w:val="20"/>
          <w:color w:val="auto"/>
        </w:rPr>
      </w:pPr>
    </w:p>
    <w:p>
      <w:pPr>
        <w:ind w:left="5"/>
        <w:spacing w:after="0"/>
        <w:rPr>
          <w:sz w:val="20"/>
          <w:szCs w:val="20"/>
          <w:color w:val="auto"/>
        </w:rPr>
      </w:pPr>
      <w:r>
        <w:rPr>
          <w:rFonts w:ascii="Arial" w:cs="Arial" w:eastAsia="Arial" w:hAnsi="Arial"/>
          <w:sz w:val="19"/>
          <w:szCs w:val="19"/>
          <w:color w:val="auto"/>
        </w:rPr>
        <w:t>Dated: March 4, 2021</w:t>
      </w:r>
    </w:p>
    <w:p>
      <w:pPr>
        <w:spacing w:after="0" w:line="249" w:lineRule="exact"/>
        <w:rPr>
          <w:sz w:val="20"/>
          <w:szCs w:val="20"/>
          <w:color w:val="auto"/>
        </w:rPr>
      </w:pPr>
    </w:p>
    <w:p>
      <w:pPr>
        <w:ind w:left="5"/>
        <w:spacing w:after="0"/>
        <w:rPr>
          <w:sz w:val="20"/>
          <w:szCs w:val="20"/>
          <w:color w:val="auto"/>
        </w:rPr>
      </w:pPr>
      <w:r>
        <w:rPr>
          <w:rFonts w:ascii="Arial" w:cs="Arial" w:eastAsia="Arial" w:hAnsi="Arial"/>
          <w:sz w:val="16"/>
          <w:szCs w:val="16"/>
          <w:color w:val="auto"/>
        </w:rPr>
        <w:t>/s/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11430</wp:posOffset>
            </wp:positionV>
            <wp:extent cx="3574415" cy="1524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7">
                      <a:extLst>
                        <a:ext uri="{28A0092B-C50C-407E-A947-70E740481C1C}"/>
                      </a:extLst>
                    </a:blip>
                    <a:srcRect/>
                    <a:stretch>
                      <a:fillRect/>
                    </a:stretch>
                  </pic:blipFill>
                  <pic:spPr bwMode="auto">
                    <a:xfrm>
                      <a:off x="0" y="0"/>
                      <a:ext cx="3574415" cy="15240"/>
                    </a:xfrm>
                    <a:prstGeom prst="rect">
                      <a:avLst/>
                    </a:prstGeom>
                    <a:noFill/>
                  </pic:spPr>
                </pic:pic>
              </a:graphicData>
            </a:graphic>
          </wp:anchor>
        </w:drawing>
      </w:r>
    </w:p>
    <w:p>
      <w:pPr>
        <w:spacing w:after="0" w:line="9" w:lineRule="exact"/>
        <w:rPr>
          <w:sz w:val="20"/>
          <w:szCs w:val="20"/>
          <w:color w:val="auto"/>
        </w:rPr>
      </w:pPr>
    </w:p>
    <w:p>
      <w:pPr>
        <w:ind w:left="5"/>
        <w:spacing w:after="0"/>
        <w:rPr>
          <w:sz w:val="20"/>
          <w:szCs w:val="20"/>
          <w:color w:val="auto"/>
        </w:rPr>
      </w:pPr>
      <w:r>
        <w:rPr>
          <w:rFonts w:ascii="Arial" w:cs="Arial" w:eastAsia="Arial" w:hAnsi="Arial"/>
          <w:sz w:val="16"/>
          <w:szCs w:val="16"/>
          <w:color w:val="auto"/>
        </w:rPr>
        <w:t>Alon Seri-Levy</w:t>
      </w:r>
    </w:p>
    <w:p>
      <w:pPr>
        <w:spacing w:after="0" w:line="16" w:lineRule="exact"/>
        <w:rPr>
          <w:sz w:val="20"/>
          <w:szCs w:val="20"/>
          <w:color w:val="auto"/>
        </w:rPr>
      </w:pPr>
    </w:p>
    <w:p>
      <w:pPr>
        <w:ind w:left="5"/>
        <w:spacing w:after="0"/>
        <w:rPr>
          <w:sz w:val="20"/>
          <w:szCs w:val="20"/>
          <w:color w:val="auto"/>
        </w:rPr>
      </w:pPr>
      <w:r>
        <w:rPr>
          <w:rFonts w:ascii="Arial" w:cs="Arial" w:eastAsia="Arial" w:hAnsi="Arial"/>
          <w:sz w:val="16"/>
          <w:szCs w:val="16"/>
          <w:color w:val="auto"/>
        </w:rPr>
        <w:t>Chief Executive Officer</w:t>
      </w:r>
    </w:p>
    <w:p>
      <w:pPr>
        <w:spacing w:after="0" w:line="183" w:lineRule="exact"/>
        <w:rPr>
          <w:sz w:val="20"/>
          <w:szCs w:val="20"/>
          <w:color w:val="auto"/>
        </w:rPr>
      </w:pPr>
    </w:p>
    <w:p>
      <w:pPr>
        <w:ind w:left="5"/>
        <w:spacing w:after="0"/>
        <w:rPr>
          <w:sz w:val="20"/>
          <w:szCs w:val="20"/>
          <w:color w:val="auto"/>
        </w:rPr>
      </w:pPr>
      <w:r>
        <w:rPr>
          <w:rFonts w:ascii="Arial" w:cs="Arial" w:eastAsia="Arial" w:hAnsi="Arial"/>
          <w:sz w:val="16"/>
          <w:szCs w:val="16"/>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11430</wp:posOffset>
            </wp:positionV>
            <wp:extent cx="3574415" cy="1524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8">
                      <a:extLst>
                        <a:ext uri="{28A0092B-C50C-407E-A947-70E740481C1C}"/>
                      </a:extLst>
                    </a:blip>
                    <a:srcRect/>
                    <a:stretch>
                      <a:fillRect/>
                    </a:stretch>
                  </pic:blipFill>
                  <pic:spPr bwMode="auto">
                    <a:xfrm>
                      <a:off x="0" y="0"/>
                      <a:ext cx="3574415" cy="15240"/>
                    </a:xfrm>
                    <a:prstGeom prst="rect">
                      <a:avLst/>
                    </a:prstGeom>
                    <a:noFill/>
                  </pic:spPr>
                </pic:pic>
              </a:graphicData>
            </a:graphic>
          </wp:anchor>
        </w:drawing>
      </w:r>
    </w:p>
    <w:p>
      <w:pPr>
        <w:spacing w:after="0" w:line="9" w:lineRule="exact"/>
        <w:rPr>
          <w:sz w:val="20"/>
          <w:szCs w:val="20"/>
          <w:color w:val="auto"/>
        </w:rPr>
      </w:pPr>
    </w:p>
    <w:p>
      <w:pPr>
        <w:ind w:left="5"/>
        <w:spacing w:after="0"/>
        <w:rPr>
          <w:sz w:val="20"/>
          <w:szCs w:val="20"/>
          <w:color w:val="auto"/>
        </w:rPr>
      </w:pPr>
      <w:r>
        <w:rPr>
          <w:rFonts w:ascii="Arial" w:cs="Arial" w:eastAsia="Arial" w:hAnsi="Arial"/>
          <w:sz w:val="16"/>
          <w:szCs w:val="16"/>
          <w:color w:val="auto"/>
        </w:rPr>
        <w:t>Gilad Mamlok</w:t>
      </w:r>
    </w:p>
    <w:p>
      <w:pPr>
        <w:spacing w:after="0" w:line="16" w:lineRule="exact"/>
        <w:rPr>
          <w:sz w:val="20"/>
          <w:szCs w:val="20"/>
          <w:color w:val="auto"/>
        </w:rPr>
      </w:pPr>
    </w:p>
    <w:p>
      <w:pPr>
        <w:ind w:left="5"/>
        <w:spacing w:after="0"/>
        <w:rPr>
          <w:sz w:val="20"/>
          <w:szCs w:val="20"/>
          <w:color w:val="auto"/>
        </w:rPr>
      </w:pPr>
      <w:r>
        <w:rPr>
          <w:rFonts w:ascii="Arial" w:cs="Arial" w:eastAsia="Arial" w:hAnsi="Arial"/>
          <w:sz w:val="16"/>
          <w:szCs w:val="16"/>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199390</wp:posOffset>
            </wp:positionV>
            <wp:extent cx="7149465" cy="762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9">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281940</wp:posOffset>
            </wp:positionV>
            <wp:extent cx="7149465" cy="298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70">
                      <a:extLst>
                        <a:ext uri="{28A0092B-C50C-407E-A947-70E740481C1C}"/>
                      </a:extLst>
                    </a:blip>
                    <a:srcRect/>
                    <a:stretch>
                      <a:fillRect/>
                    </a:stretch>
                  </pic:blipFill>
                  <pic:spPr bwMode="auto">
                    <a:xfrm>
                      <a:off x="0" y="0"/>
                      <a:ext cx="7149465" cy="29845"/>
                    </a:xfrm>
                    <a:prstGeom prst="rect">
                      <a:avLst/>
                    </a:prstGeom>
                    <a:noFill/>
                  </pic:spPr>
                </pic:pic>
              </a:graphicData>
            </a:graphic>
          </wp:anchor>
        </w:drawing>
      </w:r>
    </w:p>
    <w:p>
      <w:pPr>
        <w:sectPr>
          <w:pgSz w:w="11900" w:h="16838" w:orient="portrait"/>
          <w:cols w:equalWidth="0" w:num="1">
            <w:col w:w="11265"/>
          </w:cols>
          <w:pgMar w:left="315" w:top="398" w:right="319" w:bottom="1440" w:gutter="0" w:footer="0" w:header="0"/>
        </w:sectPr>
      </w:pPr>
    </w:p>
    <w:bookmarkStart w:id="193" w:name="page194"/>
    <w:bookmarkEnd w:id="193"/>
    <w:p>
      <w:pPr>
        <w:jc w:val="right"/>
        <w:spacing w:after="0"/>
        <w:rPr>
          <w:sz w:val="20"/>
          <w:szCs w:val="20"/>
          <w:color w:val="auto"/>
        </w:rPr>
      </w:pPr>
      <w:r>
        <w:rPr>
          <w:rFonts w:ascii="Arial" w:cs="Arial" w:eastAsia="Arial" w:hAnsi="Arial"/>
          <w:sz w:val="19"/>
          <w:szCs w:val="19"/>
          <w:b w:val="1"/>
          <w:bCs w:val="1"/>
          <w:u w:val="single" w:color="auto"/>
          <w:color w:val="auto"/>
        </w:rPr>
        <w:drawing>
          <wp:anchor simplePos="0" relativeHeight="251657728" behindDoc="1" locked="0" layoutInCell="0" allowOverlap="1">
            <wp:simplePos x="0" y="0"/>
            <wp:positionH relativeFrom="page">
              <wp:posOffset>200025</wp:posOffset>
            </wp:positionH>
            <wp:positionV relativeFrom="page">
              <wp:posOffset>88900</wp:posOffset>
            </wp:positionV>
            <wp:extent cx="7149465" cy="298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71">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194310</wp:posOffset>
            </wp:positionV>
            <wp:extent cx="7149465" cy="762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72">
                      <a:extLst>
                        <a:ext uri="{28A0092B-C50C-407E-A947-70E740481C1C}"/>
                      </a:extLst>
                    </a:blip>
                    <a:srcRect/>
                    <a:stretch>
                      <a:fillRect/>
                    </a:stretch>
                  </pic:blipFill>
                  <pic:spPr bwMode="auto">
                    <a:xfrm>
                      <a:off x="0" y="0"/>
                      <a:ext cx="7149465" cy="7620"/>
                    </a:xfrm>
                    <a:prstGeom prst="rect">
                      <a:avLst/>
                    </a:prstGeom>
                    <a:noFill/>
                  </pic:spPr>
                </pic:pic>
              </a:graphicData>
            </a:graphic>
          </wp:anchor>
        </w:drawing>
        <w:t>Exhibit 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154940</wp:posOffset>
            </wp:positionV>
            <wp:extent cx="1141730" cy="96901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3">
                      <a:extLst>
                        <a:ext uri="{28A0092B-C50C-407E-A947-70E740481C1C}"/>
                      </a:extLst>
                    </a:blip>
                    <a:srcRect/>
                    <a:stretch>
                      <a:fillRect/>
                    </a:stretch>
                  </pic:blipFill>
                  <pic:spPr bwMode="auto">
                    <a:xfrm>
                      <a:off x="0" y="0"/>
                      <a:ext cx="1141730" cy="969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CONSENT OF INDEPENDENT REGISTERED PUBLIC ACCOUNTING FIRM</w:t>
      </w:r>
    </w:p>
    <w:p>
      <w:pPr>
        <w:spacing w:after="0" w:line="261" w:lineRule="exact"/>
        <w:rPr>
          <w:sz w:val="20"/>
          <w:szCs w:val="20"/>
          <w:color w:val="auto"/>
        </w:rPr>
      </w:pPr>
    </w:p>
    <w:p>
      <w:pPr>
        <w:ind w:right="60"/>
        <w:spacing w:after="0" w:line="345" w:lineRule="auto"/>
        <w:rPr>
          <w:sz w:val="20"/>
          <w:szCs w:val="20"/>
          <w:color w:val="auto"/>
        </w:rPr>
      </w:pPr>
      <w:r>
        <w:rPr>
          <w:rFonts w:ascii="Arial" w:cs="Arial" w:eastAsia="Arial" w:hAnsi="Arial"/>
          <w:sz w:val="17"/>
          <w:szCs w:val="17"/>
          <w:color w:val="auto"/>
        </w:rPr>
        <w:t>We hereby consent to the incorporation by reference in the Registration Statements on Form S-8 (No. 333-223915) and Form F-3 (No. 333-230564) of Sol-Gel Technologies Ltd. of our report dated March 4, 2021 relating to the financial statements, which appears in this Form 20-F.</w:t>
      </w:r>
    </w:p>
    <w:p>
      <w:pPr>
        <w:sectPr>
          <w:pgSz w:w="11900" w:h="16838" w:orient="portrait"/>
          <w:cols w:equalWidth="0" w:num="1">
            <w:col w:w="11260"/>
          </w:cols>
          <w:pgMar w:left="320" w:top="398" w:right="319" w:bottom="1440" w:gutter="0" w:footer="0" w:header="0"/>
        </w:sectPr>
      </w:pP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Tel-Aviv, Israel</w:t>
      </w:r>
    </w:p>
    <w:p>
      <w:pPr>
        <w:spacing w:after="0" w:line="39" w:lineRule="exact"/>
        <w:rPr>
          <w:sz w:val="20"/>
          <w:szCs w:val="20"/>
          <w:color w:val="auto"/>
        </w:rPr>
      </w:pPr>
    </w:p>
    <w:p>
      <w:pPr>
        <w:spacing w:after="0"/>
        <w:rPr>
          <w:sz w:val="20"/>
          <w:szCs w:val="20"/>
          <w:color w:val="auto"/>
        </w:rPr>
      </w:pPr>
      <w:r>
        <w:rPr>
          <w:rFonts w:ascii="Arial" w:cs="Arial" w:eastAsia="Arial" w:hAnsi="Arial"/>
          <w:sz w:val="15"/>
          <w:szCs w:val="15"/>
          <w:color w:val="auto"/>
        </w:rPr>
        <w:t>March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281940</wp:posOffset>
            </wp:positionV>
            <wp:extent cx="1389380" cy="1524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74">
                      <a:extLst>
                        <a:ext uri="{28A0092B-C50C-407E-A947-70E740481C1C}"/>
                      </a:extLst>
                    </a:blip>
                    <a:srcRect/>
                    <a:stretch>
                      <a:fillRect/>
                    </a:stretch>
                  </pic:blipFill>
                  <pic:spPr bwMode="auto">
                    <a:xfrm>
                      <a:off x="0" y="0"/>
                      <a:ext cx="1389380" cy="1524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304165</wp:posOffset>
            </wp:positionV>
            <wp:extent cx="15240" cy="1524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75">
                      <a:extLst>
                        <a:ext uri="{28A0092B-C50C-407E-A947-70E740481C1C}"/>
                      </a:extLst>
                    </a:blip>
                    <a:srcRect/>
                    <a:stretch>
                      <a:fillRect/>
                    </a:stretch>
                  </pic:blipFill>
                  <pic:spPr bwMode="auto">
                    <a:xfrm>
                      <a:off x="0" y="0"/>
                      <a:ext cx="15240" cy="152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22" w:lineRule="exact"/>
        <w:rPr>
          <w:sz w:val="20"/>
          <w:szCs w:val="20"/>
          <w:color w:val="auto"/>
        </w:rPr>
      </w:pPr>
    </w:p>
    <w:p>
      <w:pPr>
        <w:spacing w:after="0"/>
        <w:rPr>
          <w:sz w:val="20"/>
          <w:szCs w:val="20"/>
          <w:color w:val="auto"/>
        </w:rPr>
      </w:pPr>
      <w:r>
        <w:rPr>
          <w:rFonts w:ascii="Arial" w:cs="Arial" w:eastAsia="Arial" w:hAnsi="Arial"/>
          <w:sz w:val="16"/>
          <w:szCs w:val="16"/>
          <w:color w:val="auto"/>
        </w:rPr>
        <w:t>/s/Kesselman &amp; Kesselman</w:t>
      </w:r>
    </w:p>
    <w:p>
      <w:pPr>
        <w:spacing w:after="0" w:line="16" w:lineRule="exact"/>
        <w:rPr>
          <w:sz w:val="20"/>
          <w:szCs w:val="20"/>
          <w:color w:val="auto"/>
        </w:rPr>
      </w:pPr>
    </w:p>
    <w:p>
      <w:pPr>
        <w:spacing w:after="0"/>
        <w:rPr>
          <w:sz w:val="20"/>
          <w:szCs w:val="20"/>
          <w:color w:val="auto"/>
        </w:rPr>
      </w:pPr>
      <w:r>
        <w:rPr>
          <w:rFonts w:ascii="Arial" w:cs="Arial" w:eastAsia="Arial" w:hAnsi="Arial"/>
          <w:sz w:val="16"/>
          <w:szCs w:val="16"/>
          <w:color w:val="auto"/>
        </w:rPr>
        <w:t>Certified Public Accountants (Isr.)</w:t>
      </w:r>
    </w:p>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A member firm of PricewaterhouseCoopers International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-744855</wp:posOffset>
            </wp:positionH>
            <wp:positionV relativeFrom="paragraph">
              <wp:posOffset>168910</wp:posOffset>
            </wp:positionV>
            <wp:extent cx="5744845" cy="1524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76">
                      <a:extLst>
                        <a:ext uri="{28A0092B-C50C-407E-A947-70E740481C1C}"/>
                      </a:extLst>
                    </a:blip>
                    <a:srcRect/>
                    <a:stretch>
                      <a:fillRect/>
                    </a:stretch>
                  </pic:blipFill>
                  <pic:spPr bwMode="auto">
                    <a:xfrm>
                      <a:off x="0" y="0"/>
                      <a:ext cx="5744845" cy="1524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660" w:space="720"/>
            <w:col w:w="7880"/>
          </w:cols>
          <w:pgMar w:left="320" w:top="398" w:right="319" w:bottom="1440" w:gutter="0" w:footer="0" w:header="0"/>
          <w:type w:val="continuous"/>
        </w:sectPr>
      </w:pPr>
    </w:p>
    <w:p>
      <w:pPr>
        <w:spacing w:after="0" w:line="113" w:lineRule="exact"/>
        <w:rPr>
          <w:sz w:val="20"/>
          <w:szCs w:val="20"/>
          <w:color w:val="auto"/>
        </w:rPr>
      </w:pPr>
    </w:p>
    <w:p>
      <w:pPr>
        <w:spacing w:after="0"/>
        <w:rPr>
          <w:sz w:val="20"/>
          <w:szCs w:val="20"/>
          <w:color w:val="auto"/>
        </w:rPr>
      </w:pPr>
      <w:r>
        <w:rPr>
          <w:sz w:val="1"/>
          <w:szCs w:val="1"/>
          <w:color w:val="auto"/>
        </w:rPr>
        <w:drawing>
          <wp:inline distT="0" distB="0" distL="0" distR="0">
            <wp:extent cx="15240" cy="7493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7">
                      <a:extLst>
                        <a:ext uri="{28A0092B-C50C-407E-A947-70E740481C1C}"/>
                      </a:extLst>
                    </a:blip>
                    <a:srcRect/>
                    <a:stretch>
                      <a:fillRect/>
                    </a:stretch>
                  </pic:blipFill>
                  <pic:spPr bwMode="auto">
                    <a:xfrm>
                      <a:off x="0" y="0"/>
                      <a:ext cx="15240" cy="74930"/>
                    </a:xfrm>
                    <a:prstGeom prst="rect">
                      <a:avLst/>
                    </a:prstGeom>
                    <a:noFill/>
                    <a:ln>
                      <a:noFill/>
                    </a:ln>
                  </pic:spPr>
                </pic:pic>
              </a:graphicData>
            </a:graphic>
          </wp:inline>
        </w:drawing>
      </w:r>
      <w:r>
        <w:rPr>
          <w:rFonts w:ascii="Arial" w:cs="Arial" w:eastAsia="Arial" w:hAnsi="Arial"/>
          <w:sz w:val="16"/>
          <w:szCs w:val="16"/>
          <w:i w:val="1"/>
          <w:iCs w:val="1"/>
          <w:color w:val="auto"/>
        </w:rPr>
        <w:t xml:space="preserve"> Kesselman &amp; Kesselman, Derech Menachem Begin 146, Tel-Aviv 6492103, Israel,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19050</wp:posOffset>
            </wp:positionV>
            <wp:extent cx="15240" cy="1524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8">
                      <a:extLst>
                        <a:ext uri="{28A0092B-C50C-407E-A947-70E740481C1C}"/>
                      </a:extLst>
                    </a:blip>
                    <a:srcRect/>
                    <a:stretch>
                      <a:fillRect/>
                    </a:stretch>
                  </pic:blipFill>
                  <pic:spPr bwMode="auto">
                    <a:xfrm>
                      <a:off x="0" y="0"/>
                      <a:ext cx="15240" cy="1524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-3175</wp:posOffset>
            </wp:positionV>
            <wp:extent cx="15240" cy="1524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9">
                      <a:extLst>
                        <a:ext uri="{28A0092B-C50C-407E-A947-70E740481C1C}"/>
                      </a:extLst>
                    </a:blip>
                    <a:srcRect/>
                    <a:stretch>
                      <a:fillRect/>
                    </a:stretch>
                  </pic:blipFill>
                  <pic:spPr bwMode="auto">
                    <a:xfrm>
                      <a:off x="0" y="0"/>
                      <a:ext cx="15240" cy="15240"/>
                    </a:xfrm>
                    <a:prstGeom prst="rect">
                      <a:avLst/>
                    </a:prstGeom>
                    <a:noFill/>
                  </pic:spPr>
                </pic:pic>
              </a:graphicData>
            </a:graphic>
          </wp:anchor>
        </w:drawing>
      </w:r>
    </w:p>
    <w:p>
      <w:pPr>
        <w:spacing w:after="0" w:line="56" w:lineRule="exact"/>
        <w:rPr>
          <w:sz w:val="20"/>
          <w:szCs w:val="20"/>
          <w:color w:val="auto"/>
        </w:rPr>
      </w:pPr>
    </w:p>
    <w:p>
      <w:pPr>
        <w:ind w:left="40"/>
        <w:spacing w:after="0"/>
        <w:rPr>
          <w:sz w:val="20"/>
          <w:szCs w:val="20"/>
          <w:color w:val="auto"/>
        </w:rPr>
      </w:pPr>
      <w:r>
        <w:rPr>
          <w:rFonts w:ascii="Arial" w:cs="Arial" w:eastAsia="Arial" w:hAnsi="Arial"/>
          <w:sz w:val="14"/>
          <w:szCs w:val="14"/>
          <w:i w:val="1"/>
          <w:iCs w:val="1"/>
          <w:color w:val="auto"/>
        </w:rPr>
        <w:t>P.O Box 7187 Tel-Aviv 6107120, Telephone: +972 -3- 7954555, Fax:+972 -3- 7954556, www.pwc.com/il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258445</wp:posOffset>
            </wp:positionV>
            <wp:extent cx="7149465" cy="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80">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340995</wp:posOffset>
            </wp:positionV>
            <wp:extent cx="7149465" cy="298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81">
                      <a:extLst>
                        <a:ext uri="{28A0092B-C50C-407E-A947-70E740481C1C}"/>
                      </a:extLst>
                    </a:blip>
                    <a:srcRect/>
                    <a:stretch>
                      <a:fillRect/>
                    </a:stretch>
                  </pic:blipFill>
                  <pic:spPr bwMode="auto">
                    <a:xfrm>
                      <a:off x="0" y="0"/>
                      <a:ext cx="7149465" cy="29845"/>
                    </a:xfrm>
                    <a:prstGeom prst="rect">
                      <a:avLst/>
                    </a:prstGeom>
                    <a:noFill/>
                  </pic:spPr>
                </pic:pic>
              </a:graphicData>
            </a:graphic>
          </wp:anchor>
        </w:drawing>
      </w:r>
    </w:p>
    <w:sectPr>
      <w:pgSz w:w="11900" w:h="16838" w:orient="portrait"/>
      <w:cols w:equalWidth="0" w:num="1">
        <w:col w:w="11260"/>
      </w:cols>
      <w:pgMar w:left="320" w:top="398" w:right="3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3584BCB"/>
    <w:multiLevelType w:val="hybridMultilevel"/>
    <w:lvl w:ilvl="0">
      <w:lvlJc w:val="left"/>
      <w:lvlText w:val="☐"/>
      <w:numFmt w:val="bullet"/>
      <w:start w:val="1"/>
    </w:lvl>
  </w:abstractNum>
  <w:abstractNum w:abstractNumId="1">
    <w:nsid w:val="415E286C"/>
    <w:multiLevelType w:val="hybridMultilevel"/>
    <w:lvl w:ilvl="0">
      <w:lvlJc w:val="left"/>
      <w:lvlText w:val="☒"/>
      <w:numFmt w:val="bullet"/>
      <w:start w:val="1"/>
    </w:lvl>
  </w:abstractNum>
  <w:abstractNum w:abstractNumId="2">
    <w:nsid w:val="7C58FD05"/>
    <w:multiLevelType w:val="hybridMultilevel"/>
    <w:lvl w:ilvl="0">
      <w:lvlJc w:val="left"/>
      <w:lvlText w:val="☐"/>
      <w:numFmt w:val="bullet"/>
      <w:start w:val="1"/>
    </w:lvl>
  </w:abstractNum>
  <w:abstractNum w:abstractNumId="3">
    <w:nsid w:val="23D86AAC"/>
    <w:multiLevelType w:val="hybridMultilevel"/>
    <w:lvl w:ilvl="0">
      <w:lvlJc w:val="left"/>
      <w:lvlText w:val="☐"/>
      <w:numFmt w:val="bullet"/>
      <w:start w:val="1"/>
    </w:lvl>
  </w:abstractNum>
  <w:abstractNum w:abstractNumId="4">
    <w:nsid w:val="45E6D486"/>
    <w:multiLevelType w:val="hybridMultilevel"/>
    <w:lvl w:ilvl="0">
      <w:lvlJc w:val="left"/>
      <w:lvlText w:val="•"/>
      <w:numFmt w:val="bullet"/>
      <w:start w:val="1"/>
    </w:lvl>
  </w:abstractNum>
  <w:abstractNum w:abstractNumId="5">
    <w:nsid w:val="5C10FE21"/>
    <w:multiLevelType w:val="hybridMultilevel"/>
    <w:lvl w:ilvl="0">
      <w:lvlJc w:val="left"/>
      <w:lvlText w:val="%1."/>
      <w:numFmt w:val="upperLetter"/>
      <w:start w:val="1"/>
    </w:lvl>
  </w:abstractNum>
  <w:abstractNum w:abstractNumId="6">
    <w:nsid w:val="E7FFA2B"/>
    <w:multiLevelType w:val="hybridMultilevel"/>
    <w:lvl w:ilvl="0">
      <w:lvlJc w:val="left"/>
      <w:lvlText w:val="*"/>
      <w:numFmt w:val="bullet"/>
      <w:start w:val="1"/>
    </w:lvl>
  </w:abstractNum>
  <w:abstractNum w:abstractNumId="7">
    <w:nsid w:val="3C5991AA"/>
    <w:multiLevelType w:val="hybridMultilevel"/>
    <w:lvl w:ilvl="0">
      <w:lvlJc w:val="left"/>
      <w:lvlText w:val="%1."/>
      <w:numFmt w:val="upperLetter"/>
      <w:start w:val="2"/>
    </w:lvl>
  </w:abstractNum>
  <w:abstractNum w:abstractNumId="8">
    <w:nsid w:val="4BD8591A"/>
    <w:multiLevelType w:val="hybridMultilevel"/>
    <w:lvl w:ilvl="0">
      <w:lvlJc w:val="left"/>
      <w:lvlText w:val="%1."/>
      <w:numFmt w:val="upperLetter"/>
      <w:start w:val="4"/>
    </w:lvl>
  </w:abstractNum>
  <w:abstractNum w:abstractNumId="9">
    <w:nsid w:val="78DF6A55"/>
    <w:multiLevelType w:val="hybridMultilevel"/>
    <w:lvl w:ilvl="0">
      <w:lvlJc w:val="left"/>
      <w:lvlText w:val="•"/>
      <w:numFmt w:val="bullet"/>
      <w:start w:val="1"/>
    </w:lvl>
  </w:abstractNum>
  <w:abstractNum w:abstractNumId="10">
    <w:nsid w:val="39B7AAA2"/>
    <w:multiLevelType w:val="hybridMultilevel"/>
    <w:lvl w:ilvl="0">
      <w:lvlJc w:val="left"/>
      <w:lvlText w:val="•"/>
      <w:numFmt w:val="bullet"/>
      <w:start w:val="1"/>
    </w:lvl>
  </w:abstractNum>
  <w:abstractNum w:abstractNumId="11">
    <w:nsid w:val="2B0D8DBE"/>
    <w:multiLevelType w:val="hybridMultilevel"/>
    <w:lvl w:ilvl="0">
      <w:lvlJc w:val="left"/>
      <w:lvlText w:val="•"/>
      <w:numFmt w:val="bullet"/>
      <w:start w:val="1"/>
    </w:lvl>
  </w:abstractNum>
  <w:abstractNum w:abstractNumId="12">
    <w:nsid w:val="6C80EC70"/>
    <w:multiLevelType w:val="hybridMultilevel"/>
    <w:lvl w:ilvl="0">
      <w:lvlJc w:val="left"/>
      <w:lvlText w:val="•"/>
      <w:numFmt w:val="bullet"/>
      <w:start w:val="1"/>
    </w:lvl>
  </w:abstractNum>
  <w:abstractNum w:abstractNumId="13">
    <w:nsid w:val="379E21B5"/>
    <w:multiLevelType w:val="hybridMultilevel"/>
    <w:lvl w:ilvl="0">
      <w:lvlJc w:val="left"/>
      <w:lvlText w:val="•"/>
      <w:numFmt w:val="bullet"/>
      <w:start w:val="1"/>
    </w:lvl>
  </w:abstractNum>
  <w:abstractNum w:abstractNumId="14">
    <w:nsid w:val="69E373"/>
    <w:multiLevelType w:val="hybridMultilevel"/>
    <w:lvl w:ilvl="0">
      <w:lvlJc w:val="left"/>
      <w:lvlText w:val="•"/>
      <w:numFmt w:val="bullet"/>
      <w:start w:val="1"/>
    </w:lvl>
  </w:abstractNum>
  <w:abstractNum w:abstractNumId="15">
    <w:nsid w:val="2C27173B"/>
    <w:multiLevelType w:val="hybridMultilevel"/>
    <w:lvl w:ilvl="0">
      <w:lvlJc w:val="left"/>
      <w:lvlText w:val="•"/>
      <w:numFmt w:val="bullet"/>
      <w:start w:val="1"/>
    </w:lvl>
  </w:abstractNum>
  <w:abstractNum w:abstractNumId="16">
    <w:nsid w:val="4C9B0904"/>
    <w:multiLevelType w:val="hybridMultilevel"/>
    <w:lvl w:ilvl="0">
      <w:lvlJc w:val="left"/>
      <w:lvlText w:val="•"/>
      <w:numFmt w:val="bullet"/>
      <w:start w:val="1"/>
    </w:lvl>
  </w:abstractNum>
  <w:abstractNum w:abstractNumId="17">
    <w:nsid w:val="6AA7B75C"/>
    <w:multiLevelType w:val="hybridMultilevel"/>
    <w:lvl w:ilvl="0">
      <w:lvlJc w:val="left"/>
      <w:lvlText w:val="•"/>
      <w:numFmt w:val="bullet"/>
      <w:start w:val="1"/>
    </w:lvl>
  </w:abstractNum>
  <w:abstractNum w:abstractNumId="18">
    <w:nsid w:val="1DF029D3"/>
    <w:multiLevelType w:val="hybridMultilevel"/>
    <w:lvl w:ilvl="0">
      <w:lvlJc w:val="left"/>
      <w:lvlText w:val="•"/>
      <w:numFmt w:val="bullet"/>
      <w:start w:val="1"/>
    </w:lvl>
  </w:abstractNum>
  <w:abstractNum w:abstractNumId="19">
    <w:nsid w:val="5675FF36"/>
    <w:multiLevelType w:val="hybridMultilevel"/>
    <w:lvl w:ilvl="0">
      <w:lvlJc w:val="left"/>
      <w:lvlText w:val="•"/>
      <w:numFmt w:val="bullet"/>
      <w:start w:val="1"/>
    </w:lvl>
  </w:abstractNum>
  <w:abstractNum w:abstractNumId="20">
    <w:nsid w:val="3DD15094"/>
    <w:multiLevelType w:val="hybridMultilevel"/>
    <w:lvl w:ilvl="0">
      <w:lvlJc w:val="left"/>
      <w:lvlText w:val="•"/>
      <w:numFmt w:val="bullet"/>
      <w:start w:val="1"/>
    </w:lvl>
  </w:abstractNum>
  <w:abstractNum w:abstractNumId="21">
    <w:nsid w:val="3DB012B3"/>
    <w:multiLevelType w:val="hybridMultilevel"/>
    <w:lvl w:ilvl="0">
      <w:lvlJc w:val="left"/>
      <w:lvlText w:val="•"/>
      <w:numFmt w:val="bullet"/>
      <w:start w:val="1"/>
    </w:lvl>
  </w:abstractNum>
  <w:abstractNum w:abstractNumId="22">
    <w:nsid w:val="2708C9AF"/>
    <w:multiLevelType w:val="hybridMultilevel"/>
    <w:lvl w:ilvl="0">
      <w:lvlJc w:val="left"/>
      <w:lvlText w:val="•"/>
      <w:numFmt w:val="bullet"/>
      <w:start w:val="1"/>
    </w:lvl>
  </w:abstractNum>
  <w:abstractNum w:abstractNumId="23">
    <w:nsid w:val="5B25ACE2"/>
    <w:multiLevelType w:val="hybridMultilevel"/>
    <w:lvl w:ilvl="0">
      <w:lvlJc w:val="left"/>
      <w:lvlText w:val="•"/>
      <w:numFmt w:val="bullet"/>
      <w:start w:val="1"/>
    </w:lvl>
  </w:abstractNum>
  <w:abstractNum w:abstractNumId="24">
    <w:nsid w:val="175DFCF0"/>
    <w:multiLevelType w:val="hybridMultilevel"/>
    <w:lvl w:ilvl="0">
      <w:lvlJc w:val="left"/>
      <w:lvlText w:val="•"/>
      <w:numFmt w:val="bullet"/>
      <w:start w:val="1"/>
    </w:lvl>
  </w:abstractNum>
  <w:abstractNum w:abstractNumId="25">
    <w:nsid w:val="4F97E3E4"/>
    <w:multiLevelType w:val="hybridMultilevel"/>
    <w:lvl w:ilvl="0">
      <w:lvlJc w:val="left"/>
      <w:lvlText w:val="•"/>
      <w:numFmt w:val="bullet"/>
      <w:start w:val="1"/>
    </w:lvl>
  </w:abstractNum>
  <w:abstractNum w:abstractNumId="26">
    <w:nsid w:val="53B0A9E"/>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7">
    <w:nsid w:val="34FD6B4F"/>
    <w:multiLevelType w:val="hybridMultilevel"/>
    <w:lvl w:ilvl="0">
      <w:lvlJc w:val="left"/>
      <w:lvlText w:val="•"/>
      <w:numFmt w:val="bullet"/>
      <w:start w:val="1"/>
    </w:lvl>
  </w:abstractNum>
  <w:abstractNum w:abstractNumId="28">
    <w:nsid w:val="5915FF32"/>
    <w:multiLevelType w:val="hybridMultilevel"/>
    <w:lvl w:ilvl="0">
      <w:lvlJc w:val="left"/>
      <w:lvlText w:val="•"/>
      <w:numFmt w:val="bullet"/>
      <w:start w:val="1"/>
    </w:lvl>
  </w:abstractNum>
  <w:abstractNum w:abstractNumId="29">
    <w:nsid w:val="56438D15"/>
    <w:multiLevelType w:val="hybridMultilevel"/>
    <w:lvl w:ilvl="0">
      <w:lvlJc w:val="left"/>
      <w:lvlText w:val="•"/>
      <w:numFmt w:val="bullet"/>
      <w:start w:val="1"/>
    </w:lvl>
  </w:abstractNum>
  <w:abstractNum w:abstractNumId="30">
    <w:nsid w:val="519E3149"/>
    <w:multiLevelType w:val="hybridMultilevel"/>
    <w:lvl w:ilvl="0">
      <w:lvlJc w:val="left"/>
      <w:lvlText w:val="•"/>
      <w:numFmt w:val="bullet"/>
      <w:start w:val="1"/>
    </w:lvl>
  </w:abstractNum>
  <w:abstractNum w:abstractNumId="31">
    <w:nsid w:val="2C6E4AFD"/>
    <w:multiLevelType w:val="hybridMultilevel"/>
    <w:lvl w:ilvl="0">
      <w:lvlJc w:val="left"/>
      <w:lvlText w:val="•"/>
      <w:numFmt w:val="bullet"/>
      <w:start w:val="1"/>
    </w:lvl>
  </w:abstractNum>
  <w:abstractNum w:abstractNumId="32">
    <w:nsid w:val="17A1B582"/>
    <w:multiLevelType w:val="hybridMultilevel"/>
    <w:lvl w:ilvl="0">
      <w:lvlJc w:val="left"/>
      <w:lvlText w:val="•"/>
      <w:numFmt w:val="bullet"/>
      <w:start w:val="1"/>
    </w:lvl>
  </w:abstractNum>
  <w:abstractNum w:abstractNumId="33">
    <w:nsid w:val="4DF72E4E"/>
    <w:multiLevelType w:val="hybridMultilevel"/>
    <w:lvl w:ilvl="0">
      <w:lvlJc w:val="left"/>
      <w:lvlText w:val="•"/>
      <w:numFmt w:val="bullet"/>
      <w:start w:val="1"/>
    </w:lvl>
  </w:abstractNum>
  <w:abstractNum w:abstractNumId="34">
    <w:nsid w:val="5046B5A9"/>
    <w:multiLevelType w:val="hybridMultilevel"/>
    <w:lvl w:ilvl="0">
      <w:lvlJc w:val="left"/>
      <w:lvlText w:val="•"/>
      <w:numFmt w:val="bullet"/>
      <w:start w:val="1"/>
    </w:lvl>
  </w:abstractNum>
  <w:abstractNum w:abstractNumId="35">
    <w:nsid w:val="5D888A08"/>
    <w:multiLevelType w:val="hybridMultilevel"/>
    <w:lvl w:ilvl="0">
      <w:lvlJc w:val="left"/>
      <w:lvlText w:val="•"/>
      <w:numFmt w:val="bullet"/>
      <w:start w:val="1"/>
    </w:lvl>
  </w:abstractNum>
  <w:abstractNum w:abstractNumId="36">
    <w:nsid w:val="2A082C70"/>
    <w:multiLevelType w:val="hybridMultilevel"/>
    <w:lvl w:ilvl="0">
      <w:lvlJc w:val="left"/>
      <w:lvlText w:val="•"/>
      <w:numFmt w:val="bullet"/>
      <w:start w:val="1"/>
    </w:lvl>
  </w:abstractNum>
  <w:abstractNum w:abstractNumId="37">
    <w:nsid w:val="5EC6AFD4"/>
    <w:multiLevelType w:val="hybridMultilevel"/>
    <w:lvl w:ilvl="0">
      <w:lvlJc w:val="left"/>
      <w:lvlText w:val="%1."/>
      <w:numFmt w:val="upperLetter"/>
      <w:start w:val="1"/>
    </w:lvl>
  </w:abstractNum>
  <w:abstractNum w:abstractNumId="38">
    <w:nsid w:val="19E21BB2"/>
    <w:multiLevelType w:val="hybridMultilevel"/>
    <w:lvl w:ilvl="0">
      <w:lvlJc w:val="left"/>
      <w:lvlText w:val="%1."/>
      <w:numFmt w:val="upperLetter"/>
      <w:start w:val="2"/>
    </w:lvl>
  </w:abstractNum>
  <w:abstractNum w:abstractNumId="39">
    <w:nsid w:val="75E0858A"/>
    <w:multiLevelType w:val="hybridMultilevel"/>
    <w:lvl w:ilvl="0">
      <w:lvlJc w:val="left"/>
      <w:lvlText w:val="(%1)"/>
      <w:numFmt w:val="decimal"/>
      <w:start w:val="2"/>
    </w:lvl>
  </w:abstractNum>
  <w:abstractNum w:abstractNumId="40">
    <w:nsid w:val="57A61A29"/>
    <w:multiLevelType w:val="hybridMultilevel"/>
    <w:lvl w:ilvl="0">
      <w:lvlJc w:val="left"/>
      <w:lvlText w:val="•"/>
      <w:numFmt w:val="bullet"/>
      <w:start w:val="1"/>
    </w:lvl>
  </w:abstractNum>
  <w:abstractNum w:abstractNumId="41">
    <w:nsid w:val="5399C654"/>
    <w:multiLevelType w:val="hybridMultilevel"/>
    <w:lvl w:ilvl="0">
      <w:lvlJc w:val="left"/>
      <w:lvlText w:val="•"/>
      <w:numFmt w:val="bullet"/>
      <w:start w:val="1"/>
    </w:lvl>
  </w:abstractNum>
  <w:abstractNum w:abstractNumId="42">
    <w:nsid w:val="20EE1348"/>
    <w:multiLevelType w:val="hybridMultilevel"/>
    <w:lvl w:ilvl="0">
      <w:lvlJc w:val="left"/>
      <w:lvlText w:val="%1."/>
      <w:numFmt w:val="decimal"/>
      <w:start w:val="12"/>
    </w:lvl>
  </w:abstractNum>
  <w:abstractNum w:abstractNumId="43">
    <w:nsid w:val="4427069A"/>
    <w:multiLevelType w:val="hybridMultilevel"/>
    <w:lvl w:ilvl="0">
      <w:lvlJc w:val="left"/>
      <w:lvlText w:val="(%1)"/>
      <w:numFmt w:val="decimal"/>
      <w:start w:val="2"/>
    </w:lvl>
  </w:abstractNum>
  <w:abstractNum w:abstractNumId="44">
    <w:nsid w:val="B37E80A"/>
    <w:multiLevelType w:val="hybridMultilevel"/>
    <w:lvl w:ilvl="0">
      <w:lvlJc w:val="left"/>
      <w:lvlText w:val="•"/>
      <w:numFmt w:val="bullet"/>
      <w:start w:val="1"/>
    </w:lvl>
  </w:abstractNum>
  <w:abstractNum w:abstractNumId="45">
    <w:nsid w:val="2157F6BC"/>
    <w:multiLevelType w:val="hybridMultilevel"/>
    <w:lvl w:ilvl="0">
      <w:lvlJc w:val="left"/>
      <w:lvlText w:val="•"/>
      <w:numFmt w:val="bullet"/>
      <w:start w:val="1"/>
    </w:lvl>
  </w:abstractNum>
  <w:abstractNum w:abstractNumId="46">
    <w:nsid w:val="704E1DD5"/>
    <w:multiLevelType w:val="hybridMultilevel"/>
    <w:lvl w:ilvl="0">
      <w:lvlJc w:val="left"/>
      <w:lvlText w:val="•"/>
      <w:numFmt w:val="bullet"/>
      <w:start w:val="1"/>
    </w:lvl>
  </w:abstractNum>
  <w:abstractNum w:abstractNumId="47">
    <w:nsid w:val="57D2F10E"/>
    <w:multiLevelType w:val="hybridMultilevel"/>
    <w:lvl w:ilvl="0">
      <w:lvlJc w:val="left"/>
      <w:lvlText w:val="•"/>
      <w:numFmt w:val="bullet"/>
      <w:start w:val="1"/>
    </w:lvl>
  </w:abstractNum>
  <w:abstractNum w:abstractNumId="48">
    <w:nsid w:val="BFFAE18"/>
    <w:multiLevelType w:val="hybridMultilevel"/>
    <w:lvl w:ilvl="0">
      <w:lvlJc w:val="left"/>
      <w:lvlText w:val="•"/>
      <w:numFmt w:val="bullet"/>
      <w:start w:val="1"/>
    </w:lvl>
  </w:abstractNum>
  <w:abstractNum w:abstractNumId="49">
    <w:nsid w:val="E3E47A8"/>
    <w:multiLevelType w:val="hybridMultilevel"/>
    <w:lvl w:ilvl="0">
      <w:lvlJc w:val="left"/>
      <w:lvlText w:val="•"/>
      <w:numFmt w:val="bullet"/>
      <w:start w:val="1"/>
    </w:lvl>
  </w:abstractNum>
  <w:abstractNum w:abstractNumId="50">
    <w:nsid w:val="2E48F044"/>
    <w:multiLevelType w:val="hybridMultilevel"/>
    <w:lvl w:ilvl="0">
      <w:lvlJc w:val="left"/>
      <w:lvlText w:val="•"/>
      <w:numFmt w:val="bullet"/>
      <w:start w:val="1"/>
    </w:lvl>
  </w:abstractNum>
  <w:abstractNum w:abstractNumId="51">
    <w:nsid w:val="49D0FEAC"/>
    <w:multiLevelType w:val="hybridMultilevel"/>
    <w:lvl w:ilvl="0">
      <w:lvlJc w:val="left"/>
      <w:lvlText w:val="%1."/>
      <w:numFmt w:val="decimal"/>
      <w:start w:val="12"/>
    </w:lvl>
  </w:abstractNum>
  <w:abstractNum w:abstractNumId="52">
    <w:nsid w:val="4BEE5A5B"/>
    <w:multiLevelType w:val="hybridMultilevel"/>
    <w:lvl w:ilvl="0">
      <w:lvlJc w:val="left"/>
      <w:lvlText w:val="•"/>
      <w:numFmt w:val="bullet"/>
      <w:start w:val="1"/>
    </w:lvl>
  </w:abstractNum>
  <w:abstractNum w:abstractNumId="53">
    <w:nsid w:val="5551B9F3"/>
    <w:multiLevelType w:val="hybridMultilevel"/>
    <w:lvl w:ilvl="0">
      <w:lvlJc w:val="left"/>
      <w:lvlText w:val="%1."/>
      <w:numFmt w:val="decimal"/>
      <w:start w:val="12"/>
    </w:lvl>
  </w:abstractNum>
  <w:abstractNum w:abstractNumId="54">
    <w:nsid w:val="24F6AB8E"/>
    <w:multiLevelType w:val="hybridMultilevel"/>
    <w:lvl w:ilvl="0">
      <w:lvlJc w:val="left"/>
      <w:lvlText w:val="•"/>
      <w:numFmt w:val="bullet"/>
      <w:start w:val="1"/>
    </w:lvl>
  </w:abstractNum>
  <w:abstractNum w:abstractNumId="55">
    <w:nsid w:val="634C574C"/>
    <w:multiLevelType w:val="hybridMultilevel"/>
    <w:lvl w:ilvl="0">
      <w:lvlJc w:val="left"/>
      <w:lvlText w:val="•"/>
      <w:numFmt w:val="bullet"/>
      <w:start w:val="1"/>
    </w:lvl>
  </w:abstractNum>
  <w:abstractNum w:abstractNumId="56">
    <w:nsid w:val="24E99DD7"/>
    <w:multiLevelType w:val="hybridMultilevel"/>
    <w:lvl w:ilvl="0">
      <w:lvlJc w:val="left"/>
      <w:lvlText w:val="•"/>
      <w:numFmt w:val="bullet"/>
      <w:start w:val="1"/>
    </w:lvl>
  </w:abstractNum>
  <w:abstractNum w:abstractNumId="57">
    <w:nsid w:val="2A31B62D"/>
    <w:multiLevelType w:val="hybridMultilevel"/>
    <w:lvl w:ilvl="0">
      <w:lvlJc w:val="left"/>
      <w:lvlText w:val="•"/>
      <w:numFmt w:val="bullet"/>
      <w:start w:val="1"/>
    </w:lvl>
  </w:abstractNum>
  <w:abstractNum w:abstractNumId="58">
    <w:nsid w:val="1849C29B"/>
    <w:multiLevelType w:val="hybridMultilevel"/>
    <w:lvl w:ilvl="0">
      <w:lvlJc w:val="left"/>
      <w:lvlText w:val="•"/>
      <w:numFmt w:val="bullet"/>
      <w:start w:val="1"/>
    </w:lvl>
  </w:abstractNum>
  <w:abstractNum w:abstractNumId="59">
    <w:nsid w:val="7DFF9D09"/>
    <w:multiLevelType w:val="hybridMultilevel"/>
    <w:lvl w:ilvl="0">
      <w:lvlJc w:val="left"/>
      <w:lvlText w:val="%1."/>
      <w:numFmt w:val="upperLetter"/>
      <w:start w:val="3"/>
    </w:lvl>
  </w:abstractNum>
  <w:abstractNum w:abstractNumId="60">
    <w:nsid w:val="754342"/>
    <w:multiLevelType w:val="hybridMultilevel"/>
    <w:lvl w:ilvl="0">
      <w:lvlJc w:val="left"/>
      <w:lvlText w:val="%1."/>
      <w:numFmt w:val="upperLetter"/>
      <w:start w:val="4"/>
    </w:lvl>
  </w:abstractNum>
  <w:abstractNum w:abstractNumId="61">
    <w:nsid w:val="69E7F3E5"/>
    <w:multiLevelType w:val="hybridMultilevel"/>
    <w:lvl w:ilvl="0">
      <w:lvlJc w:val="left"/>
      <w:lvlText w:val="(%1)"/>
      <w:numFmt w:val="decimal"/>
      <w:start w:val="2"/>
    </w:lvl>
  </w:abstractNum>
  <w:abstractNum w:abstractNumId="62">
    <w:nsid w:val="2A6DE806"/>
    <w:multiLevelType w:val="hybridMultilevel"/>
    <w:lvl w:ilvl="0">
      <w:lvlJc w:val="left"/>
      <w:lvlText w:val="%1."/>
      <w:numFmt w:val="upperLetter"/>
      <w:start w:val="1"/>
    </w:lvl>
  </w:abstractNum>
  <w:abstractNum w:abstractNumId="63">
    <w:nsid w:val="1816F8C4"/>
    <w:multiLevelType w:val="hybridMultilevel"/>
    <w:lvl w:ilvl="0">
      <w:lvlJc w:val="left"/>
      <w:lvlText w:val="•"/>
      <w:numFmt w:val="bullet"/>
      <w:start w:val="1"/>
    </w:lvl>
  </w:abstractNum>
  <w:abstractNum w:abstractNumId="64">
    <w:nsid w:val="37DF2233"/>
    <w:multiLevelType w:val="hybridMultilevel"/>
    <w:lvl w:ilvl="0">
      <w:lvlJc w:val="left"/>
      <w:lvlText w:val="•"/>
      <w:numFmt w:val="bullet"/>
      <w:start w:val="1"/>
    </w:lvl>
  </w:abstractNum>
  <w:abstractNum w:abstractNumId="65">
    <w:nsid w:val="7AB49DAF"/>
    <w:multiLevelType w:val="hybridMultilevel"/>
    <w:lvl w:ilvl="0">
      <w:lvlJc w:val="left"/>
      <w:lvlText w:val="%1."/>
      <w:numFmt w:val="upperLetter"/>
      <w:start w:val="2"/>
    </w:lvl>
  </w:abstractNum>
  <w:abstractNum w:abstractNumId="66">
    <w:nsid w:val="759F82CD"/>
    <w:multiLevelType w:val="hybridMultilevel"/>
    <w:lvl w:ilvl="0">
      <w:lvlJc w:val="left"/>
      <w:lvlText w:val="•"/>
      <w:numFmt w:val="bullet"/>
      <w:start w:val="1"/>
    </w:lvl>
  </w:abstractNum>
  <w:abstractNum w:abstractNumId="67">
    <w:nsid w:val="61E74EA3"/>
    <w:multiLevelType w:val="hybridMultilevel"/>
    <w:lvl w:ilvl="0">
      <w:lvlJc w:val="left"/>
      <w:lvlText w:val="%1."/>
      <w:numFmt w:val="upperLetter"/>
      <w:start w:val="3"/>
    </w:lvl>
  </w:abstractNum>
  <w:abstractNum w:abstractNumId="68">
    <w:nsid w:val="597B4D84"/>
    <w:multiLevelType w:val="hybridMultilevel"/>
    <w:lvl w:ilvl="0">
      <w:lvlJc w:val="left"/>
      <w:lvlText w:val="%1."/>
      <w:numFmt w:val="upperLetter"/>
      <w:start w:val="4"/>
    </w:lvl>
  </w:abstractNum>
  <w:abstractNum w:abstractNumId="69">
    <w:nsid w:val="F819E7F"/>
    <w:multiLevelType w:val="hybridMultilevel"/>
    <w:lvl w:ilvl="0">
      <w:lvlJc w:val="left"/>
      <w:lvlText w:val="%1."/>
      <w:numFmt w:val="upperLetter"/>
      <w:start w:val="5"/>
    </w:lvl>
  </w:abstractNum>
  <w:abstractNum w:abstractNumId="70">
    <w:nsid w:val="57C7D42D"/>
    <w:multiLevelType w:val="hybridMultilevel"/>
    <w:lvl w:ilvl="0">
      <w:lvlJc w:val="left"/>
      <w:lvlText w:val="%1."/>
      <w:numFmt w:val="upperLetter"/>
      <w:start w:val="6"/>
    </w:lvl>
  </w:abstractNum>
  <w:abstractNum w:abstractNumId="71">
    <w:nsid w:val="312167AD"/>
    <w:multiLevelType w:val="hybridMultilevel"/>
    <w:lvl w:ilvl="0">
      <w:lvlJc w:val="left"/>
      <w:lvlText w:val="(%1)"/>
      <w:numFmt w:val="decimal"/>
      <w:start w:val="1"/>
    </w:lvl>
  </w:abstractNum>
  <w:abstractNum w:abstractNumId="72">
    <w:nsid w:val="631B64D4"/>
    <w:multiLevelType w:val="hybridMultilevel"/>
    <w:lvl w:ilvl="0">
      <w:lvlJc w:val="left"/>
      <w:lvlText w:val="%1."/>
      <w:numFmt w:val="upperLetter"/>
      <w:start w:val="1"/>
    </w:lvl>
  </w:abstractNum>
  <w:abstractNum w:abstractNumId="73">
    <w:nsid w:val="78B5E776"/>
    <w:multiLevelType w:val="hybridMultilevel"/>
    <w:lvl w:ilvl="0">
      <w:lvlJc w:val="left"/>
      <w:lvlText w:val="%1."/>
      <w:numFmt w:val="upperLetter"/>
      <w:start w:val="2"/>
    </w:lvl>
  </w:abstractNum>
  <w:abstractNum w:abstractNumId="74">
    <w:nsid w:val="75486E47"/>
    <w:multiLevelType w:val="hybridMultilevel"/>
    <w:lvl w:ilvl="0">
      <w:lvlJc w:val="left"/>
      <w:lvlText w:val="(%1)"/>
      <w:numFmt w:val="decimal"/>
      <w:start w:val="1"/>
    </w:lvl>
  </w:abstractNum>
  <w:abstractNum w:abstractNumId="75">
    <w:nsid w:val="6E534CDE"/>
    <w:multiLevelType w:val="hybridMultilevel"/>
    <w:lvl w:ilvl="0">
      <w:lvlJc w:val="left"/>
      <w:lvlText w:val="%1."/>
      <w:numFmt w:val="upperLetter"/>
      <w:start w:val="3"/>
    </w:lvl>
  </w:abstractNum>
  <w:abstractNum w:abstractNumId="76">
    <w:nsid w:val="1A0DDE32"/>
    <w:multiLevelType w:val="hybridMultilevel"/>
    <w:lvl w:ilvl="0">
      <w:lvlJc w:val="left"/>
      <w:lvlText w:val="•"/>
      <w:numFmt w:val="bullet"/>
      <w:start w:val="1"/>
    </w:lvl>
  </w:abstractNum>
  <w:abstractNum w:abstractNumId="77">
    <w:nsid w:val="65968C1C"/>
    <w:multiLevelType w:val="hybridMultilevel"/>
    <w:lvl w:ilvl="0">
      <w:lvlJc w:val="left"/>
      <w:lvlText w:val="•"/>
      <w:numFmt w:val="bullet"/>
      <w:start w:val="1"/>
    </w:lvl>
  </w:abstractNum>
  <w:abstractNum w:abstractNumId="78">
    <w:nsid w:val="46263DEC"/>
    <w:multiLevelType w:val="hybridMultilevel"/>
    <w:lvl w:ilvl="0">
      <w:lvlJc w:val="left"/>
      <w:lvlText w:val="(%1)"/>
      <w:numFmt w:val="decimal"/>
      <w:start w:val="1"/>
    </w:lvl>
  </w:abstractNum>
  <w:abstractNum w:abstractNumId="79">
    <w:nsid w:val="260D8C4A"/>
    <w:multiLevelType w:val="hybridMultilevel"/>
    <w:lvl w:ilvl="0">
      <w:lvlJc w:val="left"/>
      <w:lvlText w:val="•"/>
      <w:numFmt w:val="bullet"/>
      <w:start w:val="1"/>
    </w:lvl>
  </w:abstractNum>
  <w:abstractNum w:abstractNumId="80">
    <w:nsid w:val="73D4D3C4"/>
    <w:multiLevelType w:val="hybridMultilevel"/>
    <w:lvl w:ilvl="0">
      <w:lvlJc w:val="left"/>
      <w:lvlText w:val="•"/>
      <w:numFmt w:val="bullet"/>
      <w:start w:val="1"/>
    </w:lvl>
  </w:abstractNum>
  <w:abstractNum w:abstractNumId="81">
    <w:nsid w:val="746F2E30"/>
    <w:multiLevelType w:val="hybridMultilevel"/>
    <w:lvl w:ilvl="0">
      <w:lvlJc w:val="left"/>
      <w:lvlText w:val="•"/>
      <w:numFmt w:val="bullet"/>
      <w:start w:val="1"/>
    </w:lvl>
  </w:abstractNum>
  <w:abstractNum w:abstractNumId="82">
    <w:nsid w:val="6FDE8AF6"/>
    <w:multiLevelType w:val="hybridMultilevel"/>
    <w:lvl w:ilvl="0">
      <w:lvlJc w:val="left"/>
      <w:lvlText w:val="•"/>
      <w:numFmt w:val="bullet"/>
      <w:start w:val="1"/>
    </w:lvl>
  </w:abstractNum>
  <w:abstractNum w:abstractNumId="83">
    <w:nsid w:val="3FC32E20"/>
    <w:multiLevelType w:val="hybridMultilevel"/>
    <w:lvl w:ilvl="0">
      <w:lvlJc w:val="left"/>
      <w:lvlText w:val="(%1)"/>
      <w:numFmt w:val="decimal"/>
      <w:start w:val="1"/>
    </w:lvl>
  </w:abstractNum>
  <w:abstractNum w:abstractNumId="84">
    <w:nsid w:val="49C0E823"/>
    <w:multiLevelType w:val="hybridMultilevel"/>
    <w:lvl w:ilvl="0">
      <w:lvlJc w:val="left"/>
      <w:lvlText w:val="•"/>
      <w:numFmt w:val="bullet"/>
      <w:start w:val="1"/>
    </w:lvl>
  </w:abstractNum>
  <w:abstractNum w:abstractNumId="85">
    <w:nsid w:val="14D53685"/>
    <w:multiLevelType w:val="hybridMultilevel"/>
    <w:lvl w:ilvl="0">
      <w:lvlJc w:val="left"/>
      <w:lvlText w:val="•"/>
      <w:numFmt w:val="bullet"/>
      <w:start w:val="1"/>
    </w:lvl>
    <w:lvl w:ilvl="1">
      <w:lvlJc w:val="left"/>
      <w:lvlText w:val="\endash "/>
      <w:numFmt w:val="bullet"/>
      <w:start w:val="1"/>
    </w:lvl>
  </w:abstractNum>
  <w:abstractNum w:abstractNumId="86">
    <w:nsid w:val="230F856C"/>
    <w:multiLevelType w:val="hybridMultilevel"/>
    <w:lvl w:ilvl="0">
      <w:lvlJc w:val="left"/>
      <w:lvlText w:val="(%1)"/>
      <w:numFmt w:val="lowerRoman"/>
      <w:start w:val="3"/>
    </w:lvl>
  </w:abstractNum>
  <w:abstractNum w:abstractNumId="87">
    <w:nsid w:val="6EAA85FB"/>
    <w:multiLevelType w:val="hybridMultilevel"/>
    <w:lvl w:ilvl="0">
      <w:lvlJc w:val="left"/>
      <w:lvlText w:val="•"/>
      <w:numFmt w:val="bullet"/>
      <w:start w:val="1"/>
    </w:lvl>
  </w:abstractNum>
  <w:abstractNum w:abstractNumId="88">
    <w:nsid w:val="3F06ECB2"/>
    <w:multiLevelType w:val="hybridMultilevel"/>
    <w:lvl w:ilvl="0">
      <w:lvlJc w:val="left"/>
      <w:lvlText w:val="•"/>
      <w:numFmt w:val="bullet"/>
      <w:start w:val="1"/>
    </w:lvl>
  </w:abstractNum>
  <w:abstractNum w:abstractNumId="89">
    <w:nsid w:val="3B594807"/>
    <w:multiLevelType w:val="hybridMultilevel"/>
    <w:lvl w:ilvl="0">
      <w:lvlJc w:val="left"/>
      <w:lvlText w:val="(%1)"/>
      <w:numFmt w:val="decimal"/>
      <w:start w:val="1"/>
    </w:lvl>
  </w:abstractNum>
  <w:abstractNum w:abstractNumId="90">
    <w:nsid w:val="6CAA2304"/>
    <w:multiLevelType w:val="hybridMultilevel"/>
    <w:lvl w:ilvl="0">
      <w:lvlJc w:val="left"/>
      <w:lvlText w:val="•"/>
      <w:numFmt w:val="bullet"/>
      <w:start w:val="1"/>
    </w:lvl>
  </w:abstractNum>
  <w:abstractNum w:abstractNumId="91">
    <w:nsid w:val="3F7C2FF4"/>
    <w:multiLevelType w:val="hybridMultilevel"/>
    <w:lvl w:ilvl="0">
      <w:lvlJc w:val="left"/>
      <w:lvlText w:val="•"/>
      <w:numFmt w:val="bullet"/>
      <w:start w:val="1"/>
    </w:lvl>
  </w:abstractNum>
  <w:abstractNum w:abstractNumId="92">
    <w:nsid w:val="25413BEC"/>
    <w:multiLevelType w:val="hybridMultilevel"/>
    <w:lvl w:ilvl="0">
      <w:lvlJc w:val="left"/>
      <w:lvlText w:val="•"/>
      <w:numFmt w:val="bullet"/>
      <w:start w:val="1"/>
    </w:lvl>
  </w:abstractNum>
  <w:abstractNum w:abstractNumId="93">
    <w:nsid w:val="17180B0B"/>
    <w:multiLevelType w:val="hybridMultilevel"/>
    <w:lvl w:ilvl="0">
      <w:lvlJc w:val="left"/>
      <w:lvlText w:val="•"/>
      <w:numFmt w:val="bullet"/>
      <w:start w:val="1"/>
    </w:lvl>
  </w:abstractNum>
  <w:abstractNum w:abstractNumId="94">
    <w:nsid w:val="579328B9"/>
    <w:multiLevelType w:val="hybridMultilevel"/>
    <w:lvl w:ilvl="0">
      <w:lvlJc w:val="left"/>
      <w:lvlText w:val="•"/>
      <w:numFmt w:val="bullet"/>
      <w:start w:val="1"/>
    </w:lvl>
  </w:abstractNum>
  <w:abstractNum w:abstractNumId="95">
    <w:nsid w:val="5D205E20"/>
    <w:multiLevelType w:val="hybridMultilevel"/>
    <w:lvl w:ilvl="0">
      <w:lvlJc w:val="left"/>
      <w:lvlText w:val="•"/>
      <w:numFmt w:val="bullet"/>
      <w:start w:val="1"/>
    </w:lvl>
  </w:abstractNum>
  <w:abstractNum w:abstractNumId="96">
    <w:nsid w:val="11CCA8BA"/>
    <w:multiLevelType w:val="hybridMultilevel"/>
    <w:lvl w:ilvl="0">
      <w:lvlJc w:val="left"/>
      <w:lvlText w:val="•"/>
      <w:numFmt w:val="bullet"/>
      <w:start w:val="1"/>
    </w:lvl>
  </w:abstractNum>
  <w:abstractNum w:abstractNumId="97">
    <w:nsid w:val="4D32AB86"/>
    <w:multiLevelType w:val="hybridMultilevel"/>
    <w:lvl w:ilvl="0">
      <w:lvlJc w:val="left"/>
      <w:lvlText w:val="•"/>
      <w:numFmt w:val="bullet"/>
      <w:start w:val="1"/>
    </w:lvl>
  </w:abstractNum>
  <w:abstractNum w:abstractNumId="98">
    <w:nsid w:val="3F07ACC3"/>
    <w:multiLevelType w:val="hybridMultilevel"/>
    <w:lvl w:ilvl="0">
      <w:lvlJc w:val="left"/>
      <w:lvlText w:val="•"/>
      <w:numFmt w:val="bullet"/>
      <w:start w:val="1"/>
    </w:lvl>
  </w:abstractNum>
  <w:abstractNum w:abstractNumId="99">
    <w:nsid w:val="6B47F63E"/>
    <w:multiLevelType w:val="hybridMultilevel"/>
    <w:lvl w:ilvl="0">
      <w:lvlJc w:val="left"/>
      <w:lvlText w:val="•"/>
      <w:numFmt w:val="bullet"/>
      <w:start w:val="1"/>
    </w:lvl>
  </w:abstractNum>
  <w:abstractNum w:abstractNumId="100">
    <w:nsid w:val="5CB44A05"/>
    <w:multiLevelType w:val="hybridMultilevel"/>
    <w:lvl w:ilvl="0">
      <w:lvlJc w:val="left"/>
      <w:lvlText w:val="%1."/>
      <w:numFmt w:val="upperLetter"/>
      <w:start w:val="4"/>
    </w:lvl>
  </w:abstractNum>
  <w:abstractNum w:abstractNumId="101">
    <w:nsid w:val="16CF80F1"/>
    <w:multiLevelType w:val="hybridMultilevel"/>
    <w:lvl w:ilvl="0">
      <w:lvlJc w:val="left"/>
      <w:lvlText w:val="%1."/>
      <w:numFmt w:val="upperLetter"/>
      <w:start w:val="5"/>
    </w:lvl>
  </w:abstractNum>
  <w:abstractNum w:abstractNumId="102">
    <w:nsid w:val="1C695DEC"/>
    <w:multiLevelType w:val="hybridMultilevel"/>
    <w:lvl w:ilvl="0">
      <w:lvlJc w:val="left"/>
      <w:lvlText w:val="%1."/>
      <w:numFmt w:val="upperLetter"/>
      <w:start w:val="1"/>
    </w:lvl>
  </w:abstractNum>
  <w:abstractNum w:abstractNumId="103">
    <w:nsid w:val="3FCFAED9"/>
    <w:multiLevelType w:val="hybridMultilevel"/>
    <w:lvl w:ilvl="0">
      <w:lvlJc w:val="left"/>
      <w:lvlText w:val="•"/>
      <w:numFmt w:val="bullet"/>
      <w:start w:val="1"/>
    </w:lvl>
  </w:abstractNum>
  <w:abstractNum w:abstractNumId="104">
    <w:nsid w:val="F856867"/>
    <w:multiLevelType w:val="hybridMultilevel"/>
    <w:lvl w:ilvl="0">
      <w:lvlJc w:val="left"/>
      <w:lvlText w:val="*"/>
      <w:numFmt w:val="bullet"/>
      <w:start w:val="1"/>
    </w:lvl>
    <w:lvl w:ilvl="1">
      <w:lvlJc w:val="left"/>
      <w:lvlText w:val="(%2)"/>
      <w:numFmt w:val="decimal"/>
      <w:start w:val="1"/>
    </w:lvl>
  </w:abstractNum>
  <w:abstractNum w:abstractNumId="105">
    <w:nsid w:val="11B1CC33"/>
    <w:multiLevelType w:val="hybridMultilevel"/>
    <w:lvl w:ilvl="0">
      <w:lvlJc w:val="left"/>
      <w:lvlText w:val="%1."/>
      <w:numFmt w:val="upperLetter"/>
      <w:start w:val="2"/>
    </w:lvl>
  </w:abstractNum>
  <w:abstractNum w:abstractNumId="106">
    <w:nsid w:val="2E22FBB7"/>
    <w:multiLevelType w:val="hybridMultilevel"/>
    <w:lvl w:ilvl="0">
      <w:lvlJc w:val="left"/>
      <w:lvlText w:val="%1."/>
      <w:numFmt w:val="upperLetter"/>
      <w:start w:val="3"/>
    </w:lvl>
  </w:abstractNum>
  <w:abstractNum w:abstractNumId="107">
    <w:nsid w:val="29934699"/>
    <w:multiLevelType w:val="hybridMultilevel"/>
    <w:lvl w:ilvl="0">
      <w:lvlJc w:val="left"/>
      <w:lvlText w:val="%1."/>
      <w:numFmt w:val="upperLetter"/>
      <w:start w:val="1"/>
    </w:lvl>
  </w:abstractNum>
  <w:abstractNum w:abstractNumId="108">
    <w:nsid w:val="77485850"/>
    <w:multiLevelType w:val="hybridMultilevel"/>
    <w:lvl w:ilvl="0">
      <w:lvlJc w:val="left"/>
      <w:lvlText w:val="%1."/>
      <w:numFmt w:val="upperLetter"/>
      <w:start w:val="2"/>
    </w:lvl>
  </w:abstractNum>
  <w:abstractNum w:abstractNumId="109">
    <w:nsid w:val="744939A3"/>
    <w:multiLevelType w:val="hybridMultilevel"/>
    <w:lvl w:ilvl="0">
      <w:lvlJc w:val="left"/>
      <w:lvlText w:val="%1."/>
      <w:numFmt w:val="upperLetter"/>
      <w:start w:val="1"/>
    </w:lvl>
  </w:abstractNum>
  <w:abstractNum w:abstractNumId="110">
    <w:nsid w:val="4FA0D2E3"/>
    <w:multiLevelType w:val="hybridMultilevel"/>
    <w:lvl w:ilvl="0">
      <w:lvlJc w:val="left"/>
      <w:lvlText w:val="%1."/>
      <w:numFmt w:val="upperLetter"/>
      <w:start w:val="2"/>
    </w:lvl>
  </w:abstractNum>
  <w:abstractNum w:abstractNumId="111">
    <w:nsid w:val="6B1D2C14"/>
    <w:multiLevelType w:val="hybridMultilevel"/>
    <w:lvl w:ilvl="0">
      <w:lvlJc w:val="left"/>
      <w:lvlText w:val="%1."/>
      <w:numFmt w:val="upperLetter"/>
      <w:start w:val="3"/>
    </w:lvl>
  </w:abstractNum>
  <w:abstractNum w:abstractNumId="112">
    <w:nsid w:val="68B867D3"/>
    <w:multiLevelType w:val="hybridMultilevel"/>
    <w:lvl w:ilvl="0">
      <w:lvlJc w:val="left"/>
      <w:lvlText w:val="%1."/>
      <w:numFmt w:val="upperLetter"/>
      <w:start w:val="4"/>
    </w:lvl>
  </w:abstractNum>
  <w:abstractNum w:abstractNumId="113">
    <w:nsid w:val="3F7F5DD9"/>
    <w:multiLevelType w:val="hybridMultilevel"/>
    <w:lvl w:ilvl="0">
      <w:lvlJc w:val="left"/>
      <w:lvlText w:val="%1."/>
      <w:numFmt w:val="upperLetter"/>
      <w:start w:val="5"/>
    </w:lvl>
  </w:abstractNum>
  <w:abstractNum w:abstractNumId="114">
    <w:nsid w:val="2AE05A34"/>
    <w:multiLevelType w:val="hybridMultilevel"/>
    <w:lvl w:ilvl="0">
      <w:lvlJc w:val="left"/>
      <w:lvlText w:val="%1."/>
      <w:numFmt w:val="upperLetter"/>
      <w:start w:val="6"/>
    </w:lvl>
  </w:abstractNum>
  <w:abstractNum w:abstractNumId="115">
    <w:nsid w:val="32794FF7"/>
    <w:multiLevelType w:val="hybridMultilevel"/>
    <w:lvl w:ilvl="0">
      <w:lvlJc w:val="left"/>
      <w:lvlText w:val="%1."/>
      <w:numFmt w:val="upperLetter"/>
      <w:start w:val="1"/>
    </w:lvl>
  </w:abstractNum>
  <w:abstractNum w:abstractNumId="116">
    <w:nsid w:val="5454945E"/>
    <w:multiLevelType w:val="hybridMultilevel"/>
    <w:lvl w:ilvl="0">
      <w:lvlJc w:val="left"/>
      <w:lvlText w:val="%1."/>
      <w:numFmt w:val="upperLetter"/>
      <w:start w:val="2"/>
    </w:lvl>
  </w:abstractNum>
  <w:abstractNum w:abstractNumId="117">
    <w:nsid w:val="4DEFDFA0"/>
    <w:multiLevelType w:val="hybridMultilevel"/>
    <w:lvl w:ilvl="0">
      <w:lvlJc w:val="left"/>
      <w:lvlText w:val="•"/>
      <w:numFmt w:val="bullet"/>
      <w:start w:val="1"/>
    </w:lvl>
  </w:abstractNum>
  <w:abstractNum w:abstractNumId="118">
    <w:nsid w:val="2123D5F2"/>
    <w:multiLevelType w:val="hybridMultilevel"/>
    <w:lvl w:ilvl="0">
      <w:lvlJc w:val="left"/>
      <w:lvlText w:val="%1."/>
      <w:numFmt w:val="upperLetter"/>
      <w:start w:val="3"/>
    </w:lvl>
  </w:abstractNum>
  <w:abstractNum w:abstractNumId="119">
    <w:nsid w:val="135B8110"/>
    <w:multiLevelType w:val="hybridMultilevel"/>
    <w:lvl w:ilvl="0">
      <w:lvlJc w:val="left"/>
      <w:lvlText w:val="%1."/>
      <w:numFmt w:val="upperLetter"/>
      <w:start w:val="4"/>
    </w:lvl>
  </w:abstractNum>
  <w:abstractNum w:abstractNumId="120">
    <w:nsid w:val="94927A8"/>
    <w:multiLevelType w:val="hybridMultilevel"/>
    <w:lvl w:ilvl="0">
      <w:lvlJc w:val="left"/>
      <w:lvlText w:val="%1."/>
      <w:numFmt w:val="upperLetter"/>
      <w:start w:val="5"/>
    </w:lvl>
  </w:abstractNum>
  <w:abstractNum w:abstractNumId="121">
    <w:nsid w:val="DCDF8F6"/>
    <w:multiLevelType w:val="hybridMultilevel"/>
    <w:lvl w:ilvl="0">
      <w:lvlJc w:val="left"/>
      <w:lvlText w:val="•"/>
      <w:numFmt w:val="bullet"/>
      <w:start w:val="1"/>
    </w:lvl>
  </w:abstractNum>
  <w:abstractNum w:abstractNumId="122">
    <w:nsid w:val="52D7B105"/>
    <w:multiLevelType w:val="hybridMultilevel"/>
    <w:lvl w:ilvl="0">
      <w:lvlJc w:val="left"/>
      <w:lvlText w:val="•"/>
      <w:numFmt w:val="bullet"/>
      <w:start w:val="1"/>
    </w:lvl>
  </w:abstractNum>
  <w:abstractNum w:abstractNumId="123">
    <w:nsid w:val="2E8A6394"/>
    <w:multiLevelType w:val="hybridMultilevel"/>
    <w:lvl w:ilvl="0">
      <w:lvlJc w:val="left"/>
      <w:lvlText w:val="•"/>
      <w:numFmt w:val="bullet"/>
      <w:start w:val="1"/>
    </w:lvl>
  </w:abstractNum>
  <w:abstractNum w:abstractNumId="124">
    <w:nsid w:val="24E60401"/>
    <w:multiLevelType w:val="hybridMultilevel"/>
    <w:lvl w:ilvl="0">
      <w:lvlJc w:val="left"/>
      <w:lvlText w:val="•"/>
      <w:numFmt w:val="bullet"/>
      <w:start w:val="1"/>
    </w:lvl>
  </w:abstractNum>
  <w:abstractNum w:abstractNumId="125">
    <w:nsid w:val="2A6AD9BE"/>
    <w:multiLevelType w:val="hybridMultilevel"/>
    <w:lvl w:ilvl="0">
      <w:lvlJc w:val="left"/>
      <w:lvlText w:val="•"/>
      <w:numFmt w:val="bullet"/>
      <w:start w:val="1"/>
    </w:lvl>
  </w:abstractNum>
  <w:abstractNum w:abstractNumId="126">
    <w:nsid w:val="BAAC1B4"/>
    <w:multiLevelType w:val="hybridMultilevel"/>
    <w:lvl w:ilvl="0">
      <w:lvlJc w:val="left"/>
      <w:lvlText w:val="•"/>
      <w:numFmt w:val="bullet"/>
      <w:start w:val="1"/>
    </w:lvl>
  </w:abstractNum>
  <w:abstractNum w:abstractNumId="127">
    <w:nsid w:val="36B2ACBC"/>
    <w:multiLevelType w:val="hybridMultilevel"/>
    <w:lvl w:ilvl="0">
      <w:lvlJc w:val="left"/>
      <w:lvlText w:val="•"/>
      <w:numFmt w:val="bullet"/>
      <w:start w:val="1"/>
    </w:lvl>
  </w:abstractNum>
  <w:abstractNum w:abstractNumId="128">
    <w:nsid w:val="779D8544"/>
    <w:multiLevelType w:val="hybridMultilevel"/>
    <w:lvl w:ilvl="0">
      <w:lvlJc w:val="left"/>
      <w:lvlText w:val="%1."/>
      <w:numFmt w:val="upperLetter"/>
      <w:start w:val="6"/>
    </w:lvl>
  </w:abstractNum>
  <w:abstractNum w:abstractNumId="129">
    <w:nsid w:val="4AB26E78"/>
    <w:multiLevelType w:val="hybridMultilevel"/>
    <w:lvl w:ilvl="0">
      <w:lvlJc w:val="left"/>
      <w:lvlText w:val="%1."/>
      <w:numFmt w:val="upperLetter"/>
      <w:start w:val="7"/>
    </w:lvl>
  </w:abstractNum>
  <w:abstractNum w:abstractNumId="130">
    <w:nsid w:val="21FAA2FA"/>
    <w:multiLevelType w:val="hybridMultilevel"/>
    <w:lvl w:ilvl="0">
      <w:lvlJc w:val="left"/>
      <w:lvlText w:val="%1."/>
      <w:numFmt w:val="upperLetter"/>
      <w:start w:val="8"/>
    </w:lvl>
  </w:abstractNum>
  <w:abstractNum w:abstractNumId="131">
    <w:nsid w:val="5451CF49"/>
    <w:multiLevelType w:val="hybridMultilevel"/>
    <w:lvl w:ilvl="0">
      <w:lvlJc w:val="left"/>
      <w:lvlText w:val="%1."/>
      <w:numFmt w:val="upperLetter"/>
      <w:start w:val="9"/>
    </w:lvl>
  </w:abstractNum>
  <w:abstractNum w:abstractNumId="132">
    <w:nsid w:val="6181EF69"/>
    <w:multiLevelType w:val="hybridMultilevel"/>
    <w:lvl w:ilvl="0">
      <w:lvlJc w:val="left"/>
      <w:lvlText w:val="%1."/>
      <w:numFmt w:val="upperLetter"/>
      <w:start w:val="1"/>
    </w:lvl>
  </w:abstractNum>
  <w:abstractNum w:abstractNumId="133">
    <w:nsid w:val="3E6400E6"/>
    <w:multiLevelType w:val="hybridMultilevel"/>
    <w:lvl w:ilvl="0">
      <w:lvlJc w:val="left"/>
      <w:lvlText w:val="%1."/>
      <w:numFmt w:val="upperLetter"/>
      <w:start w:val="2"/>
    </w:lvl>
  </w:abstractNum>
  <w:abstractNum w:abstractNumId="134">
    <w:nsid w:val="14217E23"/>
    <w:multiLevelType w:val="hybridMultilevel"/>
    <w:lvl w:ilvl="0">
      <w:lvlJc w:val="left"/>
      <w:lvlText w:val="%1."/>
      <w:numFmt w:val="upperLetter"/>
      <w:start w:val="3"/>
    </w:lvl>
  </w:abstractNum>
  <w:abstractNum w:abstractNumId="135">
    <w:nsid w:val="710757D0"/>
    <w:multiLevelType w:val="hybridMultilevel"/>
    <w:lvl w:ilvl="0">
      <w:lvlJc w:val="left"/>
      <w:lvlText w:val="%1."/>
      <w:numFmt w:val="upperLetter"/>
      <w:start w:val="4"/>
    </w:lvl>
  </w:abstractNum>
  <w:abstractNum w:abstractNumId="136">
    <w:nsid w:val="5015CD1A"/>
    <w:multiLevelType w:val="hybridMultilevel"/>
    <w:lvl w:ilvl="0">
      <w:lvlJc w:val="left"/>
      <w:lvlText w:val="(%1)"/>
      <w:numFmt w:val="lowerLetter"/>
      <w:start w:val="1"/>
    </w:lvl>
  </w:abstractNum>
  <w:abstractNum w:abstractNumId="137">
    <w:nsid w:val="424479DA"/>
    <w:multiLevelType w:val="hybridMultilevel"/>
    <w:lvl w:ilvl="0">
      <w:lvlJc w:val="left"/>
      <w:lvlText w:val="(%1)"/>
      <w:numFmt w:val="lowerLetter"/>
      <w:start w:val="2"/>
    </w:lvl>
  </w:abstractNum>
  <w:abstractNum w:abstractNumId="138">
    <w:nsid w:val="1A9A9E69"/>
    <w:multiLevelType w:val="hybridMultilevel"/>
    <w:lvl w:ilvl="0">
      <w:lvlJc w:val="left"/>
      <w:lvlText w:val="•"/>
      <w:numFmt w:val="bullet"/>
      <w:start w:val="1"/>
    </w:lvl>
  </w:abstractNum>
  <w:abstractNum w:abstractNumId="139">
    <w:nsid w:val="475E256A"/>
    <w:multiLevelType w:val="hybridMultilevel"/>
    <w:lvl w:ilvl="0">
      <w:lvlJc w:val="left"/>
      <w:lvlText w:val="(%1)"/>
      <w:numFmt w:val="lowerLetter"/>
      <w:start w:val="3"/>
    </w:lvl>
  </w:abstractNum>
  <w:abstractNum w:abstractNumId="140">
    <w:nsid w:val="368DB37E"/>
    <w:multiLevelType w:val="hybridMultilevel"/>
    <w:lvl w:ilvl="0">
      <w:lvlJc w:val="left"/>
      <w:lvlText w:val="(%1)"/>
      <w:numFmt w:val="lowerLetter"/>
      <w:start w:val="4"/>
    </w:lvl>
  </w:abstractNum>
  <w:abstractNum w:abstractNumId="141">
    <w:nsid w:val="6A3B714C"/>
    <w:multiLevelType w:val="hybridMultilevel"/>
    <w:lvl w:ilvl="0">
      <w:lvlJc w:val="left"/>
      <w:lvlText w:val="(%1)"/>
      <w:numFmt w:val="decimal"/>
      <w:start w:val="1"/>
    </w:lvl>
  </w:abstractNum>
  <w:abstractNum w:abstractNumId="142">
    <w:nsid w:val="327B517E"/>
    <w:multiLevelType w:val="hybridMultilevel"/>
    <w:lvl w:ilvl="0">
      <w:lvlJc w:val="left"/>
      <w:lvlText w:val="•"/>
      <w:numFmt w:val="bullet"/>
      <w:start w:val="1"/>
    </w:lvl>
  </w:abstractNum>
  <w:abstractNum w:abstractNumId="143">
    <w:nsid w:val="1F461B51"/>
    <w:multiLevelType w:val="hybridMultilevel"/>
    <w:lvl w:ilvl="0">
      <w:lvlJc w:val="left"/>
      <w:lvlText w:val="%1"/>
      <w:numFmt w:val="decimal"/>
      <w:start w:val="101"/>
    </w:lvl>
  </w:abstractNum>
  <w:abstractNum w:abstractNumId="144">
    <w:nsid w:val="29BACF25"/>
    <w:multiLevelType w:val="hybridMultilevel"/>
    <w:lvl w:ilvl="0">
      <w:lvlJc w:val="left"/>
      <w:lvlText w:val="†"/>
      <w:numFmt w:val="bullet"/>
      <w:start w:val="1"/>
    </w:lvl>
  </w:abstractNum>
  <w:abstractNum w:abstractNumId="145">
    <w:nsid w:val="5D5BABB3"/>
    <w:multiLevelType w:val="hybridMultilevel"/>
    <w:lvl w:ilvl="0">
      <w:lvlJc w:val="left"/>
      <w:lvlText w:val="∞"/>
      <w:numFmt w:val="bullet"/>
      <w:start w:val="1"/>
    </w:lvl>
  </w:abstractNum>
  <w:abstractNum w:abstractNumId="146">
    <w:nsid w:val="51BF6B48"/>
    <w:multiLevelType w:val="hybridMultilevel"/>
    <w:lvl w:ilvl="0">
      <w:lvlJc w:val="left"/>
      <w:lvlText w:val="%1."/>
      <w:numFmt w:val="lowerLetter"/>
      <w:start w:val="1"/>
    </w:lvl>
  </w:abstractNum>
  <w:abstractNum w:abstractNumId="147">
    <w:nsid w:val="7E0F6384"/>
    <w:multiLevelType w:val="hybridMultilevel"/>
    <w:lvl w:ilvl="0">
      <w:lvlJc w:val="left"/>
      <w:lvlText w:val="%1."/>
      <w:numFmt w:val="lowerLetter"/>
      <w:start w:val="2"/>
    </w:lvl>
  </w:abstractNum>
  <w:abstractNum w:abstractNumId="148">
    <w:nsid w:val="2B4B8B53"/>
    <w:multiLevelType w:val="hybridMultilevel"/>
    <w:lvl w:ilvl="0">
      <w:lvlJc w:val="left"/>
      <w:lvlText w:val="%1."/>
      <w:numFmt w:val="lowerLetter"/>
      <w:start w:val="3"/>
    </w:lvl>
  </w:abstractNum>
  <w:abstractNum w:abstractNumId="149">
    <w:nsid w:val="72E3413A"/>
    <w:multiLevelType w:val="hybridMultilevel"/>
    <w:lvl w:ilvl="0">
      <w:lvlJc w:val="left"/>
      <w:lvlText w:val="%1."/>
      <w:numFmt w:val="lowerLetter"/>
      <w:start w:val="4"/>
    </w:lvl>
  </w:abstractNum>
  <w:abstractNum w:abstractNumId="150">
    <w:nsid w:val="116AE494"/>
    <w:multiLevelType w:val="hybridMultilevel"/>
    <w:lvl w:ilvl="0">
      <w:lvlJc w:val="left"/>
      <w:lvlText w:val="%1."/>
      <w:numFmt w:val="lowerLetter"/>
      <w:start w:val="5"/>
    </w:lvl>
  </w:abstractNum>
  <w:abstractNum w:abstractNumId="151">
    <w:nsid w:val="3494B2FB"/>
    <w:multiLevelType w:val="hybridMultilevel"/>
    <w:lvl w:ilvl="0">
      <w:lvlJc w:val="left"/>
      <w:lvlText w:val="%1."/>
      <w:numFmt w:val="lowerLetter"/>
      <w:start w:val="6"/>
    </w:lvl>
  </w:abstractNum>
  <w:abstractNum w:abstractNumId="152">
    <w:nsid w:val="B13A31"/>
    <w:multiLevelType w:val="hybridMultilevel"/>
    <w:lvl w:ilvl="0">
      <w:lvlJc w:val="left"/>
      <w:lvlText w:val="%1."/>
      <w:numFmt w:val="lowerLetter"/>
      <w:start w:val="7"/>
    </w:lvl>
  </w:abstractNum>
  <w:abstractNum w:abstractNumId="153">
    <w:nsid w:val="64429599"/>
    <w:multiLevelType w:val="hybridMultilevel"/>
    <w:lvl w:ilvl="0">
      <w:lvlJc w:val="left"/>
      <w:lvlText w:val="%1."/>
      <w:numFmt w:val="lowerLetter"/>
      <w:start w:val="8"/>
    </w:lvl>
    <w:lvl w:ilvl="1">
      <w:lvlJc w:val="left"/>
      <w:lvlText w:val="%2)"/>
      <w:numFmt w:val="decimal"/>
      <w:start w:val="1"/>
    </w:lvl>
  </w:abstractNum>
  <w:abstractNum w:abstractNumId="154">
    <w:nsid w:val="631F1690"/>
    <w:multiLevelType w:val="hybridMultilevel"/>
    <w:lvl w:ilvl="0">
      <w:lvlJc w:val="left"/>
      <w:lvlText w:val="%1."/>
      <w:numFmt w:val="lowerRoman"/>
      <w:start w:val="1"/>
    </w:lvl>
  </w:abstractNum>
  <w:abstractNum w:abstractNumId="155">
    <w:nsid w:val="25973E32"/>
    <w:multiLevelType w:val="hybridMultilevel"/>
    <w:lvl w:ilvl="0">
      <w:lvlJc w:val="left"/>
      <w:lvlText w:val="%1."/>
      <w:numFmt w:val="lowerLetter"/>
      <w:start w:val="10"/>
    </w:lvl>
  </w:abstractNum>
  <w:abstractNum w:abstractNumId="156">
    <w:nsid w:val="EAD6F57"/>
    <w:multiLevelType w:val="hybridMultilevel"/>
    <w:lvl w:ilvl="0">
      <w:lvlJc w:val="left"/>
      <w:lvlText w:val="%1."/>
      <w:numFmt w:val="lowerLetter"/>
      <w:start w:val="11"/>
    </w:lvl>
  </w:abstractNum>
  <w:abstractNum w:abstractNumId="157">
    <w:nsid w:val="6EC9D844"/>
    <w:multiLevelType w:val="hybridMultilevel"/>
    <w:lvl w:ilvl="0">
      <w:lvlJc w:val="left"/>
      <w:lvlText w:val="%1."/>
      <w:numFmt w:val="lowerLetter"/>
      <w:start w:val="12"/>
    </w:lvl>
  </w:abstractNum>
  <w:abstractNum w:abstractNumId="158">
    <w:nsid w:val="5C49EAEE"/>
    <w:multiLevelType w:val="hybridMultilevel"/>
    <w:lvl w:ilvl="0">
      <w:lvlJc w:val="left"/>
      <w:lvlText w:val="%1."/>
      <w:numFmt w:val="lowerLetter"/>
      <w:start w:val="13"/>
    </w:lvl>
    <w:lvl w:ilvl="1">
      <w:lvlJc w:val="left"/>
      <w:lvlText w:val="%2)"/>
      <w:numFmt w:val="decimal"/>
      <w:start w:val="1"/>
    </w:lvl>
  </w:abstractNum>
  <w:abstractNum w:abstractNumId="159">
    <w:nsid w:val="64AF49B"/>
    <w:multiLevelType w:val="hybridMultilevel"/>
    <w:lvl w:ilvl="0">
      <w:lvlJc w:val="left"/>
      <w:lvlText w:val="%1."/>
      <w:numFmt w:val="lowerLetter"/>
      <w:start w:val="14"/>
    </w:lvl>
  </w:abstractNum>
  <w:abstractNum w:abstractNumId="160">
    <w:nsid w:val="397C46BC"/>
    <w:multiLevelType w:val="hybridMultilevel"/>
    <w:lvl w:ilvl="0">
      <w:lvlJc w:val="left"/>
      <w:lvlText w:val="%1."/>
      <w:numFmt w:val="lowerLetter"/>
      <w:start w:val="15"/>
    </w:lvl>
  </w:abstractNum>
  <w:abstractNum w:abstractNumId="161">
    <w:nsid w:val="7E448DE9"/>
    <w:multiLevelType w:val="hybridMultilevel"/>
    <w:lvl w:ilvl="0">
      <w:lvlJc w:val="left"/>
      <w:lvlText w:val="%1."/>
      <w:numFmt w:val="lowerLetter"/>
      <w:start w:val="16"/>
    </w:lvl>
  </w:abstractNum>
  <w:abstractNum w:abstractNumId="162">
    <w:nsid w:val="5A9CC3E5"/>
    <w:multiLevelType w:val="hybridMultilevel"/>
    <w:lvl w:ilvl="0">
      <w:lvlJc w:val="left"/>
      <w:lvlText w:val="%1."/>
      <w:numFmt w:val="lowerLetter"/>
      <w:start w:val="17"/>
    </w:lvl>
  </w:abstractNum>
  <w:abstractNum w:abstractNumId="163">
    <w:nsid w:val="1AFE3625"/>
    <w:multiLevelType w:val="hybridMultilevel"/>
    <w:lvl w:ilvl="0">
      <w:lvlJc w:val="left"/>
      <w:lvlText w:val="%1."/>
      <w:numFmt w:val="lowerLetter"/>
      <w:start w:val="18"/>
    </w:lvl>
  </w:abstractNum>
  <w:abstractNum w:abstractNumId="164">
    <w:nsid w:val="3CA88ECF"/>
    <w:multiLevelType w:val="hybridMultilevel"/>
    <w:lvl w:ilvl="0">
      <w:lvlJc w:val="left"/>
      <w:lvlText w:val="%1."/>
      <w:numFmt w:val="lowerLetter"/>
      <w:start w:val="1"/>
    </w:lvl>
    <w:lvl w:ilvl="1">
      <w:lvlJc w:val="left"/>
      <w:lvlText w:val="%2)"/>
      <w:numFmt w:val="decimal"/>
      <w:start w:val="1"/>
    </w:lvl>
  </w:abstractNum>
  <w:abstractNum w:abstractNumId="165">
    <w:nsid w:val="6EBE4208"/>
    <w:multiLevelType w:val="hybridMultilevel"/>
    <w:lvl w:ilvl="0">
      <w:lvlJc w:val="left"/>
      <w:lvlText w:val="%1)"/>
      <w:numFmt w:val="decimal"/>
      <w:start w:val="2"/>
    </w:lvl>
  </w:abstractNum>
  <w:abstractNum w:abstractNumId="166">
    <w:nsid w:val="C058DF5"/>
    <w:multiLevelType w:val="hybridMultilevel"/>
    <w:lvl w:ilvl="0">
      <w:lvlJc w:val="left"/>
      <w:lvlText w:val="%1."/>
      <w:numFmt w:val="lowerRoman"/>
      <w:start w:val="1"/>
    </w:lvl>
  </w:abstractNum>
  <w:abstractNum w:abstractNumId="167">
    <w:nsid w:val="CBE5BE9"/>
    <w:multiLevelType w:val="hybridMultilevel"/>
    <w:lvl w:ilvl="0">
      <w:lvlJc w:val="left"/>
      <w:lvlText w:val="%1."/>
      <w:numFmt w:val="lowerLetter"/>
      <w:start w:val="2"/>
    </w:lvl>
  </w:abstractNum>
  <w:abstractNum w:abstractNumId="168">
    <w:nsid w:val="3102BBE2"/>
    <w:multiLevelType w:val="hybridMultilevel"/>
    <w:lvl w:ilvl="0">
      <w:lvlJc w:val="left"/>
      <w:lvlText w:val="%1."/>
      <w:numFmt w:val="lowerLetter"/>
      <w:start w:val="3"/>
    </w:lvl>
  </w:abstractNum>
  <w:abstractNum w:abstractNumId="169">
    <w:nsid w:val="26A02C5E"/>
    <w:multiLevelType w:val="hybridMultilevel"/>
    <w:lvl w:ilvl="0">
      <w:lvlJc w:val="left"/>
      <w:lvlText w:val="%1."/>
      <w:numFmt w:val="lowerLetter"/>
      <w:start w:val="6"/>
    </w:lvl>
  </w:abstractNum>
  <w:abstractNum w:abstractNumId="170">
    <w:nsid w:val="541C8153"/>
    <w:multiLevelType w:val="hybridMultilevel"/>
    <w:lvl w:ilvl="0">
      <w:lvlJc w:val="left"/>
      <w:lvlText w:val="%1."/>
      <w:numFmt w:val="lowerLetter"/>
      <w:start w:val="1"/>
    </w:lvl>
  </w:abstractNum>
  <w:abstractNum w:abstractNumId="171">
    <w:nsid w:val="67906F60"/>
    <w:multiLevelType w:val="hybridMultilevel"/>
    <w:lvl w:ilvl="0">
      <w:lvlJc w:val="left"/>
      <w:lvlText w:val="%1."/>
      <w:numFmt w:val="lowerLetter"/>
      <w:start w:val="1"/>
    </w:lvl>
    <w:lvl w:ilvl="1">
      <w:lvlJc w:val="left"/>
      <w:lvlText w:val="%2)"/>
      <w:numFmt w:val="decimal"/>
      <w:start w:val="1"/>
    </w:lvl>
  </w:abstractNum>
  <w:abstractNum w:abstractNumId="172">
    <w:nsid w:val="10DB9DAA"/>
    <w:multiLevelType w:val="hybridMultilevel"/>
    <w:lvl w:ilvl="0">
      <w:lvlJc w:val="left"/>
      <w:lvlText w:val="%1)"/>
      <w:numFmt w:val="decimal"/>
      <w:start w:val="2"/>
    </w:lvl>
  </w:abstractNum>
  <w:abstractNum w:abstractNumId="173">
    <w:nsid w:val="697D2D2"/>
    <w:multiLevelType w:val="hybridMultilevel"/>
    <w:lvl w:ilvl="0">
      <w:lvlJc w:val="left"/>
      <w:lvlText w:val="%1."/>
      <w:numFmt w:val="lowerLetter"/>
      <w:start w:val="2"/>
    </w:lvl>
    <w:lvl w:ilvl="1">
      <w:lvlJc w:val="left"/>
      <w:lvlText w:val="%2)"/>
      <w:numFmt w:val="decimal"/>
      <w:start w:val="1"/>
    </w:lvl>
  </w:abstractNum>
  <w:abstractNum w:abstractNumId="174">
    <w:nsid w:val="6D68AB2"/>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175">
    <w:nsid w:val="3A966CD0"/>
    <w:multiLevelType w:val="hybridMultilevel"/>
    <w:lvl w:ilvl="0">
      <w:lvlJc w:val="left"/>
      <w:lvlText w:val="%1."/>
      <w:numFmt w:val="lowerLetter"/>
      <w:start w:val="3"/>
    </w:lvl>
  </w:abstractNum>
  <w:abstractNum w:abstractNumId="176">
    <w:nsid w:val="63F37E85"/>
    <w:multiLevelType w:val="hybridMultilevel"/>
    <w:lvl w:ilvl="0">
      <w:lvlJc w:val="left"/>
      <w:lvlText w:val="%1."/>
      <w:numFmt w:val="lowerLetter"/>
      <w:start w:val="1"/>
    </w:lvl>
  </w:abstractNum>
  <w:abstractNum w:abstractNumId="177">
    <w:nsid w:val="5895F5FA"/>
    <w:multiLevelType w:val="hybridMultilevel"/>
    <w:lvl w:ilvl="0">
      <w:lvlJc w:val="left"/>
      <w:lvlText w:val="%1."/>
      <w:numFmt w:val="lowerLetter"/>
      <w:start w:val="2"/>
    </w:lvl>
  </w:abstractNum>
  <w:abstractNum w:abstractNumId="178">
    <w:nsid w:val="38A5D054"/>
    <w:multiLevelType w:val="hybridMultilevel"/>
    <w:lvl w:ilvl="0">
      <w:lvlJc w:val="left"/>
      <w:lvlText w:val="%1."/>
      <w:numFmt w:val="lowerLetter"/>
      <w:start w:val="3"/>
    </w:lvl>
  </w:abstractNum>
  <w:abstractNum w:abstractNumId="179">
    <w:nsid w:val="F3F09D8"/>
    <w:multiLevelType w:val="hybridMultilevel"/>
    <w:lvl w:ilvl="0">
      <w:lvlJc w:val="left"/>
      <w:lvlText w:val="%1."/>
      <w:numFmt w:val="lowerLetter"/>
      <w:start w:val="4"/>
    </w:lvl>
  </w:abstractNum>
  <w:abstractNum w:abstractNumId="180">
    <w:nsid w:val="4B793735"/>
    <w:multiLevelType w:val="hybridMultilevel"/>
    <w:lvl w:ilvl="0">
      <w:lvlJc w:val="left"/>
      <w:lvlText w:val="%1."/>
      <w:numFmt w:val="lowerLetter"/>
      <w:start w:val="5"/>
    </w:lvl>
  </w:abstractNum>
  <w:abstractNum w:abstractNumId="181">
    <w:nsid w:val="4A10B4E8"/>
    <w:multiLevelType w:val="hybridMultilevel"/>
    <w:lvl w:ilvl="0">
      <w:lvlJc w:val="left"/>
      <w:lvlText w:val="%1."/>
      <w:numFmt w:val="lowerLetter"/>
      <w:start w:val="7"/>
    </w:lvl>
  </w:abstractNum>
  <w:abstractNum w:abstractNumId="182">
    <w:nsid w:val="43D3BCD4"/>
    <w:multiLevelType w:val="hybridMultilevel"/>
    <w:lvl w:ilvl="0">
      <w:lvlJc w:val="left"/>
      <w:lvlText w:val="%1."/>
      <w:numFmt w:val="lowerLetter"/>
      <w:start w:val="8"/>
    </w:lvl>
  </w:abstractNum>
  <w:abstractNum w:abstractNumId="183">
    <w:nsid w:val="4C2A7166"/>
    <w:multiLevelType w:val="hybridMultilevel"/>
    <w:lvl w:ilvl="0">
      <w:lvlJc w:val="left"/>
      <w:lvlText w:val="%1."/>
      <w:numFmt w:val="lowerRoman"/>
      <w:start w:val="1"/>
    </w:lvl>
  </w:abstractNum>
  <w:abstractNum w:abstractNumId="184">
    <w:nsid w:val="2E534A82"/>
    <w:multiLevelType w:val="hybridMultilevel"/>
    <w:lvl w:ilvl="0">
      <w:lvlJc w:val="left"/>
      <w:lvlText w:val="%1."/>
      <w:numFmt w:val="lowerLetter"/>
      <w:start w:val="1"/>
    </w:lvl>
  </w:abstractNum>
  <w:abstractNum w:abstractNumId="185">
    <w:nsid w:val="26F2D364"/>
    <w:multiLevelType w:val="hybridMultilevel"/>
    <w:lvl w:ilvl="0">
      <w:lvlJc w:val="left"/>
      <w:lvlText w:val="%1."/>
      <w:numFmt w:val="decimal"/>
      <w:start w:val="1"/>
    </w:lvl>
  </w:abstractNum>
  <w:abstractNum w:abstractNumId="186">
    <w:nsid w:val="71C1AF98"/>
    <w:multiLevelType w:val="hybridMultilevel"/>
    <w:lvl w:ilvl="0">
      <w:lvlJc w:val="left"/>
      <w:lvlText w:val="%1."/>
      <w:numFmt w:val="decimal"/>
      <w:start w:val="3"/>
    </w:lvl>
  </w:abstractNum>
  <w:abstractNum w:abstractNumId="187">
    <w:nsid w:val="3D00B9D9"/>
    <w:multiLevelType w:val="hybridMultilevel"/>
    <w:lvl w:ilvl="0">
      <w:lvlJc w:val="left"/>
      <w:lvlText w:val="%1."/>
      <w:numFmt w:val="decimal"/>
      <w:start w:val="29"/>
    </w:lvl>
    <w:lvl w:ilvl="1">
      <w:lvlJc w:val="left"/>
      <w:lvlText w:val="•"/>
      <w:numFmt w:val="bullet"/>
      <w:start w:val="1"/>
    </w:lvl>
  </w:abstractNum>
  <w:abstractNum w:abstractNumId="188">
    <w:nsid w:val="15BCABA8"/>
    <w:multiLevelType w:val="hybridMultilevel"/>
    <w:lvl w:ilvl="0">
      <w:lvlJc w:val="left"/>
      <w:lvlText w:val="•"/>
      <w:numFmt w:val="bullet"/>
      <w:start w:val="1"/>
    </w:lvl>
  </w:abstractNum>
  <w:abstractNum w:abstractNumId="189">
    <w:nsid w:val="4E0B9A87"/>
    <w:multiLevelType w:val="hybridMultilevel"/>
    <w:lvl w:ilvl="0">
      <w:lvlJc w:val="left"/>
      <w:lvlText w:val="%1."/>
      <w:numFmt w:val="decimal"/>
      <w:start w:val="4"/>
    </w:lvl>
  </w:abstractNum>
  <w:abstractNum w:abstractNumId="190">
    <w:nsid w:val="434BAE75"/>
    <w:multiLevelType w:val="hybridMultilevel"/>
    <w:lvl w:ilvl="0">
      <w:lvlJc w:val="left"/>
      <w:lvlText w:val="%1."/>
      <w:numFmt w:val="decimal"/>
      <w:start w:val="29"/>
    </w:lvl>
  </w:abstractNum>
  <w:abstractNum w:abstractNumId="191">
    <w:nsid w:val="4F38F265"/>
    <w:multiLevelType w:val="hybridMultilevel"/>
    <w:lvl w:ilvl="0">
      <w:lvlJc w:val="left"/>
      <w:lvlText w:val="1"/>
      <w:numFmt w:val="bullet"/>
      <w:start w:val="1"/>
    </w:lvl>
  </w:abstractNum>
  <w:abstractNum w:abstractNumId="192">
    <w:nsid w:val="4C502870"/>
    <w:multiLevelType w:val="hybridMultilevel"/>
    <w:lvl w:ilvl="0">
      <w:lvlJc w:val="left"/>
      <w:lvlText w:val="%1."/>
      <w:numFmt w:val="decimal"/>
      <w:start w:val="6"/>
    </w:lvl>
  </w:abstractNum>
  <w:abstractNum w:abstractNumId="193">
    <w:nsid w:val="1DE8725A"/>
    <w:multiLevelType w:val="hybridMultilevel"/>
    <w:lvl w:ilvl="0">
      <w:lvlJc w:val="left"/>
      <w:lvlText w:val="%1."/>
      <w:numFmt w:val="decimal"/>
      <w:start w:val="7"/>
    </w:lvl>
  </w:abstractNum>
  <w:abstractNum w:abstractNumId="194">
    <w:nsid w:val="6A37288A"/>
    <w:multiLevelType w:val="hybridMultilevel"/>
    <w:lvl w:ilvl="0">
      <w:lvlJc w:val="left"/>
      <w:lvlText w:val="•"/>
      <w:numFmt w:val="bullet"/>
      <w:start w:val="1"/>
    </w:lvl>
  </w:abstractNum>
  <w:abstractNum w:abstractNumId="195">
    <w:nsid w:val="8F8B73F"/>
    <w:multiLevelType w:val="hybridMultilevel"/>
    <w:lvl w:ilvl="0">
      <w:lvlJc w:val="left"/>
      <w:lvlText w:val="%1"/>
      <w:numFmt w:val="upperLetter"/>
      <w:start w:val="1"/>
    </w:lvl>
    <w:lvl w:ilvl="1">
      <w:lvlJc w:val="left"/>
      <w:lvlText w:val="%2."/>
      <w:numFmt w:val="decimal"/>
      <w:start w:val="8"/>
    </w:lvl>
  </w:abstractNum>
  <w:abstractNum w:abstractNumId="196">
    <w:nsid w:val="CA6B462"/>
    <w:multiLevelType w:val="hybridMultilevel"/>
    <w:lvl w:ilvl="0">
      <w:lvlJc w:val="left"/>
      <w:lvlText w:val="%1."/>
      <w:numFmt w:val="upperLetter"/>
      <w:start w:val="3"/>
    </w:lvl>
    <w:lvl w:ilvl="1">
      <w:lvlJc w:val="left"/>
      <w:lvlText w:val="%2"/>
      <w:numFmt w:val="decimal"/>
      <w:start w:val="1"/>
    </w:lvl>
  </w:abstractNum>
  <w:abstractNum w:abstractNumId="197">
    <w:nsid w:val="763CB680"/>
    <w:multiLevelType w:val="hybridMultilevel"/>
    <w:lvl w:ilvl="0">
      <w:lvlJc w:val="left"/>
      <w:lvlText w:val="%1."/>
      <w:numFmt w:val="decimal"/>
      <w:start w:val="9"/>
    </w:lvl>
  </w:abstractNum>
  <w:abstractNum w:abstractNumId="198">
    <w:nsid w:val="15B71329"/>
    <w:multiLevelType w:val="hybridMultilevel"/>
    <w:lvl w:ilvl="0">
      <w:lvlJc w:val="left"/>
      <w:lvlText w:val="%1."/>
      <w:numFmt w:val="decimal"/>
      <w:start w:val="10"/>
    </w:lvl>
  </w:abstractNum>
  <w:abstractNum w:abstractNumId="199">
    <w:nsid w:val="3DA97044"/>
    <w:multiLevelType w:val="hybridMultilevel"/>
    <w:lvl w:ilvl="0">
      <w:lvlJc w:val="left"/>
      <w:lvlText w:val="•"/>
      <w:numFmt w:val="bullet"/>
      <w:start w:val="1"/>
    </w:lvl>
  </w:abstractNum>
  <w:abstractNum w:abstractNumId="200">
    <w:nsid w:val="1CDCE2DE"/>
    <w:multiLevelType w:val="hybridMultilevel"/>
    <w:lvl w:ilvl="0">
      <w:lvlJc w:val="left"/>
      <w:lvlText w:val="%1."/>
      <w:numFmt w:val="decimal"/>
      <w:start w:val="12"/>
    </w:lvl>
  </w:abstractNum>
  <w:abstractNum w:abstractNumId="201">
    <w:nsid w:val="69D3947C"/>
    <w:multiLevelType w:val="hybridMultilevel"/>
    <w:lvl w:ilvl="0">
      <w:lvlJc w:val="left"/>
      <w:lvlText w:val="%1."/>
      <w:numFmt w:val="decimal"/>
      <w:start w:val="13"/>
    </w:lvl>
  </w:abstractNum>
  <w:abstractNum w:abstractNumId="202">
    <w:nsid w:val="2539DFA5"/>
    <w:multiLevelType w:val="hybridMultilevel"/>
    <w:lvl w:ilvl="0">
      <w:lvlJc w:val="left"/>
      <w:lvlText w:val="2"/>
      <w:numFmt w:val="bullet"/>
      <w:start w:val="1"/>
    </w:lvl>
  </w:abstractNum>
  <w:abstractNum w:abstractNumId="203">
    <w:nsid w:val="2DB88089"/>
    <w:multiLevelType w:val="hybridMultilevel"/>
    <w:lvl w:ilvl="0">
      <w:lvlJc w:val="left"/>
      <w:lvlText w:val="3"/>
      <w:numFmt w:val="bullet"/>
      <w:start w:val="1"/>
    </w:lvl>
  </w:abstractNum>
  <w:abstractNum w:abstractNumId="204">
    <w:nsid w:val="706B674E"/>
    <w:multiLevelType w:val="hybridMultilevel"/>
    <w:lvl w:ilvl="0">
      <w:lvlJc w:val="left"/>
      <w:lvlText w:val="%1"/>
      <w:numFmt w:val="upperLetter"/>
      <w:start w:val="1"/>
    </w:lvl>
    <w:lvl w:ilvl="1">
      <w:lvlJc w:val="left"/>
      <w:lvlText w:val="%2."/>
      <w:numFmt w:val="decimal"/>
      <w:start w:val="16"/>
    </w:lvl>
  </w:abstractNum>
  <w:abstractNum w:abstractNumId="205">
    <w:nsid w:val="2C106A57"/>
    <w:multiLevelType w:val="hybridMultilevel"/>
    <w:lvl w:ilvl="0">
      <w:lvlJc w:val="left"/>
      <w:lvlText w:val="%1."/>
      <w:numFmt w:val="upperLetter"/>
      <w:start w:val="5"/>
    </w:lvl>
    <w:lvl w:ilvl="1">
      <w:lvlJc w:val="left"/>
      <w:lvlText w:val="%2."/>
      <w:numFmt w:val="decimal"/>
      <w:start w:val="19"/>
    </w:lvl>
  </w:abstractNum>
  <w:abstractNum w:abstractNumId="206">
    <w:nsid w:val="684EED59"/>
    <w:multiLevelType w:val="hybridMultilevel"/>
    <w:lvl w:ilvl="0">
      <w:lvlJc w:val="left"/>
      <w:lvlText w:val="%1"/>
      <w:numFmt w:val="upperLetter"/>
      <w:start w:val="1"/>
    </w:lvl>
    <w:lvl w:ilvl="1">
      <w:lvlJc w:val="left"/>
      <w:lvlText w:val="%2."/>
      <w:numFmt w:val="decimal"/>
      <w:start w:val="20"/>
    </w:lvl>
  </w:abstractNum>
  <w:abstractNum w:abstractNumId="207">
    <w:nsid w:val="545EE5D3"/>
    <w:multiLevelType w:val="hybridMultilevel"/>
    <w:lvl w:ilvl="0">
      <w:lvlJc w:val="left"/>
      <w:lvlText w:val="%1."/>
      <w:numFmt w:val="upperLetter"/>
      <w:start w:val="6"/>
    </w:lvl>
    <w:lvl w:ilvl="1">
      <w:lvlJc w:val="left"/>
      <w:lvlText w:val="%2."/>
      <w:numFmt w:val="decimal"/>
      <w:start w:val="22"/>
    </w:lvl>
  </w:abstractNum>
  <w:abstractNum w:abstractNumId="208">
    <w:nsid w:val="4A66051"/>
    <w:multiLevelType w:val="hybridMultilevel"/>
    <w:lvl w:ilvl="0">
      <w:lvlJc w:val="left"/>
      <w:lvlText w:val="•"/>
      <w:numFmt w:val="bullet"/>
      <w:start w:val="1"/>
    </w:lvl>
  </w:abstractNum>
  <w:abstractNum w:abstractNumId="209">
    <w:nsid w:val="20F4BDAD"/>
    <w:multiLevelType w:val="hybridMultilevel"/>
    <w:lvl w:ilvl="0">
      <w:lvlJc w:val="left"/>
      <w:lvlText w:val="%1."/>
      <w:numFmt w:val="decimal"/>
      <w:start w:val="25"/>
    </w:lvl>
  </w:abstractNum>
  <w:abstractNum w:abstractNumId="210">
    <w:nsid w:val="639DEFAC"/>
    <w:multiLevelType w:val="hybridMultilevel"/>
    <w:lvl w:ilvl="0">
      <w:lvlJc w:val="left"/>
      <w:lvlText w:val="%1."/>
      <w:numFmt w:val="decimal"/>
      <w:start w:val="26"/>
    </w:lvl>
  </w:abstractNum>
  <w:abstractNum w:abstractNumId="211">
    <w:nsid w:val="501F9786"/>
    <w:multiLevelType w:val="hybridMultilevel"/>
    <w:lvl w:ilvl="0">
      <w:lvlJc w:val="left"/>
      <w:lvlText w:val="%1."/>
      <w:numFmt w:val="decimal"/>
      <w:start w:val="28"/>
    </w:lvl>
  </w:abstractNum>
  <w:abstractNum w:abstractNumId="212">
    <w:nsid w:val="6B057295"/>
    <w:multiLevelType w:val="hybridMultilevel"/>
    <w:lvl w:ilvl="0">
      <w:lvlJc w:val="left"/>
      <w:lvlText w:val="%1."/>
      <w:numFmt w:val="decimal"/>
      <w:start w:val="29"/>
    </w:lvl>
  </w:abstractNum>
  <w:abstractNum w:abstractNumId="213">
    <w:nsid w:val="2771AC80"/>
    <w:multiLevelType w:val="hybridMultilevel"/>
    <w:lvl w:ilvl="0">
      <w:lvlJc w:val="left"/>
      <w:lvlText w:val="%1"/>
      <w:numFmt w:val="upperLetter"/>
      <w:start w:val="1"/>
    </w:lvl>
    <w:lvl w:ilvl="1">
      <w:lvlJc w:val="left"/>
      <w:lvlText w:val="%2."/>
      <w:numFmt w:val="decimal"/>
      <w:start w:val="30"/>
    </w:lvl>
  </w:abstractNum>
  <w:abstractNum w:abstractNumId="214">
    <w:nsid w:val="1C4A08EC"/>
    <w:multiLevelType w:val="hybridMultilevel"/>
    <w:lvl w:ilvl="0">
      <w:lvlJc w:val="left"/>
      <w:lvlText w:val="%1."/>
      <w:numFmt w:val="upperLetter"/>
      <w:start w:val="9"/>
    </w:lvl>
    <w:lvl w:ilvl="1">
      <w:lvlJc w:val="left"/>
      <w:lvlText w:val="%2."/>
      <w:numFmt w:val="decimal"/>
      <w:start w:val="31"/>
    </w:lvl>
  </w:abstractNum>
  <w:abstractNum w:abstractNumId="215">
    <w:nsid w:val="1958BD17"/>
    <w:multiLevelType w:val="hybridMultilevel"/>
    <w:lvl w:ilvl="0">
      <w:lvlJc w:val="left"/>
      <w:lvlText w:val="4"/>
      <w:numFmt w:val="bullet"/>
      <w:start w:val="1"/>
    </w:lvl>
  </w:abstractNum>
  <w:abstractNum w:abstractNumId="216">
    <w:nsid w:val="4E647FE4"/>
    <w:multiLevelType w:val="hybridMultilevel"/>
    <w:lvl w:ilvl="0">
      <w:lvlJc w:val="left"/>
      <w:lvlText w:val="5"/>
      <w:numFmt w:val="bullet"/>
      <w:start w:val="1"/>
    </w:lvl>
  </w:abstractNum>
  <w:abstractNum w:abstractNumId="217">
    <w:nsid w:val="E0BB885"/>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1"/>
    </w:lvl>
  </w:abstractNum>
  <w:abstractNum w:abstractNumId="218">
    <w:nsid w:val="565976F1"/>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19">
    <w:nsid w:val="64212B8C"/>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20">
    <w:nsid w:val="5C17530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jpe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png"/><Relationship Id="rId82" Type="http://schemas.openxmlformats.org/officeDocument/2006/relationships/image" Target="media/image75.jpe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jpeg"/><Relationship Id="rId86" Type="http://schemas.openxmlformats.org/officeDocument/2006/relationships/image" Target="media/image79.pn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98" Type="http://schemas.openxmlformats.org/officeDocument/2006/relationships/image" Target="media/image168.png"/><Relationship Id="rId199" Type="http://schemas.openxmlformats.org/officeDocument/2006/relationships/image" Target="media/image169.png"/><Relationship Id="rId200" Type="http://schemas.openxmlformats.org/officeDocument/2006/relationships/image" Target="media/image170.png"/><Relationship Id="rId201" Type="http://schemas.openxmlformats.org/officeDocument/2006/relationships/image" Target="media/image171.png"/><Relationship Id="rId202" Type="http://schemas.openxmlformats.org/officeDocument/2006/relationships/image" Target="media/image172.png"/><Relationship Id="rId203" Type="http://schemas.openxmlformats.org/officeDocument/2006/relationships/image" Target="media/image173.jpeg"/><Relationship Id="rId204" Type="http://schemas.openxmlformats.org/officeDocument/2006/relationships/image" Target="media/image174.png"/><Relationship Id="rId205" Type="http://schemas.openxmlformats.org/officeDocument/2006/relationships/image" Target="media/image175.png"/><Relationship Id="rId206" Type="http://schemas.openxmlformats.org/officeDocument/2006/relationships/image" Target="media/image176.png"/><Relationship Id="rId207" Type="http://schemas.openxmlformats.org/officeDocument/2006/relationships/image" Target="media/image177.png"/><Relationship Id="rId208" Type="http://schemas.openxmlformats.org/officeDocument/2006/relationships/image" Target="media/image178.png"/><Relationship Id="rId209" Type="http://schemas.openxmlformats.org/officeDocument/2006/relationships/image" Target="media/image179.png"/><Relationship Id="rId210" Type="http://schemas.openxmlformats.org/officeDocument/2006/relationships/image" Target="media/image180.png"/><Relationship Id="rId211" Type="http://schemas.openxmlformats.org/officeDocument/2006/relationships/image" Target="media/image181.png"/><Relationship Id="rId212" Type="http://schemas.openxmlformats.org/officeDocument/2006/relationships/image" Target="media/image182.png"/><Relationship Id="rId213" Type="http://schemas.openxmlformats.org/officeDocument/2006/relationships/image" Target="media/image183.png"/><Relationship Id="rId214" Type="http://schemas.openxmlformats.org/officeDocument/2006/relationships/image" Target="media/image184.png"/><Relationship Id="rId215" Type="http://schemas.openxmlformats.org/officeDocument/2006/relationships/image" Target="media/image185.png"/><Relationship Id="rId216" Type="http://schemas.openxmlformats.org/officeDocument/2006/relationships/image" Target="media/image186.png"/><Relationship Id="rId217" Type="http://schemas.openxmlformats.org/officeDocument/2006/relationships/image" Target="media/image187.png"/><Relationship Id="rId218" Type="http://schemas.openxmlformats.org/officeDocument/2006/relationships/image" Target="media/image188.png"/><Relationship Id="rId219" Type="http://schemas.openxmlformats.org/officeDocument/2006/relationships/image" Target="media/image189.png"/><Relationship Id="rId220" Type="http://schemas.openxmlformats.org/officeDocument/2006/relationships/image" Target="media/image190.png"/><Relationship Id="rId221" Type="http://schemas.openxmlformats.org/officeDocument/2006/relationships/image" Target="media/image191.png"/><Relationship Id="rId222" Type="http://schemas.openxmlformats.org/officeDocument/2006/relationships/image" Target="media/image192.png"/><Relationship Id="rId223" Type="http://schemas.openxmlformats.org/officeDocument/2006/relationships/image" Target="media/image193.png"/><Relationship Id="rId224" Type="http://schemas.openxmlformats.org/officeDocument/2006/relationships/image" Target="media/image194.png"/><Relationship Id="rId225" Type="http://schemas.openxmlformats.org/officeDocument/2006/relationships/image" Target="media/image195.png"/><Relationship Id="rId226" Type="http://schemas.openxmlformats.org/officeDocument/2006/relationships/image" Target="media/image196.png"/><Relationship Id="rId227" Type="http://schemas.openxmlformats.org/officeDocument/2006/relationships/image" Target="media/image197.png"/><Relationship Id="rId228" Type="http://schemas.openxmlformats.org/officeDocument/2006/relationships/image" Target="media/image198.png"/><Relationship Id="rId229" Type="http://schemas.openxmlformats.org/officeDocument/2006/relationships/image" Target="media/image199.png"/><Relationship Id="rId230" Type="http://schemas.openxmlformats.org/officeDocument/2006/relationships/image" Target="media/image200.png"/><Relationship Id="rId231" Type="http://schemas.openxmlformats.org/officeDocument/2006/relationships/image" Target="media/image201.png"/><Relationship Id="rId232" Type="http://schemas.openxmlformats.org/officeDocument/2006/relationships/image" Target="media/image202.png"/><Relationship Id="rId233" Type="http://schemas.openxmlformats.org/officeDocument/2006/relationships/image" Target="media/image203.png"/><Relationship Id="rId234" Type="http://schemas.openxmlformats.org/officeDocument/2006/relationships/image" Target="media/image204.png"/><Relationship Id="rId235" Type="http://schemas.openxmlformats.org/officeDocument/2006/relationships/image" Target="media/image205.png"/><Relationship Id="rId236" Type="http://schemas.openxmlformats.org/officeDocument/2006/relationships/image" Target="media/image206.png"/><Relationship Id="rId237" Type="http://schemas.openxmlformats.org/officeDocument/2006/relationships/image" Target="media/image207.png"/><Relationship Id="rId238" Type="http://schemas.openxmlformats.org/officeDocument/2006/relationships/image" Target="media/image208.png"/><Relationship Id="rId239" Type="http://schemas.openxmlformats.org/officeDocument/2006/relationships/image" Target="media/image209.png"/><Relationship Id="rId240" Type="http://schemas.openxmlformats.org/officeDocument/2006/relationships/image" Target="media/image210.png"/><Relationship Id="rId241" Type="http://schemas.openxmlformats.org/officeDocument/2006/relationships/image" Target="media/image211.png"/><Relationship Id="rId242" Type="http://schemas.openxmlformats.org/officeDocument/2006/relationships/image" Target="media/image212.png"/><Relationship Id="rId243" Type="http://schemas.openxmlformats.org/officeDocument/2006/relationships/image" Target="media/image213.png"/><Relationship Id="rId244" Type="http://schemas.openxmlformats.org/officeDocument/2006/relationships/image" Target="media/image214.png"/><Relationship Id="rId245" Type="http://schemas.openxmlformats.org/officeDocument/2006/relationships/image" Target="media/image215.png"/><Relationship Id="rId246" Type="http://schemas.openxmlformats.org/officeDocument/2006/relationships/image" Target="media/image216.png"/><Relationship Id="rId247" Type="http://schemas.openxmlformats.org/officeDocument/2006/relationships/image" Target="media/image217.png"/><Relationship Id="rId248" Type="http://schemas.openxmlformats.org/officeDocument/2006/relationships/image" Target="media/image218.png"/><Relationship Id="rId249" Type="http://schemas.openxmlformats.org/officeDocument/2006/relationships/image" Target="media/image219.png"/><Relationship Id="rId250" Type="http://schemas.openxmlformats.org/officeDocument/2006/relationships/image" Target="media/image220.png"/><Relationship Id="rId251" Type="http://schemas.openxmlformats.org/officeDocument/2006/relationships/image" Target="media/image221.png"/><Relationship Id="rId252" Type="http://schemas.openxmlformats.org/officeDocument/2006/relationships/image" Target="media/image222.png"/><Relationship Id="rId253" Type="http://schemas.openxmlformats.org/officeDocument/2006/relationships/image" Target="media/image223.png"/><Relationship Id="rId254" Type="http://schemas.openxmlformats.org/officeDocument/2006/relationships/image" Target="media/image224.png"/><Relationship Id="rId255" Type="http://schemas.openxmlformats.org/officeDocument/2006/relationships/image" Target="media/image225.png"/><Relationship Id="rId256" Type="http://schemas.openxmlformats.org/officeDocument/2006/relationships/image" Target="media/image226.png"/><Relationship Id="rId257" Type="http://schemas.openxmlformats.org/officeDocument/2006/relationships/image" Target="media/image227.png"/><Relationship Id="rId258" Type="http://schemas.openxmlformats.org/officeDocument/2006/relationships/image" Target="media/image228.png"/><Relationship Id="rId259" Type="http://schemas.openxmlformats.org/officeDocument/2006/relationships/image" Target="media/image229.png"/><Relationship Id="rId260" Type="http://schemas.openxmlformats.org/officeDocument/2006/relationships/image" Target="media/image230.png"/><Relationship Id="rId261" Type="http://schemas.openxmlformats.org/officeDocument/2006/relationships/image" Target="media/image231.png"/><Relationship Id="rId262" Type="http://schemas.openxmlformats.org/officeDocument/2006/relationships/image" Target="media/image232.png"/><Relationship Id="rId263" Type="http://schemas.openxmlformats.org/officeDocument/2006/relationships/image" Target="media/image233.png"/><Relationship Id="rId264" Type="http://schemas.openxmlformats.org/officeDocument/2006/relationships/image" Target="media/image234.png"/><Relationship Id="rId265" Type="http://schemas.openxmlformats.org/officeDocument/2006/relationships/image" Target="media/image235.png"/><Relationship Id="rId266" Type="http://schemas.openxmlformats.org/officeDocument/2006/relationships/image" Target="media/image236.png"/><Relationship Id="rId267" Type="http://schemas.openxmlformats.org/officeDocument/2006/relationships/image" Target="media/image237.png"/><Relationship Id="rId268" Type="http://schemas.openxmlformats.org/officeDocument/2006/relationships/image" Target="media/image238.png"/><Relationship Id="rId269" Type="http://schemas.openxmlformats.org/officeDocument/2006/relationships/image" Target="media/image239.png"/><Relationship Id="rId270" Type="http://schemas.openxmlformats.org/officeDocument/2006/relationships/image" Target="media/image240.png"/><Relationship Id="rId271" Type="http://schemas.openxmlformats.org/officeDocument/2006/relationships/image" Target="media/image241.png"/><Relationship Id="rId272" Type="http://schemas.openxmlformats.org/officeDocument/2006/relationships/image" Target="media/image242.png"/><Relationship Id="rId273" Type="http://schemas.openxmlformats.org/officeDocument/2006/relationships/image" Target="media/image243.jpeg"/><Relationship Id="rId274" Type="http://schemas.openxmlformats.org/officeDocument/2006/relationships/image" Target="media/image244.png"/><Relationship Id="rId275" Type="http://schemas.openxmlformats.org/officeDocument/2006/relationships/image" Target="media/image245.png"/><Relationship Id="rId276" Type="http://schemas.openxmlformats.org/officeDocument/2006/relationships/image" Target="media/image246.png"/><Relationship Id="rId277" Type="http://schemas.openxmlformats.org/officeDocument/2006/relationships/image" Target="media/image247.png"/><Relationship Id="rId278" Type="http://schemas.openxmlformats.org/officeDocument/2006/relationships/image" Target="media/image248.png"/><Relationship Id="rId279" Type="http://schemas.openxmlformats.org/officeDocument/2006/relationships/image" Target="media/image249.png"/><Relationship Id="rId280" Type="http://schemas.openxmlformats.org/officeDocument/2006/relationships/image" Target="media/image250.png"/><Relationship Id="rId281" Type="http://schemas.openxmlformats.org/officeDocument/2006/relationships/image" Target="media/image251.png"/><Relationship Id="rId175" Type="http://schemas.openxmlformats.org/officeDocument/2006/relationships/hyperlink" Target="https://www.sec.gov/Archives/edgar/data/1684693/000114420418003151/tv482396_ex3-1.htm" TargetMode="External"/><Relationship Id="rId176" Type="http://schemas.openxmlformats.org/officeDocument/2006/relationships/hyperlink" Target="https://www.sec.gov/Archives/edgar/data/1684693/000117891318002424/exhibit_99-1.htm" TargetMode="External"/><Relationship Id="rId177" Type="http://schemas.openxmlformats.org/officeDocument/2006/relationships/hyperlink" Target="https://www.sec.gov/Archives/edgar/data/1684693/000157104917007981/t1702540_ex4-1.htm" TargetMode="External"/><Relationship Id="rId178" Type="http://schemas.openxmlformats.org/officeDocument/2006/relationships/hyperlink" Target="https://www.sec.gov/Archives/edgar/data/1684693/000117891320000911/exhibit_2-2.htm" TargetMode="External"/><Relationship Id="rId179" Type="http://schemas.openxmlformats.org/officeDocument/2006/relationships/hyperlink" Target="https://www.sec.gov/Archives/edgar/data/1684693/000157104917007780/t1702477_ex10-3.htm" TargetMode="External"/><Relationship Id="rId180" Type="http://schemas.openxmlformats.org/officeDocument/2006/relationships/hyperlink" Target="https://www.sec.gov/Archives/edgar/data/1684693/000157104917007780/t1702477_ex10-4.htm" TargetMode="External"/><Relationship Id="rId181" Type="http://schemas.openxmlformats.org/officeDocument/2006/relationships/hyperlink" Target="https://www.sec.gov/Archives/edgar/data/1684693/000157104917007981/t1702540_ex10-5.htm" TargetMode="External"/><Relationship Id="rId182" Type="http://schemas.openxmlformats.org/officeDocument/2006/relationships/hyperlink" Target="https://www.sec.gov/Archives/edgar/data/1684693/000157104917007981/t1702540_ex10-1.htm" TargetMode="External"/><Relationship Id="rId183" Type="http://schemas.openxmlformats.org/officeDocument/2006/relationships/hyperlink" Target="https://www.sec.gov/Archives/edgar/data/1684693/000114420418005995/tv484898_ex99-2.htm" TargetMode="External"/><Relationship Id="rId184" Type="http://schemas.openxmlformats.org/officeDocument/2006/relationships/hyperlink" Target="https://www.sec.gov/Archives/edgar/data/1684693/000157104917007701/t1702381_ex10-7.htm" TargetMode="External"/><Relationship Id="rId185" Type="http://schemas.openxmlformats.org/officeDocument/2006/relationships/hyperlink" Target="https://www.sec.gov/Archives/edgar/data/1684693/000157104917007701/t1702381_ex10-8.htm" TargetMode="External"/><Relationship Id="rId186" Type="http://schemas.openxmlformats.org/officeDocument/2006/relationships/hyperlink" Target="https://www.sec.gov/Archives/edgar/data/1684693/000157104917007701/t1702381_ex10-9.htm" TargetMode="External"/><Relationship Id="rId187" Type="http://schemas.openxmlformats.org/officeDocument/2006/relationships/hyperlink" Target="https://www.sec.gov/Archives/edgar/data/1684693/000157104917007701/t1702381_ex10-10.htm" TargetMode="External"/><Relationship Id="rId188" Type="http://schemas.openxmlformats.org/officeDocument/2006/relationships/hyperlink" Target="https://www.sec.gov/Archives/edgar/data/1684693/000157104917007701/t1702381_ex10-11.htm" TargetMode="External"/><Relationship Id="rId189" Type="http://schemas.openxmlformats.org/officeDocument/2006/relationships/hyperlink" Target="https://www.sec.gov/Archives/edgar/data/1684693/000117891319000896/exhibit_4-12.htm" TargetMode="External"/><Relationship Id="rId190" Type="http://schemas.openxmlformats.org/officeDocument/2006/relationships/hyperlink" Target="https://www.sec.gov/Archives/edgar/data/1684693/000117891319000896/exhibit_4-13.htm" TargetMode="External"/><Relationship Id="rId191" Type="http://schemas.openxmlformats.org/officeDocument/2006/relationships/hyperlink" Target="https://www.sec.gov/Archives/edgar/data/1684693/000117891319000896/exhibit_4-14.htm" TargetMode="External"/><Relationship Id="rId192" Type="http://schemas.openxmlformats.org/officeDocument/2006/relationships/hyperlink" Target="https://www.sec.gov/Archives/edgar/data/1684693/000117891320000911/exhibit_4-15.htm" TargetMode="External"/><Relationship Id="rId193" Type="http://schemas.openxmlformats.org/officeDocument/2006/relationships/hyperlink" Target="https://www.sec.gov/Archives/edgar/data/1684693/000157104917007701/t1702381_ex10-12.htm" TargetMode="External"/><Relationship Id="rId194" Type="http://schemas.openxmlformats.org/officeDocument/2006/relationships/hyperlink" Target="https://www.sec.gov/Archives/edgar/data/1684693/000157104917007701/t1702381_ex10-13.htm" TargetMode="External"/><Relationship Id="rId195" Type="http://schemas.openxmlformats.org/officeDocument/2006/relationships/hyperlink" Target="https://www.sec.gov/Archives/edgar/data/1684693/000157104917007701/t1702381_ex10-14.htm" TargetMode="External"/><Relationship Id="rId196" Type="http://schemas.openxmlformats.org/officeDocument/2006/relationships/hyperlink" Target="https://www.sec.gov/Archives/edgar/data/1684693/000157104917007701/t1702381_ex10-15.htm" TargetMode="External"/><Relationship Id="rId197" Type="http://schemas.openxmlformats.org/officeDocument/2006/relationships/hyperlink" Target="https://www.sec.gov/Archives/edgar/data/1684693/000114420418004431/tv483839_ex10-1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2021-03-04T06:46:09Z</dcterms:created>
  <dcterms:modified xsi:type="dcterms:W3CDTF">2021-03-04T06:46:09Z</dcterms:modified>
</cp:coreProperties>
</file>