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 26TH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Sol-Gel Technologies Ltd.</w:t>
              </w:r>
            </w:hyperlink>
            <w:r>
              <w:rPr/>
              <w:t xml:space="preserve"> [ </w:t>
            </w:r>
            <w:r>
              <w:rPr>
                <w:rFonts w:ascii="Times;serif" w:hAnsi="Times;serif"/>
                <w:color w:val="0000FF"/>
                <w:sz w:val="24"/>
                <w:shd w:fill="FFFFFF" w:val="clear"/>
              </w:rPr>
              <w:t>SLGL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6"/>
        <w:gridCol w:w="912"/>
        <w:gridCol w:w="782"/>
        <w:gridCol w:w="605"/>
        <w:gridCol w:w="344"/>
        <w:gridCol w:w="826"/>
        <w:gridCol w:w="435"/>
        <w:gridCol w:w="981"/>
        <w:gridCol w:w="1135"/>
        <w:gridCol w:w="979"/>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69.52</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527,818</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(1)(4)</w:t>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68.98</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529,918</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(1)(5)</w:t>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68.7403</w:t>
            </w:r>
            <w:r>
              <w:rPr>
                <w:rFonts w:ascii="Times;serif" w:hAnsi="Times;serif"/>
                <w:color w:val="008000"/>
                <w:position w:val="7"/>
                <w:sz w:val="16"/>
                <w:sz w:val="20"/>
                <w:shd w:fill="FFFFFF" w:val="clear"/>
              </w:rPr>
              <w:t>(3)</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533,308</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(1)(5)</w:t>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69.37</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533,779</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(1)(5)</w:t>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68.705</w:t>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536,876</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(1)(5)</w:t>
            </w:r>
          </w:p>
        </w:tc>
      </w:tr>
      <w:tr>
        <w:trPr/>
        <w:tc>
          <w:tcPr>
            <w:tcW w:w="21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by a separately managed account (the "Managed Account"). As the portfolio manager of the Managed Account, Opaleye Management, Inc. may be deemed to beneficially own the securities owned directly by the Managed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at prices ranging from $68.50-$68.99 inclusive. The reporting person undertakes to provide, upon request by the SEC staff, the issuer, or a security holder of the issuer,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$68.42-$68.75 inclusive. The reporting person undertakes to provide, upon request by the SEC staff, the issuer, or a security holder of the issuer,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6846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916</Words>
  <Characters>4920</Characters>
  <CharactersWithSpaces>5725</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