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Amendment No. 1 to</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20-F</w:t>
      </w:r>
    </w:p>
    <w:p>
      <w:pPr>
        <w:spacing w:after="0" w:line="221" w:lineRule="exact"/>
        <w:rPr>
          <w:sz w:val="24"/>
          <w:szCs w:val="24"/>
          <w:color w:val="auto"/>
        </w:rPr>
      </w:pPr>
    </w:p>
    <w:p>
      <w:pPr>
        <w:ind w:left="5500" w:right="1440" w:hanging="5492"/>
        <w:spacing w:after="0" w:line="484" w:lineRule="auto"/>
        <w:tabs>
          <w:tab w:leader="none" w:pos="508"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REGISTRATION STATEMENT PURSUANT TO SECTION 12(b) OR (g) OF THE SECURITIES EXCHANGE ACT OF 1934 OR</w:t>
      </w:r>
    </w:p>
    <w:p>
      <w:pPr>
        <w:spacing w:after="0" w:line="29" w:lineRule="exact"/>
        <w:rPr>
          <w:rFonts w:ascii="MS PGothic" w:cs="MS PGothic" w:eastAsia="MS PGothic" w:hAnsi="MS PGothic"/>
          <w:sz w:val="18"/>
          <w:szCs w:val="18"/>
          <w:color w:val="auto"/>
        </w:rPr>
      </w:pPr>
    </w:p>
    <w:p>
      <w:pPr>
        <w:ind w:left="580" w:right="2300" w:hanging="505"/>
        <w:spacing w:after="0" w:line="282" w:lineRule="auto"/>
        <w:tabs>
          <w:tab w:leader="none" w:pos="580" w:val="left"/>
        </w:tabs>
        <w:numPr>
          <w:ilvl w:val="1"/>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ANNUAL REPORT PURSUANT TO SECTION 13 OR 15(d) OF THE SECURITIES EXCHANGE ACT OF 1934 For the fiscal year ended December 31, 2021</w:t>
      </w:r>
    </w:p>
    <w:p>
      <w:pPr>
        <w:spacing w:after="0" w:line="16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5" w:lineRule="exact"/>
        <w:rPr>
          <w:sz w:val="24"/>
          <w:szCs w:val="24"/>
          <w:color w:val="auto"/>
        </w:rPr>
      </w:pPr>
    </w:p>
    <w:p>
      <w:pPr>
        <w:ind w:left="5500" w:right="1980" w:hanging="5438"/>
        <w:spacing w:after="0" w:line="484" w:lineRule="auto"/>
        <w:tabs>
          <w:tab w:leader="none" w:pos="562"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TRANSITION REPORT PURSUANT TO SECTION 13 OR 15(d) OF THE SECURITIES EXCHANGE ACT OF 1934 OR</w:t>
      </w:r>
    </w:p>
    <w:p>
      <w:pPr>
        <w:spacing w:after="0" w:line="29" w:lineRule="exact"/>
        <w:rPr>
          <w:rFonts w:ascii="MS PGothic" w:cs="MS PGothic" w:eastAsia="MS PGothic" w:hAnsi="MS PGothic"/>
          <w:sz w:val="18"/>
          <w:szCs w:val="18"/>
          <w:color w:val="auto"/>
        </w:rPr>
      </w:pPr>
    </w:p>
    <w:p>
      <w:pPr>
        <w:ind w:right="1580" w:firstLine="62"/>
        <w:spacing w:after="0" w:line="500" w:lineRule="auto"/>
        <w:tabs>
          <w:tab w:leader="none" w:pos="553"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SHELL COMPANY REPORT PURSUANT TO SECTION 13 OR 15(d) OF THE SECURITIES EXCHANGE ACT OF 1934 Date of event requiring this shell company report ________________</w:t>
      </w: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3245485</wp:posOffset>
            </wp:positionH>
            <wp:positionV relativeFrom="paragraph">
              <wp:posOffset>17145</wp:posOffset>
            </wp:positionV>
            <wp:extent cx="660400" cy="368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0400" cy="368300"/>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26670</wp:posOffset>
            </wp:positionV>
            <wp:extent cx="568325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17145</wp:posOffset>
            </wp:positionV>
            <wp:extent cx="568325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17145</wp:posOffset>
            </wp:positionV>
            <wp:extent cx="568325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(Jurisdiction of incorporation or organization)</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Gilad Mamlok, Chief Financial Officer</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7 Golda Meir St., Weizmann Science Park, Ness Ziona, 7403650, Israel</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(Name, Telephone, E-mail and/or Facsimile number and Address of Company Contact Person)</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or to be registered pursuant to Section 12(b) of the Act.</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2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Title of each class</w:t>
            </w:r>
          </w:p>
        </w:tc>
        <w:tc>
          <w:tcPr>
            <w:tcW w:w="11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Trading Symbol(s)</w:t>
            </w:r>
          </w:p>
        </w:tc>
        <w:tc>
          <w:tcPr>
            <w:tcW w:w="20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34"/>
        </w:trPr>
        <w:tc>
          <w:tcPr>
            <w:tcW w:w="2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Ordinary Shares, par value NIS</w:t>
            </w:r>
          </w:p>
        </w:tc>
        <w:tc>
          <w:tcPr>
            <w:tcW w:w="11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0.1 per share</w:t>
            </w:r>
          </w:p>
        </w:tc>
        <w:tc>
          <w:tcPr>
            <w:tcW w:w="22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SLGL</w:t>
            </w:r>
          </w:p>
        </w:tc>
        <w:tc>
          <w:tcPr>
            <w:tcW w:w="20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380"/>
        </w:trPr>
        <w:tc>
          <w:tcPr>
            <w:tcW w:w="24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45"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color w:val="auto"/>
        </w:rPr>
        <w:t>Securities registered or to be registered pursuant to Section 12(g) of the Act:</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(Title of Class)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for which there is a reporting obligation pursuant to Section 15(d) of the Act:</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(Title of Class)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Indicate the number of outstanding shares of each of the issuer’s classes of capital or common stock as of the close of the period covered by the annual report: 23,126,804 Ordinary Shares, par value NIS 0.1 per share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Indicate by check mark if the registrant is a well-known seasoned issuer, as defined in Rule 405 of the Securities Act.</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If this report is an annual or transition report, indicate by check mark if the registrant is not required to file reports pursuant to Section 13 or 15(d) of the Securities Exchange Act 1934.</w:t>
      </w:r>
    </w:p>
    <w:p>
      <w:pPr>
        <w:spacing w:after="0" w:line="133"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47"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47"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33" w:lineRule="exact"/>
        <w:rPr>
          <w:sz w:val="20"/>
          <w:szCs w:val="20"/>
          <w:color w:val="auto"/>
        </w:rPr>
      </w:pPr>
    </w:p>
    <w:p>
      <w:pPr>
        <w:ind w:left="600"/>
        <w:spacing w:after="0" w:line="207" w:lineRule="exact"/>
        <w:tabs>
          <w:tab w:leader="none" w:pos="3920" w:val="left"/>
          <w:tab w:leader="none" w:pos="6220" w:val="left"/>
        </w:tabs>
        <w:rPr>
          <w:sz w:val="20"/>
          <w:szCs w:val="20"/>
          <w:color w:val="auto"/>
        </w:rPr>
      </w:pPr>
      <w:r>
        <w:rPr>
          <w:rFonts w:ascii="Times New Roman" w:cs="Times New Roman" w:eastAsia="Times New Roman" w:hAnsi="Times New Roman"/>
          <w:sz w:val="18"/>
          <w:szCs w:val="18"/>
          <w:color w:val="auto"/>
        </w:rPr>
        <w:t xml:space="preserve">Large Accelerated filer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Accelerated filer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7"/>
          <w:szCs w:val="17"/>
          <w:color w:val="auto"/>
        </w:rPr>
        <w:t xml:space="preserve">Non-accelerated filer </w:t>
      </w:r>
      <w:r>
        <w:rPr>
          <w:rFonts w:ascii="MS PGothic" w:cs="MS PGothic" w:eastAsia="MS PGothic" w:hAnsi="MS PGothic"/>
          <w:sz w:val="17"/>
          <w:szCs w:val="17"/>
          <w:color w:val="auto"/>
        </w:rPr>
        <w:t>☒</w:t>
      </w:r>
    </w:p>
    <w:p>
      <w:pPr>
        <w:spacing w:after="0" w:line="51" w:lineRule="exact"/>
        <w:rPr>
          <w:sz w:val="20"/>
          <w:szCs w:val="20"/>
          <w:color w:val="auto"/>
        </w:rPr>
      </w:pPr>
    </w:p>
    <w:p>
      <w:pPr>
        <w:ind w:left="62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12" w:lineRule="exact"/>
        <w:rPr>
          <w:sz w:val="20"/>
          <w:szCs w:val="20"/>
          <w:color w:val="auto"/>
        </w:rPr>
      </w:pPr>
    </w:p>
    <w:p>
      <w:pPr>
        <w:jc w:val="both"/>
        <w:ind w:right="120" w:firstLine="648"/>
        <w:spacing w:after="0" w:line="229" w:lineRule="exact"/>
        <w:rPr>
          <w:sz w:val="20"/>
          <w:szCs w:val="20"/>
          <w:color w:val="auto"/>
        </w:rPr>
      </w:pPr>
      <w:r>
        <w:rPr>
          <w:rFonts w:ascii="Times New Roman" w:cs="Times New Roman" w:eastAsia="Times New Roman" w:hAnsi="Times New Roman"/>
          <w:sz w:val="18"/>
          <w:szCs w:val="18"/>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8" w:lineRule="exact"/>
        <w:rPr>
          <w:sz w:val="20"/>
          <w:szCs w:val="20"/>
          <w:color w:val="auto"/>
        </w:rPr>
      </w:pPr>
    </w:p>
    <w:p>
      <w:pPr>
        <w:ind w:right="120" w:firstLine="648"/>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fi 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8"/>
          <w:szCs w:val="18"/>
          <w:color w:val="auto"/>
        </w:rPr>
        <w:t>☐</w:t>
      </w:r>
    </w:p>
    <w:p>
      <w:pPr>
        <w:spacing w:after="0" w:line="17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Indicate by check mark which basis of accounting the registrant has used to prepare the financial statements included in this filing:</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U.S. GAAP </w:t>
      </w:r>
      <w:r>
        <w:rPr>
          <w:rFonts w:ascii="MS PGothic" w:cs="MS PGothic" w:eastAsia="MS PGothic" w:hAnsi="MS PGothic"/>
          <w:sz w:val="18"/>
          <w:szCs w:val="18"/>
          <w:color w:val="auto"/>
        </w:rPr>
        <w:t>☒</w:t>
      </w:r>
    </w:p>
    <w:p>
      <w:pPr>
        <w:spacing w:after="0" w:line="225" w:lineRule="exact"/>
        <w:rPr>
          <w:sz w:val="20"/>
          <w:szCs w:val="20"/>
          <w:color w:val="auto"/>
        </w:rPr>
      </w:pPr>
    </w:p>
    <w:p>
      <w:pPr>
        <w:ind w:left="660"/>
        <w:spacing w:after="0" w:line="207" w:lineRule="exact"/>
        <w:rPr>
          <w:sz w:val="20"/>
          <w:szCs w:val="20"/>
          <w:color w:val="auto"/>
        </w:rPr>
      </w:pPr>
      <w:r>
        <w:rPr>
          <w:rFonts w:ascii="Times New Roman" w:cs="Times New Roman" w:eastAsia="Times New Roman" w:hAnsi="Times New Roman"/>
          <w:sz w:val="18"/>
          <w:szCs w:val="18"/>
          <w:color w:val="auto"/>
        </w:rPr>
        <w:t xml:space="preserve">International Financing Reporting Standards as issued by the International Accounting Standards Board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Other </w:t>
      </w:r>
      <w:r>
        <w:rPr>
          <w:rFonts w:ascii="MS PGothic" w:cs="MS PGothic" w:eastAsia="MS PGothic" w:hAnsi="MS PGothic"/>
          <w:sz w:val="18"/>
          <w:szCs w:val="18"/>
          <w:color w:val="auto"/>
        </w:rPr>
        <w:t>☐</w:t>
      </w:r>
    </w:p>
    <w:p>
      <w:pPr>
        <w:spacing w:after="0" w:line="254"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If “Other” has been checked in response to the previous question, indicate by check mark which financial statement item the registrant has elected to follow.</w:t>
      </w:r>
    </w:p>
    <w:p>
      <w:pPr>
        <w:spacing w:after="0" w:line="133"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Item 17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Item 18 </w:t>
      </w:r>
      <w:r>
        <w:rPr>
          <w:rFonts w:ascii="MS PGothic" w:cs="MS PGothic" w:eastAsia="MS PGothic" w:hAnsi="MS PGothic"/>
          <w:sz w:val="18"/>
          <w:szCs w:val="18"/>
          <w:color w:val="auto"/>
        </w:rPr>
        <w:t>☐</w:t>
      </w:r>
    </w:p>
    <w:p>
      <w:pPr>
        <w:spacing w:after="0" w:line="25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If this is an annual report, indicate by check mark whether the registrant is a shell company (as defined in Rule 12b-2 of the Exchange Act).</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ectPr>
          <w:pgSz w:w="11900" w:h="16838" w:orient="portrait"/>
          <w:cols w:equalWidth="0" w:num="1">
            <w:col w:w="11240"/>
          </w:cols>
          <w:pgMar w:left="320" w:top="121" w:right="339" w:bottom="1440" w:gutter="0" w:footer="0" w:header="0"/>
        </w:sect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 w:name="page3"/>
    <w:bookmarkEnd w:id="2"/>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On April 4, 2022, Sol-Gel Technologies Ltd. (the “Company”) filed its Annual Report on Form 20-F for the fiscal year ended December 31, 2021 (the “Original Form 20-F”). This Amendment No. 1 (the “Amendment”) amends the Original Form 20-F solely to (i) correct typographical errors in Item 4</w:t>
      </w:r>
    </w:p>
    <w:p>
      <w:pPr>
        <w:spacing w:after="0" w:line="260" w:lineRule="auto"/>
        <w:rPr>
          <w:sz w:val="20"/>
          <w:szCs w:val="20"/>
          <w:color w:val="auto"/>
        </w:rPr>
      </w:pPr>
      <w:r>
        <w:rPr>
          <w:rFonts w:ascii="Times New Roman" w:cs="Times New Roman" w:eastAsia="Times New Roman" w:hAnsi="Times New Roman"/>
          <w:sz w:val="18"/>
          <w:szCs w:val="18"/>
          <w:color w:val="auto"/>
        </w:rPr>
        <w:t>– Information on the Company and (ii) add the date of the report of our independent accounting firm, Kesselman &amp; Kesselman, a member of PricewaterhouseCoopers International Limited.</w:t>
      </w:r>
    </w:p>
    <w:p>
      <w:pPr>
        <w:spacing w:after="0" w:line="181"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This Amendment speaks as of the original filing date and does not reflect events occurring after the filing of the Original Form 20-F. No revisions are being made to the Company’s financial statements or any other disclosure contained in the Original Form 20-F. This Amendment does not otherwise update any exhibits as originally filed or previously amended.</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as required by Rule 12b-15 under the Securities Exchange Act of 1934, as amended (the “Exchange Act”), new certifications by the Company’s principal executive officer and principal financial officer are filed herewith as exhibits to this Amendment pursuant to Rule 13a-14(a) of the Exchange Act and Section 1350 of Chapter 63 of Title 18 of the United States Code (18 U.S.C. 1350).</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3" w:name="page4"/>
    <w:bookmarkEnd w:id="3"/>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INFORMATION ON THE COMPANY</w:t>
      </w:r>
    </w:p>
    <w:p>
      <w:pPr>
        <w:spacing w:after="0" w:line="266" w:lineRule="exact"/>
        <w:rPr>
          <w:sz w:val="20"/>
          <w:szCs w:val="20"/>
          <w:color w:val="auto"/>
        </w:rPr>
      </w:pPr>
    </w:p>
    <w:p>
      <w:pPr>
        <w:ind w:left="660" w:hanging="652"/>
        <w:spacing w:after="0"/>
        <w:tabs>
          <w:tab w:leader="none" w:pos="6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History and Development of the Company</w:t>
      </w:r>
    </w:p>
    <w:p>
      <w:pPr>
        <w:spacing w:after="0" w:line="24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18"/>
          <w:szCs w:val="18"/>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Street, 10</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Floor, New York, NY 10016, and its telephone number is +1 (800) 221-0102.</w:t>
      </w:r>
    </w:p>
    <w:p>
      <w:pPr>
        <w:spacing w:after="0" w:line="3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February 2018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capital expenditures for the years ended December 31, 2019, 2020 and 2021 were approximately $597 thousand, $449 thousand and $143 thousand, respectively. Our current capital expenditures involve equipment and leasehold improvements.</w:t>
      </w:r>
    </w:p>
    <w:p>
      <w:pPr>
        <w:spacing w:after="0" w:line="158" w:lineRule="exact"/>
        <w:rPr>
          <w:sz w:val="20"/>
          <w:szCs w:val="20"/>
          <w:color w:val="auto"/>
        </w:rPr>
      </w:pPr>
    </w:p>
    <w:p>
      <w:pPr>
        <w:ind w:left="660" w:hanging="652"/>
        <w:spacing w:after="0"/>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Business Overview</w:t>
      </w:r>
    </w:p>
    <w:p>
      <w:pPr>
        <w:spacing w:after="0" w:line="22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18"/>
          <w:szCs w:val="18"/>
          <w:color w:val="auto"/>
        </w:rPr>
        <w:t>We are a dermatology company focused on identifying, developing and commercializing investigational and generic topical drug products for the treatment of skin diseases. In addition to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which has been approved by the FDA, our current product candidate pipeline consists of clinical stage and early-stage investigational product candidates, some of which leverage our development platform, and several generic product candidates across multiple indications.</w:t>
      </w:r>
    </w:p>
    <w:p>
      <w:pPr>
        <w:spacing w:after="0" w:line="191"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18"/>
          <w:szCs w:val="18"/>
          <w:color w:val="auto"/>
        </w:rPr>
        <w:t>Our FDA-approved product,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non-antibiotic topical cream containing a fixed-dose combination of encapsulated benzoyl peroxide and encapsulated tretinoin, that we developed for the treatment of acne vulgaris, or acne.</w:t>
      </w:r>
    </w:p>
    <w:p>
      <w:pPr>
        <w:spacing w:after="0" w:line="198"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 was found to be well-tolerated.</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 w:name="page5"/>
    <w:bookmarkEnd w:id="4"/>
    <w:p>
      <w:pPr>
        <w:jc w:val="both"/>
        <w:ind w:firstLine="648"/>
        <w:spacing w:after="0" w:line="239" w:lineRule="auto"/>
        <w:rPr>
          <w:sz w:val="20"/>
          <w:szCs w:val="20"/>
          <w:color w:val="auto"/>
        </w:rPr>
      </w:pPr>
      <w:r>
        <w:rPr>
          <w:rFonts w:ascii="Times New Roman" w:cs="Times New Roman" w:eastAsia="Times New Roman" w:hAnsi="Times New Roman"/>
          <w:sz w:val="18"/>
          <w:szCs w:val="18"/>
          <w:color w:val="auto"/>
        </w:rPr>
        <w:t>Our investigational product candidate,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investigational topical cream containing encapsulated benzoyl peroxide, that we are developing for the treatment of papulopustular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Our NDA for Epsolay® was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19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June 2021, we entered into two five-year exclusive license agreements with Galderma pursuant to which Galderma has the exclusive right to, and is responsible for, all U.S. commercial activities for Twyneo®, and, if approved by the FDA, Epsolay®.</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Other investigational product candidates are SGT-210 that we are developing for the treatment of various keratodermas; SGT-310, an investigational aryl hydrocarbon receptor agonist; and SGT-510.</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both Twyneo® and Epsolay® were submitted for approval through the FDA’s 505(b)(2) regulatory pathway.</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November 2021, we announced that we had signed an agreement with Padagis, pursuant to which we sold our rights related to 10 generic collaborative programs and retained the collaboration rights to two generic programs related to four generic drug candidates for skin diseases. Under the terms of the agreement with Padagis, effective as of November 1, 2021, we are to unconditionally receive $21.5 million over 24 months, in lieu of our share in ten generic programs, two of which were approved by the FDA, and eight of which were unapproved.</w:t>
      </w:r>
    </w:p>
    <w:p>
      <w:pPr>
        <w:spacing w:after="0" w:line="170"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18"/>
          <w:szCs w:val="18"/>
          <w:color w:val="auto"/>
        </w:rPr>
        <w:t>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 novel, once-daily, non-antibiotic topical cream, developed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Tretinoin and benzoyl peroxide, the two active components in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are both widely-used therapies for the treatment of acne that historically have not been conveniently co-administered due to stability concerns. On December 30, 2019, we announced top-line results from two pivotal Phase 3 clinical trials evaluating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for the treatment of acne.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found to be well-tolerated.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approved for marketing by the FDA in July 2021.</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7" w:right="339" w:bottom="1440" w:gutter="0" w:footer="0" w:header="0"/>
        </w:sectPr>
      </w:pPr>
    </w:p>
    <w:bookmarkStart w:id="5" w:name="page6"/>
    <w:bookmarkEnd w:id="5"/>
    <w:p>
      <w:pPr>
        <w:jc w:val="both"/>
        <w:ind w:firstLine="648"/>
        <w:spacing w:after="0" w:line="221" w:lineRule="auto"/>
        <w:rPr>
          <w:sz w:val="20"/>
          <w:szCs w:val="20"/>
          <w:color w:val="auto"/>
        </w:rPr>
      </w:pPr>
      <w:r>
        <w:rPr>
          <w:rFonts w:ascii="Times New Roman" w:cs="Times New Roman" w:eastAsia="Times New Roman" w:hAnsi="Times New Roman"/>
          <w:sz w:val="18"/>
          <w:szCs w:val="18"/>
          <w:color w:val="auto"/>
        </w:rPr>
        <w:t>Our leading investigational product candidate, Epsolay®, is a topical cream containing 5% encapsulated benzoyl peroxide, which we are developing for the treatment of papulopustular (subtype II) rosacea. Rosacea is a chronic skin disease characterized by facial redness, inflammatory lesions, burning and stinging. According to the U.S. National Rosacea Society, approximately 16 million people in the United States are affected by rosacea. According to a study we commissioned in 2017,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comedowns are absent, and patients may report associated burning and stinging sensations. Current topical therapies for subtype II rosacea are limited due to tolerability concerns. For example, BPO, a common therapy for acne, is not used for the treatment of subtype II rosacea due to side effects. As encapsulated BPO, Epsolay® is designed to redefine the standard of care for the treatment of subtype II rosacea. If approved by the FDA, we expect Epsolay® to be the first product containing BPO that is marketed for the treatment of subtype II rosacea. On July 8, 2019, we announced positive top-line results from our Phase 3 program evaluating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The program enrolled 733 patients aged 18 and older in two identical, double-blind, vehicle-controlled Phase 3 clinical trials at 54 sites across the United States.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rapid efficacy, achieving statistically significant improvements on both co-primary endpoints compared with vehicle as early as Week 2. In addition, Epsolay® was found to be well-tolerated. On February 12, 2020, we announced positive topline results from our open-label, long-term safety study, evaluating Epsolay® for a treatment duration up to 52 weeks. Our NDA for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has been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maintain exclusive, worldwide commercial rights for our other investigational product candidates, which consist of:</w:t>
      </w:r>
    </w:p>
    <w:p>
      <w:pPr>
        <w:spacing w:after="0" w:line="225" w:lineRule="exact"/>
        <w:rPr>
          <w:sz w:val="20"/>
          <w:szCs w:val="20"/>
          <w:color w:val="auto"/>
        </w:rPr>
      </w:pPr>
    </w:p>
    <w:p>
      <w:pPr>
        <w:jc w:val="both"/>
        <w:ind w:left="660" w:hanging="328"/>
        <w:spacing w:after="0" w:line="256"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SGT-210 that we are developing for the treatment of various keratoderma, such as PC, PPK, etc. a group of skin conditions characterized by thickening of the skin. SGT-210 is designed to be used alone or in combination for the treatment of hyperproliferation and hyperkeratinization disorders, including PPK. On January 2, 2020, we announced the initiation of a Phase 1 clinical study of SGT-210 in patients with palmoplantar keratoderma. The Phase 1 study SGT-84-01 is a single-center, single-blinded, vehicle-controlled study designed to evaluate the bioavailability, safety and tolerability of SGT-210 as well as inform on potential efficacy. During the third quarter of 2021, we reported that the study with respect to six (6) palmoplantar keratoderma (PPK) patients has been completed and indicated modest improvement and a favorable safety profile.</w:t>
      </w:r>
    </w:p>
    <w:p>
      <w:pPr>
        <w:spacing w:after="0" w:line="187"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conducting pre-clinical testing to explore the possible activity of SGT-210, SGT-310 and SGT-510 in various new pharmaceutical indications. A total of 25 provisional patent applications for these investigational drug candidates have been submitted to date, including patent applications covering the use of tapinarof in ophthalmic disorders such as dry eye, uveitis, and blepharitis with or without demodex involvement.</w:t>
      </w:r>
    </w:p>
    <w:p>
      <w:pPr>
        <w:spacing w:after="0" w:line="176"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We are also currently developing a portfolio of two generic programs related to four generic drug candidates in collaboration with Padagis, by assignment from Perrigo.</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 w:name="page7"/>
    <w:bookmarkEnd w:id="6"/>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June 2021, we entered into two exclusive license agreements with Galderma, each for a period of five years following Galderma’s first commercial sale of the applicable product in the U.S., pursuant to which Galderma has the exclusive right to, and is responsible for, all U.S. commercial activities for Twyneo®, and, if approved by the FDA, Epsolay®, including promotion and distribution, and we are responsible for obtaining all regulatory approvals of the products until approval in the U.S. Following approval, Galderma will assume responsibility for all filings and communications with regulatory authorities in the U.S. until expiration of the applicable license agreement. In connection with the licenses, we and Galderma have entered into a three party supply agreement with Douglas Manufacturing Limited, which will supply Galderma the Twyneo® product, and Galderma is responsible for entering into a supply agreement with a third party for the supply of the Epsolay® product, once approved. In consideration for the grant of such rights, we are entitled to of up to $11 million in upfront payments to us and regulatory approval milestone payments. We are also eligible to receive tiered double-digit royalties ranging from mid-teen to high-teen percentage of net sales as well as up to $9 million in sales milestone payments.</w:t>
      </w:r>
    </w:p>
    <w:p>
      <w:pPr>
        <w:spacing w:after="0" w:line="18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chart represents our current investigational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664845</wp:posOffset>
            </wp:positionH>
            <wp:positionV relativeFrom="paragraph">
              <wp:posOffset>17145</wp:posOffset>
            </wp:positionV>
            <wp:extent cx="5820410" cy="23831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20410" cy="2383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Approved Product and Investigational Product Candidates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Twyneo® for Acne</w:t>
      </w:r>
    </w:p>
    <w:p>
      <w:pPr>
        <w:spacing w:after="0" w:line="219"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18"/>
          <w:szCs w:val="18"/>
          <w:color w:val="auto"/>
        </w:rPr>
        <w:t>Using our proprietary, silica-based microencapsulation technology platform, we developed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to become a preferred treatment for acne by dermatologists and their patients.</w:t>
      </w:r>
    </w:p>
    <w:p>
      <w:pPr>
        <w:spacing w:after="0" w:line="189"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17"/>
          <w:szCs w:val="17"/>
          <w:color w:val="auto"/>
        </w:rPr>
        <w:t>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a novel, once-daily, non-antibiotic topical cream containing a fixed-dose combination of encapsulated benzoyl peroxide and encapsulated tretinoin that we developed for the treatment of acne. Studies have shown that benzoyl peroxide and tretinoin are effective in treating acne as monotherapies; moreover, according to an article in the American Academy of Dermatology (2009), dermatologists recommend combining the two monotherapies as a first-line approach for acne, but a drug-drug interaction that causes the degradation of tretinoin has previously prohibited the development of a combination therapy. By encapsulating the two agents separately through the use of our technology platform,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designed to be a fixed-dose combination that otherwise would not be stable. Similar to other combination drug products, such as clindamycin and benzoyl peroxide,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required to be kept refrigerated throughout the supply chain and then stored in ambient conditions upon its distribution to patients. Pre-clinical data suggests that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Twyneo® will compete directly with Winlevi, Aklief, Epiduo and Epiduo Forte. We have utilized the FDA’s 505(b)(2) regulatory pathway in seeking approval of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in the United States.</w:t>
      </w: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jc w:val="both"/>
        <w:ind w:firstLine="646"/>
        <w:spacing w:after="0" w:line="207" w:lineRule="auto"/>
        <w:rPr>
          <w:sz w:val="20"/>
          <w:szCs w:val="20"/>
          <w:color w:val="auto"/>
        </w:rPr>
      </w:pPr>
      <w:r>
        <w:rPr>
          <w:rFonts w:ascii="Times New Roman" w:cs="Times New Roman" w:eastAsia="Times New Roman" w:hAnsi="Times New Roman"/>
          <w:sz w:val="18"/>
          <w:szCs w:val="18"/>
          <w:color w:val="auto"/>
        </w:rPr>
        <w:t>On December 30, 2019, we announced top-line results from two pivotal Phase 3 clinical trials evaluating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for the treatment of acne.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approved for marketing by the FDA in July 2021.</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Acne Market Opportunity</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176" w:lineRule="exact"/>
        <w:rPr>
          <w:sz w:val="20"/>
          <w:szCs w:val="20"/>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blockage of hair follicles through abnormal keratinization in the follicle, which narrows pores;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in oils, or sebum production, secreted by the sebaceous gland;</w:t>
      </w:r>
    </w:p>
    <w:p>
      <w:pPr>
        <w:spacing w:after="0" w:line="22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overgrowth of naturally occurring bacteria caused by the colonization by the anaerobic lipohilic bacterium </w:t>
      </w:r>
      <w:r>
        <w:rPr>
          <w:rFonts w:ascii="Times New Roman" w:cs="Times New Roman" w:eastAsia="Times New Roman" w:hAnsi="Times New Roman"/>
          <w:sz w:val="18"/>
          <w:szCs w:val="18"/>
          <w:i w:val="1"/>
          <w:iCs w:val="1"/>
          <w:color w:val="auto"/>
        </w:rPr>
        <w:t>Propionibacterium acnes</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i w:val="1"/>
          <w:iCs w:val="1"/>
          <w:color w:val="auto"/>
        </w:rPr>
        <w:t>P. acnes</w:t>
      </w:r>
      <w:r>
        <w:rPr>
          <w:rFonts w:ascii="Times New Roman" w:cs="Times New Roman" w:eastAsia="Times New Roman" w:hAnsi="Times New Roman"/>
          <w:sz w:val="18"/>
          <w:szCs w:val="18"/>
          <w:color w:val="auto"/>
        </w:rPr>
        <w:t>;</w:t>
      </w:r>
    </w:p>
    <w:p>
      <w:pPr>
        <w:spacing w:after="0" w:line="22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inflammatory response due to relapse of pro-inflammatory mediators into the skin.</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Due to the frequency of recurrence and relapse, acne is characterized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Current Treatment Landscape for Acne</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treatment options for acne depend on the severity of the disease and consist of topical and oral drugs:</w:t>
      </w:r>
    </w:p>
    <w:p>
      <w:pPr>
        <w:spacing w:after="0" w:line="221" w:lineRule="exact"/>
        <w:rPr>
          <w:sz w:val="20"/>
          <w:szCs w:val="20"/>
          <w:color w:val="auto"/>
        </w:rPr>
      </w:pPr>
    </w:p>
    <w:p>
      <w:pPr>
        <w:ind w:left="660" w:hanging="328"/>
        <w:spacing w:after="0" w:line="286"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Mild acne</w:t>
      </w:r>
      <w:r>
        <w:rPr>
          <w:rFonts w:ascii="Times New Roman" w:cs="Times New Roman" w:eastAsia="Times New Roman" w:hAnsi="Times New Roman"/>
          <w:sz w:val="18"/>
          <w:szCs w:val="18"/>
          <w:color w:val="auto"/>
        </w:rPr>
        <w:t>: characterized by few papules or pustules (both comedonal and inflammatory); treated with an over-the-counter product or topical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prescription therapies.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Moderate acne</w:t>
      </w:r>
      <w:r>
        <w:rPr>
          <w:rFonts w:ascii="Times New Roman" w:cs="Times New Roman" w:eastAsia="Times New Roman" w:hAnsi="Times New Roman"/>
          <w:sz w:val="18"/>
          <w:szCs w:val="18"/>
          <w:color w:val="auto"/>
        </w:rPr>
        <w:t>: characterized by multiple papules and pustules with moderate inflammation and seborrhea (scaly red skin); treated with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combination of oral antibiotics and topical therapies.</w:t>
      </w: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7" w:right="339" w:bottom="1440" w:gutter="0" w:footer="0" w:header="0"/>
        </w:sectPr>
      </w:pPr>
    </w:p>
    <w:bookmarkStart w:id="8" w:name="page9"/>
    <w:bookmarkEnd w:id="8"/>
    <w:p>
      <w:pPr>
        <w:ind w:left="660" w:hanging="328"/>
        <w:spacing w:after="0" w:line="286"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Severe acne</w:t>
      </w:r>
      <w:r>
        <w:rPr>
          <w:rFonts w:ascii="Times New Roman" w:cs="Times New Roman" w:eastAsia="Times New Roman" w:hAnsi="Times New Roman"/>
          <w:sz w:val="18"/>
          <w:szCs w:val="18"/>
          <w:color w:val="auto"/>
        </w:rPr>
        <w:t>: characterized by substantial papulopustular disease, many nodules and/or cysts and significant inflammation and seborrhea; treated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oral and topical combination therapies and photodynamic therapy as a third-line treatment.</w:t>
      </w:r>
    </w:p>
    <w:p>
      <w:pPr>
        <w:spacing w:after="0" w:line="15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acne prescription treatment landscape is comprised of four classes of topical products and two classes of oral products:</w:t>
      </w:r>
    </w:p>
    <w:p>
      <w:pPr>
        <w:spacing w:after="0" w:line="221" w:lineRule="exact"/>
        <w:rPr>
          <w:sz w:val="20"/>
          <w:szCs w:val="20"/>
          <w:color w:val="auto"/>
        </w:rPr>
      </w:pPr>
    </w:p>
    <w:p>
      <w:pPr>
        <w:ind w:left="660" w:right="2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over-the-counter monotherapies </w:t>
      </w:r>
      <w:r>
        <w:rPr>
          <w:rFonts w:ascii="Times New Roman" w:cs="Times New Roman" w:eastAsia="Times New Roman" w:hAnsi="Times New Roman"/>
          <w:sz w:val="18"/>
          <w:szCs w:val="18"/>
          <w:color w:val="auto"/>
        </w:rPr>
        <w:t>such as adapalene 0.1%, benzoyl peroxide and salicylic acid, in different concentrations, are the most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commonly used therapies. These are generally tolerable first-line treatments for mild acne, but less efficacious than prescription therapies.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antibiotic monotherapies </w:t>
      </w:r>
      <w:r>
        <w:rPr>
          <w:rFonts w:ascii="Times New Roman" w:cs="Times New Roman" w:eastAsia="Times New Roman" w:hAnsi="Times New Roman"/>
          <w:sz w:val="18"/>
          <w:szCs w:val="18"/>
          <w:color w:val="auto"/>
        </w:rPr>
        <w:t>such as clindamycin and erythromycin that are most commonly used as topical therapies in cases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mild-to-moderate acne.</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retinoid monotherapies </w:t>
      </w:r>
      <w:r>
        <w:rPr>
          <w:rFonts w:ascii="Times New Roman" w:cs="Times New Roman" w:eastAsia="Times New Roman" w:hAnsi="Times New Roman"/>
          <w:sz w:val="18"/>
          <w:szCs w:val="18"/>
          <w:color w:val="auto"/>
        </w:rPr>
        <w:t>such as tretinoin, adapalene 0.3% and tazarotene. Physicians view retinoids as moderately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efficacious, but they have high rates of skin irritation.</w:t>
      </w:r>
    </w:p>
    <w:p>
      <w:pPr>
        <w:spacing w:after="0" w:line="154" w:lineRule="exact"/>
        <w:rPr>
          <w:rFonts w:ascii="Times New Roman" w:cs="Times New Roman" w:eastAsia="Times New Roman" w:hAnsi="Times New Roman"/>
          <w:sz w:val="18"/>
          <w:szCs w:val="18"/>
          <w:color w:val="auto"/>
        </w:rPr>
      </w:pPr>
    </w:p>
    <w:p>
      <w:pPr>
        <w:ind w:left="660" w:right="2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combination products </w:t>
      </w:r>
      <w:r>
        <w:rPr>
          <w:rFonts w:ascii="Times New Roman" w:cs="Times New Roman" w:eastAsia="Times New Roman" w:hAnsi="Times New Roman"/>
          <w:sz w:val="18"/>
          <w:szCs w:val="18"/>
          <w:color w:val="auto"/>
        </w:rPr>
        <w:t>such as combinations of BPO/adapalene, BPO/clindamycin, BPO/erythromycin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clindamycin/tretinoin. These target multiple components that contribute to the development of acne, though topical side effects are common.</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Oral prescription antibiotics </w:t>
      </w:r>
      <w:r>
        <w:rPr>
          <w:rFonts w:ascii="Times New Roman" w:cs="Times New Roman" w:eastAsia="Times New Roman" w:hAnsi="Times New Roman"/>
          <w:sz w:val="18"/>
          <w:szCs w:val="18"/>
          <w:color w:val="auto"/>
        </w:rPr>
        <w:t>such as doxycycline and minocycline. These are typically used as step-up treatments for more severe cases of acne,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risk of systemic side effects.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Oral prescription isotretinoin</w:t>
      </w:r>
      <w:r>
        <w:rPr>
          <w:rFonts w:ascii="Times New Roman" w:cs="Times New Roman" w:eastAsia="Times New Roman" w:hAnsi="Times New Roman"/>
          <w:sz w:val="18"/>
          <w:szCs w:val="18"/>
          <w:color w:val="auto"/>
        </w:rPr>
        <w:t>, which is primarily used for severe cystic acne and acne that has not responded to other treatments. The use of oral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prescription isotretinoin is tightly controlled due to tolerability issues.</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Twyneo® Phase 3 Trial Design</w:t>
      </w:r>
    </w:p>
    <w:p>
      <w:pPr>
        <w:spacing w:after="0" w:line="217" w:lineRule="exact"/>
        <w:rPr>
          <w:sz w:val="20"/>
          <w:szCs w:val="20"/>
          <w:color w:val="auto"/>
        </w:rPr>
      </w:pPr>
    </w:p>
    <w:p>
      <w:pPr>
        <w:jc w:val="both"/>
        <w:ind w:firstLine="646"/>
        <w:spacing w:after="0" w:line="224" w:lineRule="auto"/>
        <w:rPr>
          <w:sz w:val="20"/>
          <w:szCs w:val="20"/>
          <w:color w:val="auto"/>
        </w:rPr>
      </w:pPr>
      <w:r>
        <w:rPr>
          <w:rFonts w:ascii="Times New Roman" w:cs="Times New Roman" w:eastAsia="Times New Roman" w:hAnsi="Times New Roman"/>
          <w:sz w:val="18"/>
          <w:szCs w:val="18"/>
          <w:color w:val="auto"/>
        </w:rPr>
        <w:t>The pivotal Phase 3 clinical program evaluating the safety and efficacy of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in subjects with acne vulgaris enrolled an aggregate of 858 patients aged nine and older, with moderate-to-severe acne in two multicenter, randomized, double-blind, parallel group, vehicle-controlled trials at 63 sites across the United States. Patients were randomized at a 2:1 ratio to be treated once-daily with either Twyneo® (n=571) or vehicle cream (n=287) for 12 weeks.</w:t>
      </w:r>
    </w:p>
    <w:p>
      <w:pPr>
        <w:spacing w:after="0" w:line="19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primary and secondary efficacy endpoints were assessed at the end of the 12-week treatment period. Three primary efficacy endpoints were defined for this trial:</w:t>
      </w:r>
    </w:p>
    <w:p>
      <w:pPr>
        <w:spacing w:after="0" w:line="162" w:lineRule="exact"/>
        <w:rPr>
          <w:sz w:val="20"/>
          <w:szCs w:val="20"/>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proportion of subjects who achieve at least a two-grade reduction in the IGA score and either “clear” or “almost clear” at week 12;</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mean absolute change from baseline in the number of inflammatory acne lesions at week 12;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mean absolute change from baseline in the number of non-inflammatory acne lesions at week 12.</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i w:val="1"/>
          <w:iCs w:val="1"/>
          <w:color w:val="auto"/>
        </w:rPr>
        <w:t>Twyneo® Phase 3 Trial Results</w:t>
      </w:r>
    </w:p>
    <w:p>
      <w:pPr>
        <w:spacing w:after="0" w:line="22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As outlined below Twyneo® met all co-primary endpoints in both Phase 3 trials. Twyneo® demonstrated statistically significant improvement in each of the co-primary endpoints described above.</w:t>
      </w:r>
    </w:p>
    <w:p>
      <w:pPr>
        <w:spacing w:after="0" w:line="16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In trial SGT-65-04, 39.9% of patients treated with Twyneo® achieved success in IGA versus 14.3% in the vehicle treated group (P&lt;0.001) at week</w:t>
      </w:r>
    </w:p>
    <w:p>
      <w:pPr>
        <w:spacing w:after="0" w:line="27" w:lineRule="exact"/>
        <w:rPr>
          <w:sz w:val="20"/>
          <w:szCs w:val="20"/>
          <w:color w:val="auto"/>
        </w:rPr>
      </w:pPr>
    </w:p>
    <w:p>
      <w:pPr>
        <w:jc w:val="both"/>
        <w:ind w:firstLine="8"/>
        <w:spacing w:after="0" w:line="252" w:lineRule="auto"/>
        <w:tabs>
          <w:tab w:leader="none" w:pos="273"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trial SGT-65-05, 26.8% of patients treated with Twyneo® achieved success in IGA versus 15.1% in the vehicle group (P=0.017) at week 12. In trial SGT-65-04, the absolute mean change from baseline of inflammatory lesion count for Twyneo® was -21.6 versus -14.8 for the vehicle group (P&lt;0.001) at week 12. In trial SGT-65-05, the absolute change from baseline of inflammatory lesion count for Twyneo® was -16.2 versus -14.1 for the vehicle group (P=0.021) at week 12. In trial SGT-65-04, the absolute mean change from baseline of non-inflammatory lesion count for Twyneo® was -29.7 versus -19.8 for the vehicle group (P&lt;0.001). In trial SGT-65-05, the absolute mean change from baseline of non-inflammatory lesion count for Twyneo was -24.2 versus -17.4 for the vehicle group (P&lt;0.001) at week 12.</w:t>
      </w:r>
    </w:p>
    <w:p>
      <w:pPr>
        <w:spacing w:after="0" w:line="190" w:lineRule="exact"/>
        <w:rPr>
          <w:sz w:val="20"/>
          <w:szCs w:val="20"/>
          <w:color w:val="auto"/>
        </w:rPr>
      </w:pPr>
    </w:p>
    <w:p>
      <w:pPr>
        <w:jc w:val="both"/>
        <w:ind w:firstLine="766"/>
        <w:spacing w:after="0" w:line="261" w:lineRule="auto"/>
        <w:rPr>
          <w:sz w:val="20"/>
          <w:szCs w:val="20"/>
          <w:color w:val="auto"/>
        </w:rPr>
      </w:pPr>
      <w:r>
        <w:rPr>
          <w:rFonts w:ascii="Times New Roman" w:cs="Times New Roman" w:eastAsia="Times New Roman" w:hAnsi="Times New Roman"/>
          <w:sz w:val="18"/>
          <w:szCs w:val="18"/>
          <w:color w:val="auto"/>
        </w:rPr>
        <w:t>In both trials, Twyneo® appeared to be generally safe and well-tolerated and the majority of local skin reactions, when reported, were mild or moderate and improved over time. A total of 18 subjects discontinued treatment in both trials due to treatment emergent adverse events. There were no treatment-related serious adverse events and four unrelated serious adverse events (one Twyneo® (depression), three vehicle) were reported across both trials.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chart presents the proportion of subjects in the ITT population in studies SGT 65-04 and SGT 65-05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1179195</wp:posOffset>
            </wp:positionH>
            <wp:positionV relativeFrom="paragraph">
              <wp:posOffset>114300</wp:posOffset>
            </wp:positionV>
            <wp:extent cx="4783455" cy="19970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4783455" cy="1997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9"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7"/>
          <w:szCs w:val="17"/>
          <w:color w:val="auto"/>
        </w:rPr>
        <w:t>The following chart presents the absolute mean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648970</wp:posOffset>
            </wp:positionH>
            <wp:positionV relativeFrom="paragraph">
              <wp:posOffset>161925</wp:posOffset>
            </wp:positionV>
            <wp:extent cx="5015230" cy="23742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015230" cy="2374265"/>
                    </a:xfrm>
                    <a:prstGeom prst="rect">
                      <a:avLst/>
                    </a:prstGeom>
                    <a:noFill/>
                  </pic:spPr>
                </pic:pic>
              </a:graphicData>
            </a:graphic>
          </wp:anchor>
        </w:drawing>
      </w:r>
    </w:p>
    <w:p>
      <w:pPr>
        <w:sectPr>
          <w:pgSz w:w="11900" w:h="16838" w:orient="portrait"/>
          <w:cols w:equalWidth="0" w:num="1">
            <w:col w:w="9479"/>
          </w:cols>
          <w:pgMar w:left="980" w:top="33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51435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479"/>
          </w:cols>
          <w:pgMar w:left="980" w:top="337" w:right="1440" w:bottom="1440" w:gutter="0" w:footer="0" w:header="0"/>
          <w:type w:val="continuous"/>
        </w:sectPr>
      </w:pPr>
    </w:p>
    <w:bookmarkStart w:id="11" w:name="page12"/>
    <w:bookmarkEnd w:id="11"/>
    <w:p>
      <w:pPr>
        <w:ind w:left="660"/>
        <w:spacing w:after="0"/>
        <w:rPr>
          <w:sz w:val="20"/>
          <w:szCs w:val="20"/>
          <w:color w:val="auto"/>
        </w:rPr>
      </w:pPr>
      <w:r>
        <w:rPr>
          <w:rFonts w:ascii="Times New Roman" w:cs="Times New Roman" w:eastAsia="Times New Roman" w:hAnsi="Times New Roman"/>
          <w:sz w:val="18"/>
          <w:szCs w:val="18"/>
          <w:color w:val="auto"/>
        </w:rPr>
        <w:t>The following chart presents the absolute mean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1110615</wp:posOffset>
            </wp:positionH>
            <wp:positionV relativeFrom="paragraph">
              <wp:posOffset>154305</wp:posOffset>
            </wp:positionV>
            <wp:extent cx="4928870" cy="28886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4928870" cy="28886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ind w:firstLine="646"/>
        <w:spacing w:after="0" w:line="270" w:lineRule="auto"/>
        <w:rPr>
          <w:sz w:val="20"/>
          <w:szCs w:val="20"/>
          <w:color w:val="auto"/>
        </w:rPr>
      </w:pPr>
      <w:r>
        <w:rPr>
          <w:rFonts w:ascii="Times New Roman" w:cs="Times New Roman" w:eastAsia="Times New Roman" w:hAnsi="Times New Roman"/>
          <w:sz w:val="18"/>
          <w:szCs w:val="18"/>
          <w:color w:val="auto"/>
        </w:rPr>
        <w:t>We also assessed cutaneous tolerability by recording the erythema (redness), scaling, pigmentation, dryness, itching, burning and stinging on a four-point scale from 0 to 3 at baseline and at each visit. These measurements are either measured by the physician or reported by the subject. Overall,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generally well tolerated. The majority of cutaneous adverse events were mild.</w:t>
      </w:r>
    </w:p>
    <w:p>
      <w:pPr>
        <w:spacing w:after="0" w:line="23" w:lineRule="exact"/>
        <w:rPr>
          <w:sz w:val="20"/>
          <w:szCs w:val="20"/>
          <w:color w:val="auto"/>
        </w:rPr>
      </w:pPr>
    </w:p>
    <w:p>
      <w:pPr>
        <w:jc w:val="both"/>
        <w:ind w:left="20" w:firstLine="644"/>
        <w:spacing w:after="0" w:line="266" w:lineRule="auto"/>
        <w:rPr>
          <w:sz w:val="20"/>
          <w:szCs w:val="20"/>
          <w:color w:val="auto"/>
        </w:rPr>
      </w:pPr>
      <w:r>
        <w:rPr>
          <w:rFonts w:ascii="Times New Roman" w:cs="Times New Roman" w:eastAsia="Times New Roman" w:hAnsi="Times New Roman"/>
          <w:sz w:val="18"/>
          <w:szCs w:val="18"/>
          <w:color w:val="auto"/>
        </w:rPr>
        <w:t>Out of the 858 subjects who enrolled in both studies, 754 subjects were included in the safety population, and a combined total of 16 subjects discontinued treatment due to an adverse event across both trials. The most common reasons for subjects not completing the study in both groups (active and vehicle) were the withdrawal of informed consent (41 subjects, 4.8%), and loss to follow-up (39 subjects, 4.5%).</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Epsolay® for Subtype II Rosacea</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Epsolay® </w:t>
      </w:r>
      <w:r>
        <w:rPr>
          <w:rFonts w:ascii="Times New Roman" w:cs="Times New Roman" w:eastAsia="Times New Roman" w:hAnsi="Times New Roman"/>
          <w:sz w:val="18"/>
          <w:szCs w:val="18"/>
          <w:i w:val="1"/>
          <w:iCs w:val="1"/>
          <w:color w:val="auto"/>
        </w:rPr>
        <w:t>Overview</w:t>
      </w:r>
    </w:p>
    <w:p>
      <w:pPr>
        <w:spacing w:after="0" w:line="227"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Epsolay® is a once-daily investigational topical cream containing 5% encapsulated benzoyl peroxide that we have developed for the treatment of papulopustular (subtype II) rosacea. We believe Epsolay® has the potential to become the first product to contain encapsulated benzoyl peroxide for the treatment of subtype II rosacea and, if approved by the FDA,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We expect that Epsolay®, if approved by the FDA, will compete directly with Soolantra. We utilized the FDA’s 505(b)(2) regulatory pathway in seeking approval of Epsolay® in the United States.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On February 12, 2020, we announced positive topline results from our open-label, long-term safety study, evaluating Epsolay® for a treatment duration up to 52 weeks. Our NDA for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has been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1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i w:val="1"/>
          <w:iCs w:val="1"/>
          <w:color w:val="auto"/>
        </w:rPr>
        <w:t>Current Treatment Landscape for Subtype II Rosacea</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five approved drugs for the treatment of subtype II rosacea: Soolantra, Metrogel, Oracea, Zilixi and generic metronidazole. In certain cases, dermatologists often prescribe oral antibiotics either as monotherapies or in conjunction with approved medications.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Our Solution for Subtype II Rosacea — Epsolay®</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Epsolay® candidate for the treatment of papulopustular (subtype II) rosacea can improve on current subtype II rosacea treatments in the following ways:</w:t>
      </w:r>
    </w:p>
    <w:p>
      <w:pPr>
        <w:spacing w:after="0" w:line="183" w:lineRule="exact"/>
        <w:rPr>
          <w:sz w:val="20"/>
          <w:szCs w:val="20"/>
          <w:color w:val="auto"/>
        </w:rPr>
      </w:pPr>
    </w:p>
    <w:p>
      <w:pPr>
        <w:ind w:left="660" w:hanging="328"/>
        <w:spacing w:after="0" w:line="282"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Epsolay®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Epsolay®'s release of the drug can reduce irritation while maintaining efficacy.</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Epsolay® is an innovative topical cream, and if approved by the FDA, would be the first product containing benzoyl peroxide for the treatment of subtype II rosacea.</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Epsolay® Phase 3 Trial Design</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June 2018, we announced dosing of the first subject in our pivotal Phase 3 clinical program of Epsolay® in subjects with papulopustular rosacea. The program enrolled 733 patients aged 18 and older in two identical, double-blind, vehicle-controlled Phase 3 clinical trials at 54 sites across the United States. Patients were randomized at a 2:1 ratio to be treated once-daily with either Epsolay (n=493) or vehicle cream (n=240) for 12 weeks. After the initiation of treatment, clinical and safety evaluations were performed at Weeks 2, 4, 6, 8 and 12.</w:t>
      </w:r>
    </w:p>
    <w:p>
      <w:pPr>
        <w:spacing w:after="0" w:line="180"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primary efficacy endpoints for both trials were success in the IGA defined as two-grade reduction in IGA on a stage of 0 to 4 with a “clear” (0) or “almost clear” (1) at week 12, and a reduction in mean inflammatory lesion count at week 12.</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Epsolay® Phase 3 Trial Results</w:t>
      </w:r>
    </w:p>
    <w:p>
      <w:pPr>
        <w:spacing w:after="0" w:line="227"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As outlined below, Epsolay demonstrated statistically significant improvement in both co-primary endpoints of (1) the number of patients achieving “clear” or “almost clear” in the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Epsolay® demonstrated a favorable safety and tolerability profile similar to vehicle.</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5" w:right="339" w:bottom="1440" w:gutter="0" w:footer="0" w:header="0"/>
        </w:sectPr>
      </w:pPr>
    </w:p>
    <w:bookmarkStart w:id="13" w:name="page14"/>
    <w:bookmarkEnd w:id="13"/>
    <w:p>
      <w:pPr>
        <w:jc w:val="both"/>
        <w:ind w:firstLine="638"/>
        <w:spacing w:after="0" w:line="258" w:lineRule="auto"/>
        <w:rPr>
          <w:sz w:val="20"/>
          <w:szCs w:val="20"/>
          <w:color w:val="auto"/>
        </w:rPr>
      </w:pPr>
      <w:r>
        <w:rPr>
          <w:rFonts w:ascii="Times New Roman" w:cs="Times New Roman" w:eastAsia="Times New Roman" w:hAnsi="Times New Roman"/>
          <w:sz w:val="18"/>
          <w:szCs w:val="18"/>
          <w:color w:val="auto"/>
        </w:rPr>
        <w:t>In study SGT 54-01, patients in the Epsolay® and vehicle treatment groups had a baseline mean inflammatory lesion count of 25.7 and 26.3, respectively. The proportion of patients with “moderate” (3) or “severe” (4) IGA in the Epsolay® treatment group was 86.4% and 13.6%, respectively, and 88.1% and 11.9%, respectively, in the vehicle treatment group. In study SGT 54-02, patients in Epsolay® and vehicle treatment groups had a baseline mean inflammatory lesion count of 29.8 and 27.5, respectively. The proportion of patients with “moderate” (3) or “severe” (4) IGA in the Epsolay treatment group was 90.8% and 9.2%, respectively, and 91.8% and 8.2%, respectively, in the vehicle treatment group.</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As outlined below, Epsolay® met all co-primary endpoints in both Phase 3 trials. Epsolay® demonstrated statistically significant improvement in each of the co-primary endpoints described above.</w:t>
      </w:r>
    </w:p>
    <w:p>
      <w:pPr>
        <w:spacing w:after="0" w:line="16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In study SGT 54-01, 43.5% of patients treated with Epsolay achieved success in IGA versus 16.1% in the vehicle treated group (P&lt;0.001) at week</w:t>
      </w:r>
    </w:p>
    <w:p>
      <w:pPr>
        <w:spacing w:after="0" w:line="27" w:lineRule="exact"/>
        <w:rPr>
          <w:sz w:val="20"/>
          <w:szCs w:val="20"/>
          <w:color w:val="auto"/>
        </w:rPr>
      </w:pPr>
    </w:p>
    <w:p>
      <w:pPr>
        <w:jc w:val="both"/>
        <w:ind w:firstLine="8"/>
        <w:spacing w:after="0" w:line="253" w:lineRule="auto"/>
        <w:tabs>
          <w:tab w:leader="none" w:pos="325"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Study 54-02, 50.1% of patients treated with Epsolay® achieved success in IGA versus 25.9% in the vehicle group (P&lt;0.001) at week 12. In study SGT 54-01, the absolute change from baseline of inflammatory lesion count for Epsolay was -17.4 versus -9.5 for the vehicle group (P&lt;0.001) at week 12. In study SGT 54-02, the absolute change from baseline of inflammatory lesion count for Epsolay was -20.3 versus -13.3 for the vehicle group (P&lt;0.001) at week 12.</w:t>
      </w:r>
    </w:p>
    <w:p>
      <w:pPr>
        <w:spacing w:after="0" w:line="18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chart presents the proportion of subjects in the ITT population in studies SGT 54-01 and SGT 54-02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1676400</wp:posOffset>
            </wp:positionH>
            <wp:positionV relativeFrom="paragraph">
              <wp:posOffset>114300</wp:posOffset>
            </wp:positionV>
            <wp:extent cx="4269105" cy="21170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269105" cy="21170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4" w:name="page15"/>
    <w:bookmarkEnd w:id="14"/>
    <w:p>
      <w:pPr>
        <w:ind w:left="660"/>
        <w:spacing w:after="0"/>
        <w:rPr>
          <w:sz w:val="20"/>
          <w:szCs w:val="20"/>
          <w:color w:val="auto"/>
        </w:rPr>
      </w:pPr>
      <w:r>
        <w:rPr>
          <w:rFonts w:ascii="Times New Roman" w:cs="Times New Roman" w:eastAsia="Times New Roman" w:hAnsi="Times New Roman"/>
          <w:sz w:val="18"/>
          <w:szCs w:val="18"/>
          <w:color w:val="auto"/>
        </w:rPr>
        <w:t>The following chart presents the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291465</wp:posOffset>
            </wp:positionV>
            <wp:extent cx="4286250" cy="22028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286250" cy="2202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chart presents the percent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154305</wp:posOffset>
            </wp:positionV>
            <wp:extent cx="4294505" cy="26314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294505" cy="2631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ind w:firstLine="638"/>
        <w:spacing w:after="0" w:line="266" w:lineRule="auto"/>
        <w:rPr>
          <w:sz w:val="20"/>
          <w:szCs w:val="20"/>
          <w:color w:val="auto"/>
        </w:rPr>
      </w:pPr>
      <w:r>
        <w:rPr>
          <w:rFonts w:ascii="Times New Roman" w:cs="Times New Roman" w:eastAsia="Times New Roman" w:hAnsi="Times New Roman"/>
          <w:sz w:val="18"/>
          <w:szCs w:val="18"/>
          <w:color w:val="auto"/>
        </w:rPr>
        <w:t>In both studies, Epsolay® demonstrated a favorable safety and tolerability profile similar to vehicle, with a low rate of cutaneous side effects (e.g., dryness, scaling, itching and burning/stinging) comparable to vehicle. Adverse events were primarily mild to moderate in severity with the most frequently reported adverse events across both studies being application site erythema and application site pain reported by less than 3.4% of subjects. There were no treatment-related serious adverse events, with a combined total of two unrelated serious adverse events (1 Epsolay®, 1 vehicle) reported across both trials.</w:t>
      </w:r>
    </w:p>
    <w:p>
      <w:pPr>
        <w:spacing w:after="0" w:line="176"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Out of the 733 subjects who enrolled in both studies, 721 subjects were included in the safety population, and a combined total of 10 subjects (9 Epsolay®, 1 vehicle) discontinued treatment due to an adverse event across both trials. The most common reasons for subjects not completing the study in both groups (active and vehicle) were the withdrawal of informed consent (25 subjects, 3.4%), and loss to follow-up (17 subjects, 2.3%).</w:t>
      </w:r>
    </w:p>
    <w:p>
      <w:pPr>
        <w:spacing w:after="0" w:line="1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i w:val="1"/>
          <w:iCs w:val="1"/>
          <w:color w:val="auto"/>
        </w:rPr>
        <w:t>Long-Term Safety Study Results for Epsolay®</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February 12, 2020, we announced positive topline results from our open-label, long-term safety study, SGT -54-07, evaluating Epsolay® for a treatment duration up to 52 weeks. 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Epsolay® one-year safety evaluation.</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Non-cutaneous adverse events were similar in frequency and type to those observed in the preceding Phase 3 trials. The most common adverse event reported was nasopharyngitis (5.4%). Less than 3% of patients experienced application site adverse events that were considered to be drug-related, and no serious drug-related adverse events were reported.</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At every study visit, the investigator conducted Local Tolerability and Cutaneous Safety Assessments. At the end of 52 weeks more than 90% of subjects had “none” or “mild” signs or symptoms (burning or stinging, itching, dryness and scaling) and no “severe” tolerability scores were recorded.</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Although the study was designed to evaluate long-term safety, subjects also continued to undergo evaluation according to the Investigator Global Assessment (IGA) 5-point scale. Of the 209 patients treated with Epsolay for 52 weeks, 73.2% reported an IGA score of 0 ("clear") or 1 ("almost clear") at 52 weeks.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SGT-210 for Keratodermas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SGT-210 that we are developing for the treatment of keratoderma, such as PPK, a group of skin conditions characterized by thickening of the skin. SGT-210 is designed to be used alone or in combination for the treatment of hyperproliferation and hyperkeratinization disorders, including PPK. On January 2, 2020, we announced the initiation of a Phase 1 clinical study of SGT-210 in patients with palmoplantar keratoderma. The Phase 1 concept study SGT-84-01 is a single-center, single-blinded, vehicle-controlled study designed to evaluate the bioavailability, safety and tolerability of SGT-210 as well as inform on potential efficacy. During the third quarter of 2021, we reported that the study with respect to six (6) palmoplantar keratoderma (PPK) patients has been completed and indicated modest improvement and a favorable safety profile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SGT-210, SGT-310 and SGT-510 potentially for psoriasis and other medical conditions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are conducting pre-clinical testing to explore the possible activity of SGT-210, SGT-310, and SGT-510 in various new pharmaceutical indications. Approximately 25 provisional patent applications for these project candidates have been submitted to date, including patent applications covering the use of tapinarof in ophthalmic disorders such as dry eye, uveitis, and blepharitis with or without demodex involvement.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Generic Drug Product Candidates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to our investigational product candidates, we are also currently developing a portfolio of two generic topical dermatological related to four generic drug candidates in collaboration with Padagis by assignment from Perrigo. Padagis has significant experience in the development of generic drugs.</w:t>
      </w:r>
    </w:p>
    <w:p>
      <w:pPr>
        <w:spacing w:after="0" w:line="17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previously had collaboration arrangements with Perrigo to develop a portfolio of 11 generic topical dermatological products. In November 2021, we announced that we had signed an agreement with Padagis, pursuant to which we sold our rights related to 10 generic collaborative agreements between the parties. Under the terms of this agreement with Padagis, effective as of November 1, 2021, we are to unconditionally receive $21.5 million over 24 months, in lieu of our share in the ten generic programs, two of which were approved by the FDA, and eight of which are unapproved. Pursuant to the agreement, effective as of November 1, 2021, we ceased paying any outstanding and future operational costs related to these 10 collaborative agreements.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5" w:right="339" w:bottom="1440" w:gutter="0" w:footer="0" w:header="0"/>
        </w:sectPr>
      </w:pPr>
    </w:p>
    <w:bookmarkStart w:id="16" w:name="page17"/>
    <w:bookmarkEnd w:id="16"/>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We currently have two collaboration agreements with Padagis for the development, manufacturing and commercialization of two generic product candidates. Under such agreements, Padagis will conduct the regulatory (if relevant), scientific, clinical and technical activities necessary to develop the generic product candidates and seek regulatory approval with the FDA for the generic product candidates. If approved by the FDA, Padagis has agreed to commercialize the generic product candidates in the United States. We and Padagis will share the development costs and the gross profits generated from the sales of the generic product candidates, if approved by the FDA.</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Proprietary Silica-Based Microencapsulation Technology Platform</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contrast, we use proprietary ‘sol-gel’ processes to shape silica on site to form microcapsule shells of almost any size and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50 micron in size. This process results in an aqueous suspension in which the drug substances are entrapped in silica particles.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intellectual property and proprietary technology are directed to the development, manufacture and sale of Twyneo®, Epsolay® and our other investigational product candidates, SGT-210, SGT-310, SGT-510 .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Investigational product candidates and our future prospects.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patent portfolio that is directed to Twyneo® Epsolay® and our other investigational product candidates includes 144 patents and patent applications and claims processes for manufacture (including silica microencapsulation platform and other technologies), formulations, composition of matter, and methods of use. Of these 144 patents and patent applications, 78 are granted patents (11 in the United States and 67 in other countries) and 66 are pending applications (32 in the United States and 34 in other countries).</w:t>
      </w:r>
    </w:p>
    <w:p>
      <w:pPr>
        <w:spacing w:after="0" w:line="170" w:lineRule="exact"/>
        <w:rPr>
          <w:sz w:val="20"/>
          <w:szCs w:val="20"/>
          <w:color w:val="auto"/>
        </w:rPr>
      </w:pPr>
    </w:p>
    <w:p>
      <w:pPr>
        <w:jc w:val="both"/>
        <w:ind w:firstLine="648"/>
        <w:spacing w:after="0" w:line="213" w:lineRule="auto"/>
        <w:rPr>
          <w:sz w:val="20"/>
          <w:szCs w:val="20"/>
          <w:color w:val="auto"/>
        </w:rPr>
      </w:pPr>
      <w:r>
        <w:rPr>
          <w:rFonts w:ascii="Times New Roman" w:cs="Times New Roman" w:eastAsia="Times New Roman" w:hAnsi="Times New Roman"/>
          <w:sz w:val="18"/>
          <w:szCs w:val="18"/>
          <w:color w:val="auto"/>
        </w:rPr>
        <w:t>For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we have obtained patent protection for the composition of matter in the United States, Canada, Japan, Mexico (with a term until 2028) and we have an allowed application claiming composition of matter in the European Patent Office. There are four patent families protecting the process for the encapsulation of the active agents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(one patent family has patents granted in Canada, India, Mexico, Europe (validated in France, Germany, Ireland, Italy, Spain, Switzerland and the United Kingdom) and Japan (with a term until 2028) and applications pending in the United States; the second patent family has patents granted in Mexico, Canada and the United States (with a term until 2029) and an application pending in the United States; the third patent family has patents granted in Europe (validated in France, Germany, Ireland, Italy, Spain, Switzerland and the United Kingdom), China, India, Japan, Canada, Mexico and the United States (with a term until 2030) and applications pending in the United States); and the fourth patent family has patents granted in Canada, China, Israel, India, Mexico and the United States). We own pending patents for the formulation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in the United States (with a term until 2032), and patents granted in China, Japan, Canada, Mexico and Europe (validated in France, Germany, Ireland, Italy, Spain, Switzerland, United Kingdom) (with a term until 2032). We have pending patent applications in the United States for the composition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and one patent granted in the United States for the method of treatment of Twyneo® (with a term until 2038). We have five trademarks registered for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in Israel, Europe, the United States and Canada.</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7" w:name="page18"/>
    <w:bookmarkEnd w:id="17"/>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For Epsolay®, we have obtained patents in China, Canada, Japan, Europe, Mexico and the United States (with a term until 2032) covering the composition for topical treatment of rosacea. We have further pending applications for this composition in the United States. There are two patent families directed to the process for encapsulation of the active agents of Epsolay® (one patent family has granted patents in Canada, India, Mexico, Europe (validated in France, Germany, Ireland, Italy, Spain, Switzerland and the United Kingdom) and Japan (with a term until 2028) and pending applications in the United States; and the second patent family has patents granted in Canada, China, Israel, India, Mexico and the United States). We also have 2 granted patents in the United States (with a term until 2040) and 14 patent applications pending covering the methods of use of Epsolay® for the treatment of rosacea.</w:t>
      </w:r>
    </w:p>
    <w:p>
      <w:pPr>
        <w:spacing w:after="0" w:line="179" w:lineRule="exact"/>
        <w:rPr>
          <w:sz w:val="20"/>
          <w:szCs w:val="20"/>
          <w:color w:val="auto"/>
        </w:rPr>
      </w:pPr>
    </w:p>
    <w:p>
      <w:pPr>
        <w:jc w:val="both"/>
        <w:ind w:firstLine="648"/>
        <w:spacing w:after="0" w:line="219" w:lineRule="auto"/>
        <w:rPr>
          <w:sz w:val="20"/>
          <w:szCs w:val="20"/>
          <w:color w:val="auto"/>
        </w:rPr>
      </w:pPr>
      <w:r>
        <w:rPr>
          <w:rFonts w:ascii="Times New Roman" w:cs="Times New Roman" w:eastAsia="Times New Roman" w:hAnsi="Times New Roman"/>
          <w:sz w:val="18"/>
          <w:szCs w:val="18"/>
          <w:color w:val="auto"/>
        </w:rPr>
        <w:t>We have one published international application and 3 pending applications in the United States covering the compositions of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the processes for the encapsulation of the active agents of our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the methods of use.</w:t>
      </w:r>
    </w:p>
    <w:p>
      <w:pPr>
        <w:spacing w:after="0" w:line="4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have four registered trademarks in Europe, Canada, the United States and Israel. These registrations cover potential brand names for our Epsolay® in Israel, Europe, Canada and the United States.</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For SGT-210, we have 16 pending applications in China, Canada, Japan, Korea, Europe, Mexico and the United States, the refer to methods and compositions of use.</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For SGT-310, we have 15 pending applications in China, Canada, Japan, Korea, Europe, Mexico and the United States, that refer to compositions per se, compositions for use, methods of treatments, regimens and kits.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SGT-510, we have nine pending applications in China, Canada, Japan, Korea, Europe, Mexico and the United States, that refer to refer to compositions per se, dosage forms, methods of treatment, and regimens.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8" w:name="page19"/>
    <w:bookmarkEnd w:id="18"/>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There are numerous companies that have branded or generic products or product candidates in the dermatology market. Among them are Aclaris Therapeutics, Inc., Akorn, Inc., Almirall S.A., Aqua Pharmaceuticals LLC, Bayer HealthCare AG, Cassiopea SpA, Vyne Pharmaceuticals Ltd., Galderma Pharma S.A., Glenmark Pharmaceuticals Ltd., G&amp;W Laboratories, Inc., LEO Pharma A/S, Mylan N.V., Novan, Inc., Novartis AG, Novum Pharma, LLC, Perrigo Company plc, Pfizer, Inc., Spear Therapeutics, Ltd., Sun Pharmaceutical Industries Ltd., Teligent, Inc., Teva Pharmaceutical Industries Ltd. and Bausch Health Companies Inc.</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174"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18"/>
          <w:szCs w:val="18"/>
          <w:color w:val="auto"/>
        </w:rPr>
        <w:t>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Epsolay® target the well-established acne and rosacea markets. We expect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if approved by the FDA, Epsolay®,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Tazorac and Altreno, fixed-dose combinations of benzoyl peroxide and adapalene such as Epiduo and Epiduo Forte, fixed-dose combinations of benzoyl peroxide and clindamycin such as Duac, Benzaclin, Onexton and Acanya, fixed-dose combinations of tretinoin and clindamycin such as Ziana and Veltin, topical antiandrogen such as Winlevi and topical antibiotics such as Aczone and Amzeeq. The current standard of care for rosacea includes Metrogel, Finacea, Soolantra and the recently launched Zilxi, as well as oral Oracea (doxycycline embedded in a technology platform). As a fixed-dose combination product candidate, Twyneo® may also compete with drug products utilizing other technologies that can separate two drug substances, such as dual chamber tubes, dual pouches or dual sachets. In addition to these products, our generic drug product candidates are expected to face direct competition from branded drugs and authorized generics which are prescription drugs produced by the branded pharmaceutical companies and marketed under a private label, at generic prices.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Marketing, Sales and Distribution</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currently have limited sales, marketing and distribution capabilities. In June 2021, we entered into two five-year exclusive license agreements with Galderma pursuant to which Galderma has the exclusive right to, and is responsible for, all U.S. commercial activities for Twyneo®, and, if approved by the FDA, Epsolay®. Pursuant to the agreement, we are entitled to consideration of up to $11 million in upfront payments to us and regulatory approval milestone payments. We are also eligible to receive tiered double-digit royalties ranging from mid-teen to high-teen percentage of net sales as well as up to $9 million in sales milestone payments. We also expect to collaborate with third parties that have sales and marketing experience in order to commercialize our other investigational product candidates, if approved by the FDA for commercial sale, in lieu of our own sales force and distribution systems. If we are unable to enter into such arrangements for our other product candidates on acceptable terms or at all, we may not be able to successfully commercialize them. In other markets, we also expect to selectively pursue strategic collaborations with third parties in order to maximize the commercial potential of our product candidates.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For the supply of current good manufacturing practice-grade, or cGMP-grade and clinical trial materials we rely on and expect to continue to rely on third-party contract manufacturing organizations, or CMOs, or on in-house manufacturing capabilities. As of August 2018, our in-house manufacturing operations have been audited for current good manufacturing, or cGMP, compliance, and were granted a cGMP certification by the Israel Ministry of Health. This certification allowed us to manufacture Twyneo® and its intermediates to support Phase 3 clinical trials. This cGMP certification expired in 2020, and since no other manufacturing for Phase 3 clinical trials is planned at the Company during 2021, the Company and the Israel Ministry of Health have mutually concluded that the cGMP certification will be reassessed and renewed for other products as they reach relevant stages of development. ISO 14001:2015 and ISO 45001:2018certifications continue to be maintained and are due for renewal in May 2024 and March 2021, respectively. For commercial manufacturing of our products, we intend to rely solely on CMOs. It is our policy to have multiple or alternative sources where possible for every service and material we use in our products.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Regulation by governmental authorities in Israel, the United States and other countries is a significant factor in the development, manufacture and commercialization of our product candidates and in our ongoing research and development activities. Our business is subject to extensive government regulation in Israel for its manufacturing activities involving drug products, drug product intermediates, and drug product active substances to be used in Phase 1 and Phase 2 clinical trials.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 Approval Process in the United States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Review and approval of drugs</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the United States, pharmaceutical products are subject to extensive regulation by the FDA. The Federal Food, Drug and Cosmetic Act, or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 (3) 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general, the process required by the FDA prior to marketing and distributing a new drug, as opposed to a generic drug subject to section 505(j), in the United States usually involves the following:</w:t>
      </w:r>
    </w:p>
    <w:p>
      <w:pPr>
        <w:spacing w:after="0" w:line="162" w:lineRule="exact"/>
        <w:rPr>
          <w:sz w:val="20"/>
          <w:szCs w:val="20"/>
          <w:color w:val="auto"/>
        </w:rPr>
      </w:pPr>
    </w:p>
    <w:p>
      <w:pPr>
        <w:ind w:left="660" w:right="2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completion of pre-clinical laboratory tests, animal studies and formulation studies in compliance with the FDA’s good laboratory practices, or GLP, requirements or other applicable regulations;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0" w:name="page21"/>
    <w:bookmarkEnd w:id="20"/>
    <w:p>
      <w:pPr>
        <w:ind w:left="660" w:hanging="328"/>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submission to the FDA of an investigational new drug application, or IND, which must become effective before human clinical trials in the United States may begin;</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approval by an independent institutional review board, or IRB, or ethics committee at each clinical site before each trial may be initiated;</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preparation and submission to the FDA of an NDA;</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an FDA advisory committee review, if applicable;</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FDA audits of clinical trial sites to assure compliance with GCPs and the integrity of the clinical data;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of user fees and FDA review and approval of the NDA.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Pre-clinical studies</w:t>
      </w:r>
    </w:p>
    <w:p>
      <w:pPr>
        <w:spacing w:after="0" w:line="22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investigational new drug application, or IND, which must become effective before clinical trials may commence. An IND is a request for authorization from the FDA to administer an investigational new drug product to humans. The central focus of an IND submission is on the general investigational plan and the protocol(s) for clinical studies. The IND automatically becomes effective 30 days after receipt by the FDA, unless the FDA, within the 30- day time period, raises safety concerns or questions about the proposed clinical trial. In such a case, the IND may be placed on clinical hold and the IND sponsor and the FDA must resolve any outstanding concerns or questions before the clinical trial can begin. Submission of an IND therefore may or may not result in FDA authorization to begin a clinical trial. Long-term pre-clinical studies, such as animal tests of reproductive toxicity and carcinogenicity, may continue after the IND application is submitted.</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Clinical trials</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local institutional review board, or IRB, and to the FDA as part of the IND.</w:t>
      </w:r>
    </w:p>
    <w:p>
      <w:pPr>
        <w:spacing w:after="0" w:line="18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Some studies also include oversight by an independent group of qualified experts organized by the clinical study sponsor, known as a data safety monitoring board, which provides authorization for whether or not a study may move forward at designated check points based on access to certain data from the study and may halt the clinical trial if it determines that there is an unacceptable safety risk for subjects or other grounds, such as no demonstration of efficacy. Depending on its charter, this group may determine whether a trial may move forward at designated check points based on access to certain data from the trial. The FDA or the sponsor may suspend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There are also requirements governing the reporting of ongoing clinical studies and clinical study results to public registries.</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ind w:left="660"/>
        <w:spacing w:after="0"/>
        <w:rPr>
          <w:sz w:val="20"/>
          <w:szCs w:val="20"/>
          <w:color w:val="auto"/>
        </w:rPr>
      </w:pPr>
      <w:r>
        <w:rPr>
          <w:rFonts w:ascii="Times New Roman" w:cs="Times New Roman" w:eastAsia="Times New Roman" w:hAnsi="Times New Roman"/>
          <w:sz w:val="18"/>
          <w:szCs w:val="18"/>
          <w:color w:val="auto"/>
        </w:rPr>
        <w:t>Clinical trials are typically conducted in three sequential phases, which may overlap or be combined:</w:t>
      </w:r>
    </w:p>
    <w:p>
      <w:pPr>
        <w:spacing w:after="0" w:line="223" w:lineRule="exact"/>
        <w:rPr>
          <w:sz w:val="20"/>
          <w:szCs w:val="20"/>
          <w:color w:val="auto"/>
        </w:rPr>
      </w:pPr>
    </w:p>
    <w:p>
      <w:pPr>
        <w:jc w:val="both"/>
        <w:ind w:left="660" w:hanging="328"/>
        <w:spacing w:after="0" w:line="267" w:lineRule="auto"/>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1</w:t>
      </w:r>
      <w:r>
        <w:rPr>
          <w:rFonts w:ascii="Times New Roman" w:cs="Times New Roman" w:eastAsia="Times New Roman" w:hAnsi="Times New Roman"/>
          <w:sz w:val="18"/>
          <w:szCs w:val="18"/>
          <w:color w:val="auto"/>
        </w:rPr>
        <w:t>: The drug is initially introduced into healthy human subjects or patients with the target disease or condition and tested for safety, dosage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tolerance, absorption, metabolism, distribution, excretion and, if possible, to gain an early indication of its effectiveness and to determine optimal dosage.</w:t>
      </w:r>
    </w:p>
    <w:p>
      <w:pPr>
        <w:spacing w:after="0" w:line="173" w:lineRule="exact"/>
        <w:rPr>
          <w:rFonts w:ascii="Times New Roman" w:cs="Times New Roman" w:eastAsia="Times New Roman" w:hAnsi="Times New Roman"/>
          <w:sz w:val="18"/>
          <w:szCs w:val="18"/>
          <w:color w:val="auto"/>
        </w:rPr>
      </w:pPr>
    </w:p>
    <w:p>
      <w:pPr>
        <w:ind w:left="660" w:hanging="328"/>
        <w:spacing w:after="0" w:line="284" w:lineRule="auto"/>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2</w:t>
      </w:r>
      <w:r>
        <w:rPr>
          <w:rFonts w:ascii="Times New Roman" w:cs="Times New Roman" w:eastAsia="Times New Roman" w:hAnsi="Times New Roman"/>
          <w:sz w:val="18"/>
          <w:szCs w:val="18"/>
          <w:color w:val="auto"/>
        </w:rPr>
        <w:t>: The drug is administered to a limited patient population to identify possible short-term adverse effects and safety risks, to preliminarily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evaluate the efficacy of the product for specific targeted diseases and to determine dosage tolerance and optimal dosage.</w:t>
      </w:r>
    </w:p>
    <w:p>
      <w:pPr>
        <w:spacing w:after="0" w:line="158" w:lineRule="exact"/>
        <w:rPr>
          <w:rFonts w:ascii="Times New Roman" w:cs="Times New Roman" w:eastAsia="Times New Roman" w:hAnsi="Times New Roman"/>
          <w:sz w:val="18"/>
          <w:szCs w:val="18"/>
          <w:color w:val="auto"/>
        </w:rPr>
      </w:pPr>
    </w:p>
    <w:p>
      <w:pPr>
        <w:jc w:val="both"/>
        <w:ind w:left="660" w:hanging="328"/>
        <w:spacing w:after="0" w:line="267" w:lineRule="auto"/>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3</w:t>
      </w:r>
      <w:r>
        <w:rPr>
          <w:rFonts w:ascii="Times New Roman" w:cs="Times New Roman" w:eastAsia="Times New Roman" w:hAnsi="Times New Roman"/>
          <w:sz w:val="18"/>
          <w:szCs w:val="18"/>
          <w:color w:val="auto"/>
        </w:rPr>
        <w:t>: The drug is administered to an expanded patient population, generally at geographically dispersed clinical trial sites, in well-controlled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17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some cases, the FDA may require, or companies may voluntarily pursue, additional clinical trials after a product is approved to gain more information about the product. These so-called Phase 4 studies, may be conducted after initial marketing approval, and may be used to gain additional experience from the treatment of patients in the intended therapeutic indication. In certain instances, the FDA may mandate the performance of Phase 4 clinical trials as a condition of approval of an NDA.</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drug. In addition, appropriate packaging must be selected and tested, and stability studies must be conducted to demonstrate that the product candidate does not undergo unacceptable deterioration over its shelf life.</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While the IND is active and before approval, progress reports summarizing the results of the clinical trials and nonclinical studies performed since the last progress report must be submitted at least annually to the FDA, and written IND safety reports must be submitted to the FDA and investigators for serious and unexpected suspected adverse events, findings from other studies suggesting a significant risk to humans exposed to the same or similar drugs, findings from animal or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testing suggesting a significant risk to humans, and any clinically important increased incidence of a serious suspected adverse reaction compared to that listed in the protocol or investigator brochure.</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the FDA to reach agreement on the next phase of development. Sponsors typically use the meetings at the end of the Phase 2 trial to discuss Phase 2 clinical results and present plans for the pivotal Phase 3 clinical trials that they believe will support approval of the new drug.</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2" w:name="page23"/>
    <w:bookmarkEnd w:id="22"/>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Unlike NDA products which must be shown to be safe and effective for their intended use, ANDA products must be shown to be the same as, and bioequivalent to, a reference listed drug, or RLD. A product is considered bioequivalent if there is no significant difference in the rate and extent to which the active ingredient in the generic product and in the RLD becomes available at the site of drug action when administered at the same molar dose under similar conditions in an appropriately designed study. Accordingly, an applicant typically compares the systemic exposure profile of the generic test drug product to that of the RLD at the same regimen and exposure period as the RLD to demonstrate bioequivalence. For most ANDAs, bioequivalence must be shown in human clinical trials, but in some cases, FDA will accept in vitro data. Specific requirements are typically outlined by FDA in product-specific bioequivalence guidance.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Submission of an NDA to the FDA</w:t>
      </w:r>
    </w:p>
    <w:p>
      <w:pPr>
        <w:spacing w:after="0" w:line="22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Assuming successful completion of all required testing with all applicable regulatory requirements, 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application user fees, as well as the annual program fees required for approved products, can be substantial. The NDA application review fee alone can exceed $2.5 million, subject to certain limited deferrals, waivers and reductions that may be available.</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18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Under the PDUFA, the FDA has agreed to certain performance goals in the review of NDAs through a two-tiered classification system, Standard Review and Priority Review. An NDA is eligible for Priority Review if the product candidate is designed to treat serious or life-threatening disease or condition, and if approved by the FDA, would provide a significant improvement in the treatment, diagnosis or prevention of a serious disease or condition compared to marketed products. For new molecular entities, or NMEs, such as those typically submitted in 505(b)(1) NDAs, the FDA endeavors to review applications subject to Standard Review within 10 months 60-day filing date, or within 6 months of the 60-day filing date for Priority Review. For non-NMEs, such as those typically submitted in 505(b)(2) NDAs, FDA’s goal is to review applications subject to Standard Review within 10 months of receipt, and those subject to Priority Review within 6 months of receipt. The FDA, however, may not approve a drug within these established goals, as the review process is often significantly extended by FDA requests for additional information or clarification, and its review goals are subject to change from time to time.</w:t>
      </w:r>
    </w:p>
    <w:p>
      <w:pPr>
        <w:spacing w:after="0" w:line="18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 The FDA is not bound by the recommendations of an advisory committee, but it considers such recommendations carefully when making decisions.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3" w:name="page24"/>
    <w:bookmarkEnd w:id="23"/>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After the FDA evaluates the NDA and the manufacturing facilities, it issues either an approval letter or a complete response letter. An approval letter authorizes commercial marketing of the product with specific prescribing information for specific indications. A complete response letter indicates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19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manufacturers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Any drug products receiving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manufacturing of any drug products must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4" w:name="page25"/>
    <w:bookmarkEnd w:id="24"/>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program user fee requirements for any approved products, as well as new application fees for supplemental applications with clinical data.</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FDA also may require post-marketing testing, or Phase IV testing, as well as surveillance to monitor the effects of an approved product or place conditions on an approval that could otherwise restrict the distribution or use of our product candidates.</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183"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the marketing or manufacturing of the product, complete withdrawal of the product from the market or product recalls;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fines, warning letters or holds on post-approval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of the FDA to approve pending NDAs or supplements to approved NDAs, or suspension or revocation of product approvals;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 or detention, or refusal to permit the import or export of products;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injunctions or the imposition of civil or criminal penalties.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Pediatric trials and exclusivity</w:t>
      </w:r>
    </w:p>
    <w:p>
      <w:pPr>
        <w:spacing w:after="0" w:line="22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Sponsors must also submit pediatric study plans prior to the assessment data. Those plans must contain an outline of the proposed pediatric trials the applicant plans to conduct, including trial objectives and design, any deferral or waiver requests, and other information required by the statute. The applicant, the FDA, and the FDA’s internal review committee must then review the information submitted, consult with each other, and agree upon a final plan. The FDA or the applicant may request an amendment to the plan at any time.</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5" w:name="page26"/>
    <w:bookmarkEnd w:id="25"/>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FDA may also, on its own initiative or at the request of the applicant, grant deferrals for submission of some or all pediatric data until after approval of the product for use in adults, or full or partial waivers from the pediatric data requirements.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Separately, in the event the FDA makes a written request for pediatric data relating to a drug product, an NDA sponsor who submits such data may be entitled to pediatric exclusivity. Pediatric exclusivity is a type of non-patent marketing exclusivity in the United States and, if granted, provides for the attachment of an additional six months of marketing protection to the term of any existing non-patent exclusivity.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Hatch-Waxman Amendments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ANDA Approval Process</w:t>
      </w:r>
    </w:p>
    <w:p>
      <w:pPr>
        <w:spacing w:after="0" w:line="22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Hatch-Waxman Amendments established abbreviated FDA approval procedures for drugs that are shown to be equivalent to proprietary drugs previously approved by the FDA through the NDA process. Approval to market and distribute these drugs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505(b)(2) NDAs</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Section 505(b)(2) was enacted as part of the Hatch-Waxman Amendments, and permits the filing of an NDA where at least some of the information required for approval comes from studies or trials not conducted by or for the applicant and for which the applicant has not obtained a right of reference. Section 505(b)(2) typically serves as an alternative path to FDA approval for modifications to formulations or uses of products previously approved by the FDA.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Orange Book Listing</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seeking approval for a drug through an NDA, including a 505(b)(1) and 505(b)(2) NDA, applicants are required to list with the FDA certain patents whose claims cover the applicant’s product or method of using the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(1) that no patent information on the drug product that is the subject of the application has been submitted to the FDA; (2) that such patent has expired; (3) the date on which such patent expires; or (4) that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a patented method-of-use rather than certify to a listed method-of-use patent.</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6" w:name="page27"/>
    <w:bookmarkEnd w:id="26"/>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19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187"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Further, although applications submitted in a Section 505(b)(1) NDA are not subject to the same patent certification requirements as Section 505(b)(2) applications or ANDAs, and are not associated with litigation under the Hatch-Waxman Act, applicants may still face non-Hatch-Waxman patent litigation for products developed through the Section 505(b)(1) pathway.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Non-Patent Exclusivity</w:t>
      </w:r>
    </w:p>
    <w:p>
      <w:pPr>
        <w:spacing w:after="0" w:line="22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addition to patent exclusivity, NDA holders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ANDA or 505(b)(2) applicant makes a Paragraph IV certification.</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investigations (other than bioavailability or bioequivalence studies) was essential to the approval of the application and was conducted or 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i w:val="1"/>
          <w:iCs w:val="1"/>
          <w:color w:val="auto"/>
        </w:rPr>
        <w:t>Review and Approval of Drug Products Outside the United States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183"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18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i w:val="1"/>
          <w:iCs w:val="1"/>
          <w:color w:val="auto"/>
        </w:rPr>
        <w:t>Pharmaceutical Coverage, Pricing and Reimbursement</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Third-party payors are increasingly challenging the price and examining the medical necessity and cost-effectiveness of medical products and services, in addition to their safety and efficacy. We or Galderma may need to conduct expensive pharmacoeconomic studies in order to demonstrate the medical necessity and cost-effectiveness of Epsolay® and Twyneo®. For example, Epsolay® and Twyneo®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Reform</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March 2010, the President of the United States signed the ACA, one of the most significant healthcare reform measures in decades. The ACA substantially changed the way healthcare is financed by both governmental and private insurers, and significantly impacted the pharmaceutical industry. The ACA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 Additionally, the ACA increased the minimum level of rebates payable by manufacturers of brand-name drugs from 15.1% to 23.1%, and imposed a non-deductible annual fee on pharmaceutical manufacturers or importers who sell “branded prescription drugs” to specified federal government programs.</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Since its enactment, there have been judicial, executive and Congressional challenges to certain aspects of the ACA. On June 17, 2021, the U.S. Supreme Court dismissed the most recent judicial challenge to the ACA without specifically ruling on the constitutionality of the ACA. Prior to the Supreme Court’s decision, </w:t>
      </w:r>
      <w:r>
        <w:rPr>
          <w:rFonts w:ascii="Times New Roman" w:cs="Times New Roman" w:eastAsia="Times New Roman" w:hAnsi="Times New Roman"/>
          <w:sz w:val="18"/>
          <w:szCs w:val="18"/>
          <w:color w:val="231F20"/>
        </w:rPr>
        <w:t>President Biden issued an executive order to initiate a special enrollment period from February 15, 2021 through August 15,</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31F20"/>
        </w:rPr>
        <w:t>2021 for purposes of obtaining health insurance coverage through the ACA marketplace. The executive order also instructed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w:t>
      </w:r>
      <w:r>
        <w:rPr>
          <w:rFonts w:ascii="Times New Roman" w:cs="Times New Roman" w:eastAsia="Times New Roman" w:hAnsi="Times New Roman"/>
          <w:sz w:val="18"/>
          <w:szCs w:val="18"/>
          <w:color w:val="000000"/>
        </w:rPr>
        <w:t>.</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other legislative changes have been proposed and adopted since the Affordable Care Act was enacted. For example, the Budget Control Act of 2011 resulted in aggregate reductions to Medicare payments to providers of 2% per fiscal year, which went into effect on April 1, 2013 and, due to subsequent legislative amendments to the statute, will stay in effect through 2030, with the exception of a temporary suspension from May 1, 2020 through March 31, 2022 and a 1% reduction from April 1, 2022 through June 30, 2022,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More recently, on March 11, 2021, the American Rescue Plan Act of 2021 was signed into law, which eliminates the statutory Medicaid drug rebate cap, currently set at 100% of a drug’s average manufacturer price, beginning January 1, 2024.</w:t>
      </w:r>
    </w:p>
    <w:p>
      <w:pPr>
        <w:spacing w:after="0" w:line="192"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18"/>
          <w:szCs w:val="18"/>
          <w:color w:val="auto"/>
        </w:rPr>
        <w:t>The cost of prescription pharmaceuticals in the United States has also been the subject of considerable discussion. There have been several Congressional inquiries, as well as proposed and enacted legislation designed, among other things, to bring more transparency to product pricing, review the relationship between pricing and manufacturer patient programs and reform government program reimbursement methodologies for pharmaceutical products. For example, the Build Back Better Act, if enacted, would introduce substantial drug pricing reforms, including the establishment of a drug price negotiation program within the U.S. Department of Health and Human Services that would require manufacturers to charge a negotiated “maximum fair price” for certain selected drugs or pay an excise tax for noncompliance, and the establishment of rebate payment requirements on manufacturers under Medicare Parts B and D. If the Build Back Better Act is not enacted, similar or other drug pricing proposals could appear in future legislation.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if approved by the FDA, Epsolay®.</w:t>
      </w:r>
    </w:p>
    <w:p>
      <w:pPr>
        <w:spacing w:after="0" w:line="1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Laws and Regulations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price reporting and physician and other healthcare provider payment transparency laws. Some of our pre-commercial activities are subject to some of these laws.</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knowingly making, using or causing to be made or used, a false record or statement material to a false or fraudulent claim, or from knowingly making a false statement to avoid, decrease or conceal an obligation to pay money to a federal program.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Moreover, a claim including items or services resulting from a violation of the federal Anti-Kickback Statute constitutes a false or fraudulent claim for purposes of the federal civil False Claims Act.</w:t>
      </w:r>
    </w:p>
    <w:p>
      <w:pPr>
        <w:spacing w:after="0" w:line="19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18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30" w:name="page31"/>
    <w:bookmarkEnd w:id="30"/>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Affordable Care Act imposed, among other things, new annual reporting requirements for covered manufacturers for certain payments and other transfers of value provided to physicians (defined to include doctors, dentists, optometrists, podiatrists and chiropractors), certain non-physician practitioners (nurse practitioners, certified nurse anesthetists, physician assistants, clinical nurse specialists, anesthesiology assistants and certified nurse midwives), and teaching hospitals, as well as certain ownership and investment interests held by physicians as defined by statute and their immediate family members.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or similar programs in other countries or jurisdictions, integrity oversight and reporting obligations, and imprisonment, any of which could adversely affect our ability to operate our business and our financial results.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Data Privacy and Security Laws</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Numerous state, federal and foreign laws, regulations and standards govern the collection, use, access to, confidentiality and security of health-related and other personal information, and could apply now or in the future to our operations or the operations of our partners. In the United States, numerous federal and state laws and regulations, including data breach notification laws, health information privacy and security laws and consumer protection laws and regulations govern the collection, use, disclosure, and protection of health-related and other personal information. In addition, certain foreign laws govern the privacy and security of personal data, including health-related data. Privacy and security laws, regulations, and other obligations are constantly evolving, may conflict with each other to complicate compliance efforts, and can result in investigations, proceedings, or actions that lead to significant civil and/or criminal penalties and restrictions on data processing.</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Innovation Authority</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We have received royalty-bearing grants from the government of Israel through the IIA, for the financing of a portion of our research and development expenditures in Israel.</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Under the Innovation Law and the IIA’s rules and guidelines, recipients of grants, or Recipient Company(ies), are subject to certain obligations and restrictions with respect to the use of their IIA Funded Know-How, including, the following:</w:t>
      </w:r>
    </w:p>
    <w:p>
      <w:pPr>
        <w:spacing w:after="0" w:line="158" w:lineRule="exact"/>
        <w:rPr>
          <w:sz w:val="20"/>
          <w:szCs w:val="20"/>
          <w:color w:val="auto"/>
        </w:rPr>
      </w:pPr>
    </w:p>
    <w:p>
      <w:pPr>
        <w:jc w:val="both"/>
        <w:ind w:left="660" w:hanging="328"/>
        <w:spacing w:after="0" w:line="256"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Royalty Payment Obligation</w:t>
      </w:r>
      <w:r>
        <w:rPr>
          <w:rFonts w:ascii="Times New Roman" w:cs="Times New Roman" w:eastAsia="Times New Roman" w:hAnsi="Times New Roman"/>
          <w:sz w:val="18"/>
          <w:szCs w:val="18"/>
          <w:color w:val="auto"/>
        </w:rPr>
        <w:t>. In general, the Recipient Company is obligated to pay the IIA royalties from the revenues generated from the sale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products (and related services), whether received by the grant recipient or any affiliated entity, developed (in all or in part), directly or indirectly, as a result of, an Approved Program, or deriving therefrom, at rates which are determined under the IIA’s rules and guidelines (currently a yearly rate of between 3% to 5% on sales of products or services developed under the Approved Programs, depending on the type of the Recipient Company — i.e., whether it is a “Small Company,” or a “Large Company” as such terms are defined in the IIA’s rules and guidelines), up to the aggregate amount of the total grants received by the IIA, plus annual interest based on LIBOR (as determined in the IIA’s rules and guidelines);</w:t>
      </w: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1" w:name="page32"/>
    <w:bookmarkEnd w:id="31"/>
    <w:p>
      <w:pPr>
        <w:jc w:val="both"/>
        <w:ind w:left="328" w:hanging="328"/>
        <w:spacing w:after="0" w:line="268" w:lineRule="auto"/>
        <w:tabs>
          <w:tab w:leader="none" w:pos="32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Reporting Obligations</w:t>
      </w:r>
      <w:r>
        <w:rPr>
          <w:rFonts w:ascii="Times New Roman" w:cs="Times New Roman" w:eastAsia="Times New Roman" w:hAnsi="Times New Roman"/>
          <w:sz w:val="18"/>
          <w:szCs w:val="18"/>
          <w:color w:val="auto"/>
        </w:rPr>
        <w:t>. The Innovation Law and the IIA’s rules and guidelines impose on the Recipient Company certain reporting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as, periodic reports regarding the progress of the research and development activities under the Approved Program and the related research expenses, and regarding the scope of sales of the Recipient Company's products);</w:t>
      </w:r>
    </w:p>
    <w:p>
      <w:pPr>
        <w:spacing w:after="0" w:line="170" w:lineRule="exact"/>
        <w:rPr>
          <w:rFonts w:ascii="Times New Roman" w:cs="Times New Roman" w:eastAsia="Times New Roman" w:hAnsi="Times New Roman"/>
          <w:sz w:val="18"/>
          <w:szCs w:val="18"/>
          <w:color w:val="auto"/>
        </w:rPr>
      </w:pPr>
    </w:p>
    <w:p>
      <w:pPr>
        <w:jc w:val="both"/>
        <w:ind w:left="328" w:hanging="328"/>
        <w:spacing w:after="0" w:line="254" w:lineRule="auto"/>
        <w:tabs>
          <w:tab w:leader="none" w:pos="32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Local Manufacturing Obligation</w:t>
      </w:r>
      <w:r>
        <w:rPr>
          <w:rFonts w:ascii="Times New Roman" w:cs="Times New Roman" w:eastAsia="Times New Roman" w:hAnsi="Times New Roman"/>
          <w:sz w:val="18"/>
          <w:szCs w:val="18"/>
          <w:color w:val="auto"/>
        </w:rPr>
        <w:t>. Products developed using the IIA grants must, as a general matter, be manufactured in Israel. The Recipient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is prohibited from manufacturing products developed using these IIA grants outside of the State of Israel without receiving prior approval from the IIA (except for the transfer of less than 10% of the manufacturing capacity in the aggregate which requires only a notice, while the IIA has a right to deny such transfer within 30 days following the receipt of such notice). If the Recipient Company receives approval to manufacture products developed with IIA grants outside of Israel, it will be required (except for certain cases) to pay increased royalties to the IIA, up to 300% of the grant amount plus interest at annual rate based on LIBOR, depending on the manufacturing volume that is performed outside of Israel. The Recipient Company may also be subject to an accelerated royalty repayment rate. A Recipient Company also has the option of declaring in its IIA grant application its intention to exercise a portion of the manufacturing capacity abroad, thus avoiding the need to obtain additional approval following the receipt of the grant and avoiding the need to pay increased royalties to the IIA; and</w:t>
      </w:r>
    </w:p>
    <w:p>
      <w:pPr>
        <w:spacing w:after="0" w:line="188" w:lineRule="exact"/>
        <w:rPr>
          <w:rFonts w:ascii="Times New Roman" w:cs="Times New Roman" w:eastAsia="Times New Roman" w:hAnsi="Times New Roman"/>
          <w:sz w:val="18"/>
          <w:szCs w:val="18"/>
          <w:color w:val="auto"/>
        </w:rPr>
      </w:pPr>
    </w:p>
    <w:p>
      <w:pPr>
        <w:jc w:val="both"/>
        <w:ind w:left="328" w:hanging="328"/>
        <w:spacing w:after="0" w:line="256" w:lineRule="auto"/>
        <w:tabs>
          <w:tab w:leader="none" w:pos="32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IIA Funded Know-How transfer limitation</w:t>
      </w:r>
      <w:r>
        <w:rPr>
          <w:rFonts w:ascii="Times New Roman" w:cs="Times New Roman" w:eastAsia="Times New Roman" w:hAnsi="Times New Roman"/>
          <w:sz w:val="18"/>
          <w:szCs w:val="18"/>
          <w:color w:val="auto"/>
        </w:rPr>
        <w:t>. Under the Innovation law and the IIA’s rules and guidelines, a Recipient Company is prohibited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from transferring the IIA Funded Know-How </w:t>
      </w:r>
      <w:r>
        <w:rPr>
          <w:rFonts w:ascii="Times New Roman" w:cs="Times New Roman" w:eastAsia="Times New Roman" w:hAnsi="Times New Roman"/>
          <w:sz w:val="18"/>
          <w:szCs w:val="18"/>
          <w:u w:val="single" w:color="auto"/>
          <w:color w:val="auto"/>
        </w:rPr>
        <w:t>outside of Israel</w:t>
      </w:r>
      <w:r>
        <w:rPr>
          <w:rFonts w:ascii="Times New Roman" w:cs="Times New Roman" w:eastAsia="Times New Roman" w:hAnsi="Times New Roman"/>
          <w:sz w:val="18"/>
          <w:szCs w:val="18"/>
          <w:color w:val="auto"/>
        </w:rPr>
        <w:t xml:space="preserve"> except under limited circumstances, and only with the approval of the Research Committee and in certain circumstances, subject to certain payments to the IIA calculated according to formulas provided under the IIA’s rules and guidelines (which are capped to amounts specified under such rules and guidelines, generally up to 6 time the grants received plus interest). The scope of the support received, the royalties that have already paid to the IIA, the amount of time that has elapsed between the date on which the know-how was transferred and the date on which the IIA grants were received and the sale price and the form of transaction will be taken into account in calculating the amount of the payment to the IIA in the event of a transfer of IIA Funded Know-How outside of Israel. A transfer for the purpose of the Innovation Law and the IIA rules means an actual sale of the IIA-funded know-how, or any other transaction which in essence constitutes a transfer of the know-how (such as providing an exclusive license to a foreign entity for R&amp;D purposes, which precludes the IIA funded company from further using such IIA Funded Know-How). A mere license solely to market products resulting from the IIA Funded Know-How would not be deemed a transfer for the purpose of the Innovation Law. Upon payment of such redemption fee, the IIA Funded Know-How and the manufacturing rights of the products supported by such IIA funding cease to be subject to the Innovation Law.</w:t>
      </w:r>
    </w:p>
    <w:p>
      <w:pPr>
        <w:spacing w:after="0" w:line="189" w:lineRule="exact"/>
        <w:rPr>
          <w:rFonts w:ascii="Times New Roman" w:cs="Times New Roman" w:eastAsia="Times New Roman" w:hAnsi="Times New Roman"/>
          <w:sz w:val="18"/>
          <w:szCs w:val="18"/>
          <w:color w:val="auto"/>
        </w:rPr>
      </w:pPr>
    </w:p>
    <w:p>
      <w:pPr>
        <w:jc w:val="both"/>
        <w:ind w:left="328"/>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Subject to the IIA’s prior approval, a grant recipient may transfer IIA Funded Know-How to another </w:t>
      </w:r>
      <w:r>
        <w:rPr>
          <w:rFonts w:ascii="Times New Roman" w:cs="Times New Roman" w:eastAsia="Times New Roman" w:hAnsi="Times New Roman"/>
          <w:sz w:val="18"/>
          <w:szCs w:val="18"/>
          <w:u w:val="single" w:color="auto"/>
          <w:color w:val="auto"/>
        </w:rPr>
        <w:t>Israeli company</w:t>
      </w:r>
      <w:r>
        <w:rPr>
          <w:rFonts w:ascii="Times New Roman" w:cs="Times New Roman" w:eastAsia="Times New Roman" w:hAnsi="Times New Roman"/>
          <w:sz w:val="18"/>
          <w:szCs w:val="18"/>
          <w:color w:val="auto"/>
        </w:rPr>
        <w:t>. If IIA Funded Know-How is transferred to another Israeli entity, the transfer would still require IIA approval but will not be subject to the payment of the redemption fee (we note that there will be an obligation to pay royalties to the IIA from the income of such sale transaction as part of the royalty payment obligation). In such case, the acquiring company would have to assume all of the selling company’s responsibilities towards the IIA as a condition to IIA approval.</w:t>
      </w:r>
    </w:p>
    <w:p>
      <w:pPr>
        <w:spacing w:after="0" w:line="179" w:lineRule="exact"/>
        <w:rPr>
          <w:rFonts w:ascii="Times New Roman" w:cs="Times New Roman" w:eastAsia="Times New Roman" w:hAnsi="Times New Roman"/>
          <w:sz w:val="18"/>
          <w:szCs w:val="18"/>
          <w:color w:val="auto"/>
        </w:rPr>
      </w:pPr>
    </w:p>
    <w:p>
      <w:pPr>
        <w:jc w:val="both"/>
        <w:ind w:left="328" w:hanging="328"/>
        <w:spacing w:after="0" w:line="257" w:lineRule="auto"/>
        <w:tabs>
          <w:tab w:leader="none" w:pos="328"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IIA Funded Know-How license limitation</w:t>
      </w:r>
      <w:r>
        <w:rPr>
          <w:rFonts w:ascii="Times New Roman" w:cs="Times New Roman" w:eastAsia="Times New Roman" w:hAnsi="Times New Roman"/>
          <w:sz w:val="18"/>
          <w:szCs w:val="18"/>
          <w:color w:val="auto"/>
        </w:rPr>
        <w:t>. The IIA has published certain rules and guidelines with respect to the grant to a foreign entity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right to use the IIA Funded Know-How for R&amp;D purposes. According to these rules, the grant to a foreign entity of a right to use the IIA Funded Know-How (which does not entirely prevent the IIA funded company from using the Funded Know-How) is subject to receipt of the IIA’s prior approval. This approval is subject to payment to the IIA in accordance with the formulas stipulated in these rules (such payment shall be no less than the amount of the IIA grants received (plus annual interest), and no more than the cap stated in the IIA rules and will generally be due only upon the receipt of the license fee from the licensee).</w:t>
      </w:r>
    </w:p>
    <w:p>
      <w:pPr>
        <w:spacing w:after="0" w:line="186" w:lineRule="exact"/>
        <w:rPr>
          <w:rFonts w:ascii="Times New Roman" w:cs="Times New Roman" w:eastAsia="Times New Roman" w:hAnsi="Times New Roman"/>
          <w:sz w:val="18"/>
          <w:szCs w:val="18"/>
          <w:color w:val="auto"/>
        </w:rPr>
      </w:pPr>
    </w:p>
    <w:p>
      <w:pPr>
        <w:jc w:val="both"/>
        <w:ind w:left="328"/>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abovementioned rules include a mechanism with respect to the grant of a license by a Recipient Company (which is part of a multinational corporation) to its group entities to use its IIA Funded Know-How. Such license is subject to the IIA’s prior approval and to the payment of 5% royalties from the income deriving from such license, with the cap of the royalties increasing to 150% of the grant amount. Such mechanism includes certain restrictions which must be met in order to be able to enjoy such lower royalty payment.</w:t>
      </w:r>
    </w:p>
    <w:p>
      <w:pPr>
        <w:spacing w:after="0" w:line="355" w:lineRule="exact"/>
        <w:rPr>
          <w:sz w:val="20"/>
          <w:szCs w:val="20"/>
          <w:color w:val="auto"/>
        </w:rPr>
      </w:pPr>
    </w:p>
    <w:p>
      <w:pPr>
        <w:jc w:val="center"/>
        <w:ind w:right="312"/>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51435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8"/>
          </w:cols>
          <w:pgMar w:left="652" w:top="117" w:right="339" w:bottom="1440" w:gutter="0" w:footer="0" w:header="0"/>
        </w:sectPr>
      </w:pPr>
    </w:p>
    <w:bookmarkStart w:id="32" w:name="page33"/>
    <w:bookmarkEnd w:id="32"/>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have received grants from the IIA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Even if our IIA funded know-how is transferred to another Israeli entity, the transfer would require the IIA’s approval but will not be subject to the payment of a redemption fee (we note that there will be an obligation to pay royalties to the IIA from the income of such sale transaction as part of the royalty payment obligation). In such case, the acquiring company would have to assume all of our responsibilities towards the IIA as a condition to the IIA’s approval.</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government of Israel does not own intellectual property rights in technology developed with IIA funding and there is no restriction on the export of products manufactured using technology developed with IIA funding. However, the IIA Funded Know-How is subject to transfer of know-how and manufacturing rights restrictions as described above. The IIA’s approval is not required for the export of any products resulting from the IIA research or development grants.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may not receive from the IIA the required approvals for any actual proposed transfer and, if received, we may be required to pay the IIA certain payments calculated according to formulas provided under the IIA’s rules and guidelines.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Environmental, Health and Safety Matters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Our business permit is currently in effect until December 31, 2026.</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3" w:name="page34"/>
    <w:bookmarkEnd w:id="33"/>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Properties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principal executive offices are located in a leased facility in Weizmann Science Park, Ness Ziona 7403650, Israel. The facility is 2,040 square meters, and houses our offices, warehouse, laboratories and production area. Our lease will expire on December 31, 2023.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Legal Proceedings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are not subject to any material legal proceedings.</w:t>
      </w:r>
    </w:p>
    <w:p>
      <w:pPr>
        <w:spacing w:after="0" w:line="221" w:lineRule="exact"/>
        <w:rPr>
          <w:sz w:val="20"/>
          <w:szCs w:val="20"/>
          <w:color w:val="auto"/>
        </w:rPr>
      </w:pPr>
    </w:p>
    <w:p>
      <w:pPr>
        <w:ind w:left="680" w:hanging="672"/>
        <w:spacing w:after="0"/>
        <w:tabs>
          <w:tab w:leader="none" w:pos="680" w:val="left"/>
        </w:tabs>
        <w:numPr>
          <w:ilvl w:val="0"/>
          <w:numId w:val="2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Organizational Structure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Property, Plant and Equipment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See “Item 4. Information on the Company—B. Business Overview—Properties”.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238"/>
        </w:trPr>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860" w:type="dxa"/>
            <w:vAlign w:val="bottom"/>
            <w:gridSpan w:val="13"/>
          </w:tcPr>
          <w:p>
            <w:pPr>
              <w:ind w:left="54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32"/>
        </w:trPr>
        <w:tc>
          <w:tcPr>
            <w:tcW w:w="11240" w:type="dxa"/>
            <w:vAlign w:val="bottom"/>
            <w:gridSpan w:val="24"/>
          </w:tcPr>
          <w:p>
            <w:pPr>
              <w:spacing w:after="0"/>
              <w:rPr>
                <w:sz w:val="20"/>
                <w:szCs w:val="20"/>
                <w:color w:val="auto"/>
              </w:rPr>
            </w:pPr>
            <w:r>
              <w:rPr>
                <w:rFonts w:ascii="Times New Roman" w:cs="Times New Roman" w:eastAsia="Times New Roman" w:hAnsi="Times New Roman"/>
                <w:sz w:val="18"/>
                <w:szCs w:val="18"/>
                <w:color w:val="auto"/>
              </w:rPr>
              <w:t>The exhibits filed with or incorporated into this Registration Statement are listed in the index of exhibits below.</w:t>
            </w:r>
          </w:p>
        </w:tc>
      </w:tr>
      <w:tr>
        <w:trPr>
          <w:trHeight w:val="410"/>
        </w:trPr>
        <w:tc>
          <w:tcPr>
            <w:tcW w:w="94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2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45"/>
        </w:trPr>
        <w:tc>
          <w:tcPr>
            <w:tcW w:w="940" w:type="dxa"/>
            <w:vAlign w:val="bottom"/>
            <w:tcBorders>
              <w:bottom w:val="single" w:sz="8" w:color="auto"/>
            </w:tcBorders>
            <w:gridSpan w:val="6"/>
          </w:tcPr>
          <w:p>
            <w:pPr>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200" w:type="dxa"/>
            <w:vAlign w:val="bottom"/>
          </w:tcPr>
          <w:p>
            <w:pPr>
              <w:spacing w:after="0"/>
              <w:rPr>
                <w:sz w:val="21"/>
                <w:szCs w:val="21"/>
                <w:color w:val="auto"/>
              </w:rPr>
            </w:pPr>
          </w:p>
        </w:tc>
        <w:tc>
          <w:tcPr>
            <w:tcW w:w="10100" w:type="dxa"/>
            <w:vAlign w:val="bottom"/>
            <w:tcBorders>
              <w:bottom w:val="single" w:sz="8" w:color="auto"/>
            </w:tcBorders>
            <w:gridSpan w:val="17"/>
          </w:tcPr>
          <w:p>
            <w:pPr>
              <w:spacing w:after="0"/>
              <w:rPr>
                <w:sz w:val="20"/>
                <w:szCs w:val="20"/>
                <w:color w:val="auto"/>
              </w:rPr>
            </w:pPr>
            <w:r>
              <w:rPr>
                <w:rFonts w:ascii="Times New Roman" w:cs="Times New Roman" w:eastAsia="Times New Roman" w:hAnsi="Times New Roman"/>
                <w:sz w:val="18"/>
                <w:szCs w:val="18"/>
                <w:b w:val="1"/>
                <w:bCs w:val="1"/>
                <w:color w:val="auto"/>
              </w:rPr>
              <w:t>Exhibit Description</w:t>
            </w:r>
          </w:p>
        </w:tc>
      </w:tr>
      <w:tr>
        <w:trPr>
          <w:trHeight w:val="391"/>
        </w:trPr>
        <w:tc>
          <w:tcPr>
            <w:tcW w:w="260" w:type="dxa"/>
            <w:vAlign w:val="bottom"/>
            <w:gridSpan w:val="2"/>
          </w:tcPr>
          <w:p>
            <w:pPr>
              <w:spacing w:after="0"/>
              <w:rPr>
                <w:rFonts w:ascii="Times New Roman" w:cs="Times New Roman" w:eastAsia="Times New Roman" w:hAnsi="Times New Roman"/>
                <w:sz w:val="18"/>
                <w:szCs w:val="18"/>
                <w:color w:val="0000EE"/>
              </w:rPr>
            </w:pPr>
            <w:hyperlink r:id="rId58">
              <w:r>
                <w:rPr>
                  <w:rFonts w:ascii="Times New Roman" w:cs="Times New Roman" w:eastAsia="Times New Roman" w:hAnsi="Times New Roman"/>
                  <w:sz w:val="18"/>
                  <w:szCs w:val="18"/>
                  <w:color w:val="0000EE"/>
                </w:rPr>
                <w:t>1.</w:t>
              </w:r>
              <w:r>
                <w:rPr>
                  <w:rFonts w:ascii="Times New Roman" w:cs="Times New Roman" w:eastAsia="Times New Roman" w:hAnsi="Times New Roman"/>
                  <w:sz w:val="18"/>
                  <w:szCs w:val="18"/>
                  <w:u w:val="single" w:color="auto"/>
                  <w:color w:val="0000EE"/>
                </w:rPr>
                <w:t>1</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w w:val="99"/>
              </w:rPr>
            </w:pPr>
            <w:hyperlink r:id="rId58">
              <w:r>
                <w:rPr>
                  <w:rFonts w:ascii="Times New Roman" w:cs="Times New Roman" w:eastAsia="Times New Roman" w:hAnsi="Times New Roman"/>
                  <w:sz w:val="18"/>
                  <w:szCs w:val="18"/>
                  <w:color w:val="0000EE"/>
                  <w:w w:val="99"/>
                </w:rPr>
                <w:t>Amended and Restated Memorandum of Association (incorporated by reference to Exhibit 3.1 of the Registration Statement on Form F-1/A</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340" w:type="dxa"/>
            <w:vAlign w:val="bottom"/>
            <w:tcBorders>
              <w:top w:val="single" w:sz="8" w:color="0000EE"/>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58">
              <w:r>
                <w:rPr>
                  <w:rFonts w:ascii="Times New Roman" w:cs="Times New Roman" w:eastAsia="Times New Roman" w:hAnsi="Times New Roman"/>
                  <w:sz w:val="18"/>
                  <w:szCs w:val="18"/>
                  <w:color w:val="0000EE"/>
                  <w:w w:val="99"/>
                </w:rPr>
                <w:t>filed with the Securities and Exchange Commission on January 23, 2018).</w:t>
              </w:r>
            </w:hyperlink>
          </w:p>
        </w:tc>
        <w:tc>
          <w:tcPr>
            <w:tcW w:w="4760" w:type="dxa"/>
            <w:vAlign w:val="bottom"/>
            <w:tcBorders>
              <w:top w:val="single" w:sz="8" w:color="0000EE"/>
            </w:tcBorders>
            <w:gridSpan w:val="11"/>
          </w:tcPr>
          <w:p>
            <w:pPr>
              <w:spacing w:after="0"/>
              <w:rPr>
                <w:sz w:val="17"/>
                <w:szCs w:val="17"/>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59">
              <w:r>
                <w:rPr>
                  <w:rFonts w:ascii="Times New Roman" w:cs="Times New Roman" w:eastAsia="Times New Roman" w:hAnsi="Times New Roman"/>
                  <w:sz w:val="18"/>
                  <w:szCs w:val="18"/>
                  <w:color w:val="0000EE"/>
                </w:rPr>
                <w:t>1.</w:t>
              </w:r>
              <w:r>
                <w:rPr>
                  <w:rFonts w:ascii="Times New Roman" w:cs="Times New Roman" w:eastAsia="Times New Roman" w:hAnsi="Times New Roman"/>
                  <w:sz w:val="18"/>
                  <w:szCs w:val="18"/>
                  <w:u w:val="single" w:color="auto"/>
                  <w:color w:val="0000EE"/>
                </w:rPr>
                <w:t>2</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59">
              <w:r>
                <w:rPr>
                  <w:rFonts w:ascii="Times New Roman" w:cs="Times New Roman" w:eastAsia="Times New Roman" w:hAnsi="Times New Roman"/>
                  <w:sz w:val="18"/>
                  <w:szCs w:val="18"/>
                  <w:color w:val="0000EE"/>
                </w:rPr>
                <w:t>Amended and Restated Articles of Association (incorporated by reference to Exhibit 99.1 of Form 6-K/A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59">
              <w:r>
                <w:rPr>
                  <w:rFonts w:ascii="Times New Roman" w:cs="Times New Roman" w:eastAsia="Times New Roman" w:hAnsi="Times New Roman"/>
                  <w:sz w:val="18"/>
                  <w:szCs w:val="18"/>
                  <w:color w:val="0000EE"/>
                  <w:w w:val="99"/>
                </w:rPr>
                <w:t>Exchange Commission on August 20, 2018).</w:t>
              </w:r>
            </w:hyperlink>
          </w:p>
        </w:tc>
        <w:tc>
          <w:tcPr>
            <w:tcW w:w="6860" w:type="dxa"/>
            <w:vAlign w:val="bottom"/>
            <w:tcBorders>
              <w:top w:val="single" w:sz="8" w:color="0000EE"/>
            </w:tcBorders>
            <w:gridSpan w:val="13"/>
          </w:tcPr>
          <w:p>
            <w:pPr>
              <w:spacing w:after="0"/>
              <w:rPr>
                <w:sz w:val="17"/>
                <w:szCs w:val="17"/>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60">
              <w:r>
                <w:rPr>
                  <w:rFonts w:ascii="Times New Roman" w:cs="Times New Roman" w:eastAsia="Times New Roman" w:hAnsi="Times New Roman"/>
                  <w:sz w:val="18"/>
                  <w:szCs w:val="18"/>
                  <w:color w:val="0000EE"/>
                </w:rPr>
                <w:t>2.</w:t>
              </w:r>
              <w:r>
                <w:rPr>
                  <w:rFonts w:ascii="Times New Roman" w:cs="Times New Roman" w:eastAsia="Times New Roman" w:hAnsi="Times New Roman"/>
                  <w:sz w:val="18"/>
                  <w:szCs w:val="18"/>
                  <w:u w:val="single" w:color="auto"/>
                  <w:color w:val="0000EE"/>
                </w:rPr>
                <w:t>1</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0">
              <w:r>
                <w:rPr>
                  <w:rFonts w:ascii="Times New Roman" w:cs="Times New Roman" w:eastAsia="Times New Roman" w:hAnsi="Times New Roman"/>
                  <w:sz w:val="18"/>
                  <w:szCs w:val="18"/>
                  <w:color w:val="0000EE"/>
                </w:rPr>
                <w:t>Form of Specimen Share Certificate (incorporated by reference to Exhibit 4.1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60">
              <w:r>
                <w:rPr>
                  <w:rFonts w:ascii="Times New Roman" w:cs="Times New Roman" w:eastAsia="Times New Roman" w:hAnsi="Times New Roman"/>
                  <w:sz w:val="18"/>
                  <w:szCs w:val="18"/>
                  <w:color w:val="0000EE"/>
                </w:rPr>
                <w:t>Securities and Exchange Commission on September 20, 2017).</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40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61">
              <w:r>
                <w:rPr>
                  <w:rFonts w:ascii="Times New Roman" w:cs="Times New Roman" w:eastAsia="Times New Roman" w:hAnsi="Times New Roman"/>
                  <w:sz w:val="18"/>
                  <w:szCs w:val="18"/>
                  <w:color w:val="0000EE"/>
                </w:rPr>
                <w:t>2.</w:t>
              </w:r>
              <w:r>
                <w:rPr>
                  <w:rFonts w:ascii="Times New Roman" w:cs="Times New Roman" w:eastAsia="Times New Roman" w:hAnsi="Times New Roman"/>
                  <w:sz w:val="18"/>
                  <w:szCs w:val="18"/>
                  <w:u w:val="single" w:color="auto"/>
                  <w:color w:val="0000EE"/>
                </w:rPr>
                <w:t>2</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1">
              <w:r>
                <w:rPr>
                  <w:rFonts w:ascii="Times New Roman" w:cs="Times New Roman" w:eastAsia="Times New Roman" w:hAnsi="Times New Roman"/>
                  <w:sz w:val="18"/>
                  <w:szCs w:val="18"/>
                  <w:color w:val="0000EE"/>
                </w:rPr>
                <w:t>Description of Share Capital (incorporated by reference to Exhibit 2.2 of the Annual Report on Form 20-F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61">
              <w:r>
                <w:rPr>
                  <w:rFonts w:ascii="Times New Roman" w:cs="Times New Roman" w:eastAsia="Times New Roman" w:hAnsi="Times New Roman"/>
                  <w:sz w:val="18"/>
                  <w:szCs w:val="18"/>
                  <w:color w:val="0000EE"/>
                </w:rPr>
                <w:t>Exchange Commission on March 24, 2020).</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5400" w:type="dxa"/>
            <w:vAlign w:val="bottom"/>
            <w:gridSpan w:val="4"/>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Times New Roman" w:cs="Times New Roman" w:eastAsia="Times New Roman" w:hAnsi="Times New Roman"/>
                <w:sz w:val="18"/>
                <w:szCs w:val="18"/>
                <w:color w:val="0000EE"/>
                <w:w w:val="97"/>
              </w:rPr>
            </w:pPr>
            <w:hyperlink r:id="rId62">
              <w:r>
                <w:rPr>
                  <w:rFonts w:ascii="Times New Roman" w:cs="Times New Roman" w:eastAsia="Times New Roman" w:hAnsi="Times New Roman"/>
                  <w:sz w:val="18"/>
                  <w:szCs w:val="18"/>
                  <w:color w:val="0000EE"/>
                  <w:w w:val="97"/>
                </w:rPr>
                <w:t>4.</w:t>
              </w:r>
              <w:r>
                <w:rPr>
                  <w:rFonts w:ascii="Times New Roman" w:cs="Times New Roman" w:eastAsia="Times New Roman" w:hAnsi="Times New Roman"/>
                  <w:sz w:val="18"/>
                  <w:szCs w:val="18"/>
                  <w:u w:val="single" w:color="auto"/>
                  <w:color w:val="0000EE"/>
                  <w:w w:val="97"/>
                </w:rPr>
                <w:t>1</w:t>
              </w:r>
            </w:hyperlink>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2">
              <w:r>
                <w:rPr>
                  <w:rFonts w:ascii="Times New Roman" w:cs="Times New Roman" w:eastAsia="Times New Roman" w:hAnsi="Times New Roman"/>
                  <w:sz w:val="18"/>
                  <w:szCs w:val="18"/>
                  <w:color w:val="0000EE"/>
                </w:rPr>
                <w:t>Form of Indemnification Agreement (incorporated by reference to Exhibit 10.5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80" w:type="dxa"/>
            <w:vAlign w:val="bottom"/>
            <w:tcBorders>
              <w:top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62">
              <w:r>
                <w:rPr>
                  <w:rFonts w:ascii="Times New Roman" w:cs="Times New Roman" w:eastAsia="Times New Roman" w:hAnsi="Times New Roman"/>
                  <w:sz w:val="18"/>
                  <w:szCs w:val="18"/>
                  <w:color w:val="0000EE"/>
                </w:rPr>
                <w:t>Securities and Exchange Commission on September 20, 2017).</w:t>
              </w:r>
            </w:hyperlink>
          </w:p>
        </w:tc>
        <w:tc>
          <w:tcPr>
            <w:tcW w:w="120" w:type="dxa"/>
            <w:vAlign w:val="bottom"/>
            <w:gridSpan w:val="2"/>
          </w:tcPr>
          <w:p>
            <w:pPr>
              <w:spacing w:after="0"/>
              <w:rPr>
                <w:sz w:val="17"/>
                <w:szCs w:val="17"/>
                <w:color w:val="auto"/>
              </w:rPr>
            </w:pPr>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40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tcPr>
          <w:p>
            <w:pPr>
              <w:spacing w:after="0"/>
              <w:rPr>
                <w:rFonts w:ascii="Times New Roman" w:cs="Times New Roman" w:eastAsia="Times New Roman" w:hAnsi="Times New Roman"/>
                <w:sz w:val="18"/>
                <w:szCs w:val="18"/>
                <w:color w:val="0000EE"/>
                <w:w w:val="97"/>
              </w:rPr>
            </w:pPr>
            <w:hyperlink r:id="rId63">
              <w:r>
                <w:rPr>
                  <w:rFonts w:ascii="Times New Roman" w:cs="Times New Roman" w:eastAsia="Times New Roman" w:hAnsi="Times New Roman"/>
                  <w:sz w:val="18"/>
                  <w:szCs w:val="18"/>
                  <w:color w:val="0000EE"/>
                  <w:w w:val="97"/>
                </w:rPr>
                <w:t>4.</w:t>
              </w:r>
              <w:r>
                <w:rPr>
                  <w:rFonts w:ascii="Times New Roman" w:cs="Times New Roman" w:eastAsia="Times New Roman" w:hAnsi="Times New Roman"/>
                  <w:sz w:val="18"/>
                  <w:szCs w:val="18"/>
                  <w:u w:val="single" w:color="auto"/>
                  <w:color w:val="0000EE"/>
                  <w:w w:val="97"/>
                </w:rPr>
                <w:t>2</w:t>
              </w:r>
            </w:hyperlink>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56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w w:val="99"/>
              </w:rPr>
            </w:pPr>
            <w:hyperlink r:id="rId63">
              <w:r>
                <w:rPr>
                  <w:rFonts w:ascii="Times New Roman" w:cs="Times New Roman" w:eastAsia="Times New Roman" w:hAnsi="Times New Roman"/>
                  <w:sz w:val="18"/>
                  <w:szCs w:val="18"/>
                  <w:color w:val="0000EE"/>
                  <w:w w:val="99"/>
                </w:rPr>
                <w:t>2014 Share Incentive Plan (incorporated by reference to Exhibit 4.4 of the Annual Report on Form 20-F filed with the Securities and</w:t>
              </w:r>
            </w:hyperlink>
          </w:p>
        </w:tc>
        <w:tc>
          <w:tcPr>
            <w:tcW w:w="540" w:type="dxa"/>
            <w:vAlign w:val="bottom"/>
            <w:gridSpan w:val="6"/>
          </w:tcPr>
          <w:p>
            <w:pPr>
              <w:spacing w:after="0"/>
              <w:rPr>
                <w:sz w:val="24"/>
                <w:szCs w:val="24"/>
                <w:color w:val="auto"/>
              </w:rPr>
            </w:pPr>
          </w:p>
        </w:tc>
      </w:tr>
      <w:tr>
        <w:trPr>
          <w:trHeight w:val="196"/>
        </w:trPr>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7"/>
          </w:tcPr>
          <w:p>
            <w:pPr>
              <w:spacing w:after="0" w:line="196" w:lineRule="exact"/>
              <w:rPr>
                <w:rFonts w:ascii="Times New Roman" w:cs="Times New Roman" w:eastAsia="Times New Roman" w:hAnsi="Times New Roman"/>
                <w:sz w:val="18"/>
                <w:szCs w:val="18"/>
                <w:color w:val="0000EE"/>
              </w:rPr>
            </w:pPr>
            <w:hyperlink r:id="rId63">
              <w:r>
                <w:rPr>
                  <w:rFonts w:ascii="Times New Roman" w:cs="Times New Roman" w:eastAsia="Times New Roman" w:hAnsi="Times New Roman"/>
                  <w:sz w:val="18"/>
                  <w:szCs w:val="18"/>
                  <w:color w:val="0000EE"/>
                </w:rPr>
                <w:t>Exchange Commission on March 24, 2020).</w:t>
              </w:r>
            </w:hyperlink>
          </w:p>
        </w:tc>
      </w:tr>
      <w:tr>
        <w:trPr>
          <w:trHeight w:val="412"/>
        </w:trPr>
        <w:tc>
          <w:tcPr>
            <w:tcW w:w="26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rPr>
            </w:pPr>
            <w:hyperlink r:id="rId64">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3</w:t>
              </w:r>
            </w:hyperlink>
          </w:p>
        </w:tc>
        <w:tc>
          <w:tcPr>
            <w:tcW w:w="200" w:type="dxa"/>
            <w:vAlign w:val="bottom"/>
            <w:tcBorders>
              <w:bottom w:val="single" w:sz="8" w:color="0000EE"/>
            </w:tcBorders>
            <w:gridSpan w:val="3"/>
          </w:tcPr>
          <w:p>
            <w:pPr>
              <w:ind w:left="20"/>
              <w:spacing w:after="0"/>
              <w:rPr>
                <w:rFonts w:ascii="Times New Roman" w:cs="Times New Roman" w:eastAsia="Times New Roman" w:hAnsi="Times New Roman"/>
                <w:sz w:val="18"/>
                <w:szCs w:val="18"/>
                <w:color w:val="0000EE"/>
                <w:w w:val="88"/>
              </w:rPr>
            </w:pPr>
            <w:hyperlink r:id="rId64">
              <w:r>
                <w:rPr>
                  <w:rFonts w:ascii="Times New Roman" w:cs="Times New Roman" w:eastAsia="Times New Roman" w:hAnsi="Times New Roman"/>
                  <w:sz w:val="18"/>
                  <w:szCs w:val="18"/>
                  <w:color w:val="0000EE"/>
                  <w:w w:val="88"/>
                </w:rPr>
                <w:t>**</w:t>
              </w:r>
            </w:hyperlink>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8"/>
              </w:rPr>
            </w:pPr>
            <w:hyperlink r:id="rId64">
              <w:r>
                <w:rPr>
                  <w:rFonts w:ascii="Times New Roman" w:cs="Times New Roman" w:eastAsia="Times New Roman" w:hAnsi="Times New Roman"/>
                  <w:sz w:val="18"/>
                  <w:szCs w:val="18"/>
                  <w:color w:val="0000EE"/>
                  <w:w w:val="98"/>
                </w:rPr>
                <w:t>Compensation Policy.</w:t>
              </w:r>
            </w:hyperlink>
          </w:p>
        </w:tc>
        <w:tc>
          <w:tcPr>
            <w:tcW w:w="1600" w:type="dxa"/>
            <w:vAlign w:val="bottom"/>
            <w:tcBorders>
              <w:top w:val="single" w:sz="8" w:color="0000EE"/>
            </w:tcBorders>
          </w:tcPr>
          <w:p>
            <w:pPr>
              <w:spacing w:after="0"/>
              <w:rPr>
                <w:sz w:val="24"/>
                <w:szCs w:val="24"/>
                <w:color w:val="auto"/>
              </w:rPr>
            </w:pPr>
          </w:p>
        </w:tc>
        <w:tc>
          <w:tcPr>
            <w:tcW w:w="6920" w:type="dxa"/>
            <w:vAlign w:val="bottom"/>
            <w:gridSpan w:val="14"/>
          </w:tcPr>
          <w:p>
            <w:pPr>
              <w:spacing w:after="0"/>
              <w:rPr>
                <w:sz w:val="24"/>
                <w:szCs w:val="24"/>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65">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4</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5">
              <w:r>
                <w:rPr>
                  <w:rFonts w:ascii="Times New Roman" w:cs="Times New Roman" w:eastAsia="Times New Roman" w:hAnsi="Times New Roman"/>
                  <w:sz w:val="18"/>
                  <w:szCs w:val="18"/>
                  <w:color w:val="0000EE"/>
                </w:rPr>
                <w:t>Registration Rights Agreement (incorporated by reference to Exhibit 99.2 of Form 6-K filed with the Securities and Exchange Commission</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65">
              <w:r>
                <w:rPr>
                  <w:rFonts w:ascii="Times New Roman" w:cs="Times New Roman" w:eastAsia="Times New Roman" w:hAnsi="Times New Roman"/>
                  <w:sz w:val="18"/>
                  <w:szCs w:val="18"/>
                  <w:color w:val="0000EE"/>
                </w:rPr>
                <w:t>on February 6, 2018).</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7020" w:type="dxa"/>
            <w:vAlign w:val="bottom"/>
            <w:gridSpan w:val="6"/>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66">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5</w:t>
              </w:r>
            </w:hyperlink>
          </w:p>
        </w:tc>
        <w:tc>
          <w:tcPr>
            <w:tcW w:w="680" w:type="dxa"/>
            <w:vAlign w:val="bottom"/>
            <w:gridSpan w:val="4"/>
          </w:tcPr>
          <w:p>
            <w:pPr>
              <w:ind w:left="20"/>
              <w:spacing w:after="0"/>
              <w:rPr>
                <w:rFonts w:ascii="Times New Roman" w:cs="Times New Roman" w:eastAsia="Times New Roman" w:hAnsi="Times New Roman"/>
                <w:sz w:val="18"/>
                <w:szCs w:val="18"/>
                <w:color w:val="0000EE"/>
              </w:rPr>
            </w:pPr>
            <w:hyperlink r:id="rId66">
              <w:r>
                <w:rPr>
                  <w:rFonts w:ascii="Times New Roman" w:cs="Times New Roman" w:eastAsia="Times New Roman" w:hAnsi="Times New Roman"/>
                  <w:sz w:val="18"/>
                  <w:szCs w:val="18"/>
                  <w:color w:val="0000EE"/>
                </w:rPr>
                <w:t>∞</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6">
              <w:r>
                <w:rPr>
                  <w:rFonts w:ascii="Times New Roman" w:cs="Times New Roman" w:eastAsia="Times New Roman" w:hAnsi="Times New Roman"/>
                  <w:sz w:val="18"/>
                  <w:szCs w:val="18"/>
                  <w:color w:val="0000EE"/>
                </w:rPr>
                <w:t>Lease Agreement by and between the Registrant and Rachel Zacks, dated as of October 10, 2007 (incorporated by reference to Exhibit 10.7</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66">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r>
      <w:tr>
        <w:trPr>
          <w:trHeight w:val="20"/>
        </w:trPr>
        <w:tc>
          <w:tcPr>
            <w:tcW w:w="360" w:type="dxa"/>
            <w:vAlign w:val="bottom"/>
            <w:gridSpan w:val="3"/>
          </w:tcPr>
          <w:p>
            <w:pPr>
              <w:spacing w:after="0" w:line="20" w:lineRule="exact"/>
              <w:rPr>
                <w:sz w:val="1"/>
                <w:szCs w:val="1"/>
                <w:color w:val="auto"/>
              </w:rPr>
            </w:pPr>
          </w:p>
        </w:tc>
        <w:tc>
          <w:tcPr>
            <w:tcW w:w="58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940" w:type="dxa"/>
            <w:vAlign w:val="bottom"/>
            <w:gridSpan w:val="6"/>
          </w:tcPr>
          <w:p>
            <w:pPr>
              <w:spacing w:after="0"/>
              <w:rPr>
                <w:rFonts w:ascii="Times New Roman" w:cs="Times New Roman" w:eastAsia="Times New Roman" w:hAnsi="Times New Roman"/>
                <w:sz w:val="18"/>
                <w:szCs w:val="18"/>
                <w:color w:val="0000EE"/>
              </w:rPr>
            </w:pPr>
            <w:hyperlink r:id="rId67">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6∞</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7">
              <w:r>
                <w:rPr>
                  <w:rFonts w:ascii="Times New Roman" w:cs="Times New Roman" w:eastAsia="Times New Roman" w:hAnsi="Times New Roman"/>
                  <w:sz w:val="18"/>
                  <w:szCs w:val="18"/>
                  <w:color w:val="0000EE"/>
                </w:rPr>
                <w:t>Lease Agreement by and between the Registrant and Rachel Zacks, dated as of September 29, 2014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tcBorders>
              <w:top w:val="single" w:sz="8" w:color="0000EE"/>
            </w:tcBorders>
            <w:gridSpan w:val="16"/>
          </w:tcPr>
          <w:p>
            <w:pPr>
              <w:spacing w:after="0" w:line="196" w:lineRule="exact"/>
              <w:rPr>
                <w:rFonts w:ascii="Times New Roman" w:cs="Times New Roman" w:eastAsia="Times New Roman" w:hAnsi="Times New Roman"/>
                <w:sz w:val="18"/>
                <w:szCs w:val="18"/>
                <w:color w:val="0000EE"/>
              </w:rPr>
            </w:pPr>
            <w:hyperlink r:id="rId67">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8</w:t>
              </w:r>
              <w:r>
                <w:rPr>
                  <w:rFonts w:ascii="Times New Roman" w:cs="Times New Roman" w:eastAsia="Times New Roman" w:hAnsi="Times New Roman"/>
                  <w:sz w:val="18"/>
                  <w:szCs w:val="18"/>
                  <w:color w:val="0000EE"/>
                </w:rPr>
                <w:t xml:space="preserve"> of the Registration Statement on Form F-1/A filed with the Securities and Exchange Commission on August 29, 2017).</w:t>
              </w:r>
            </w:hyperlink>
          </w:p>
        </w:tc>
        <w:tc>
          <w:tcPr>
            <w:tcW w:w="20" w:type="dxa"/>
            <w:vAlign w:val="bottom"/>
          </w:tcPr>
          <w:p>
            <w:pPr>
              <w:spacing w:after="0"/>
              <w:rPr>
                <w:sz w:val="17"/>
                <w:szCs w:val="17"/>
                <w:color w:val="auto"/>
              </w:rPr>
            </w:pPr>
          </w:p>
        </w:tc>
      </w:tr>
      <w:tr>
        <w:trPr>
          <w:trHeight w:val="20"/>
        </w:trPr>
        <w:tc>
          <w:tcPr>
            <w:tcW w:w="940" w:type="dxa"/>
            <w:vAlign w:val="bottom"/>
            <w:gridSpan w:val="6"/>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r>
      <w:tr>
        <w:trPr>
          <w:trHeight w:val="412"/>
        </w:trPr>
        <w:tc>
          <w:tcPr>
            <w:tcW w:w="940" w:type="dxa"/>
            <w:vAlign w:val="bottom"/>
            <w:gridSpan w:val="6"/>
          </w:tcPr>
          <w:p>
            <w:pPr>
              <w:spacing w:after="0"/>
              <w:rPr>
                <w:rFonts w:ascii="Times New Roman" w:cs="Times New Roman" w:eastAsia="Times New Roman" w:hAnsi="Times New Roman"/>
                <w:sz w:val="18"/>
                <w:szCs w:val="18"/>
                <w:color w:val="0000EE"/>
              </w:rPr>
            </w:pPr>
            <w:hyperlink r:id="rId68">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7∞</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8">
              <w:r>
                <w:rPr>
                  <w:rFonts w:ascii="Times New Roman" w:cs="Times New Roman" w:eastAsia="Times New Roman" w:hAnsi="Times New Roman"/>
                  <w:sz w:val="18"/>
                  <w:szCs w:val="18"/>
                  <w:color w:val="0000EE"/>
                </w:rPr>
                <w:t>Lease Agreement by and between the Registrant and Rachel Zacks, dated as of March 30, 2016 (incorporated by reference to Exhibit 10.9</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4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68">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c>
          <w:tcPr>
            <w:tcW w:w="160" w:type="dxa"/>
            <w:vAlign w:val="bottom"/>
            <w:gridSpan w:val="3"/>
          </w:tcPr>
          <w:p>
            <w:pPr>
              <w:spacing w:after="0"/>
              <w:rPr>
                <w:sz w:val="17"/>
                <w:szCs w:val="17"/>
                <w:color w:val="auto"/>
              </w:rPr>
            </w:pPr>
          </w:p>
        </w:tc>
      </w:tr>
      <w:tr>
        <w:trPr>
          <w:trHeight w:val="20"/>
        </w:trPr>
        <w:tc>
          <w:tcPr>
            <w:tcW w:w="940" w:type="dxa"/>
            <w:vAlign w:val="bottom"/>
            <w:gridSpan w:val="6"/>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r>
      <w:tr>
        <w:trPr>
          <w:trHeight w:val="412"/>
        </w:trPr>
        <w:tc>
          <w:tcPr>
            <w:tcW w:w="940" w:type="dxa"/>
            <w:vAlign w:val="bottom"/>
            <w:gridSpan w:val="6"/>
          </w:tcPr>
          <w:p>
            <w:pPr>
              <w:spacing w:after="0"/>
              <w:rPr>
                <w:rFonts w:ascii="Times New Roman" w:cs="Times New Roman" w:eastAsia="Times New Roman" w:hAnsi="Times New Roman"/>
                <w:sz w:val="18"/>
                <w:szCs w:val="18"/>
                <w:color w:val="0000EE"/>
              </w:rPr>
            </w:pPr>
            <w:hyperlink r:id="rId69">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8∞</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69">
              <w:r>
                <w:rPr>
                  <w:rFonts w:ascii="Times New Roman" w:cs="Times New Roman" w:eastAsia="Times New Roman" w:hAnsi="Times New Roman"/>
                  <w:sz w:val="18"/>
                  <w:szCs w:val="18"/>
                  <w:color w:val="0000EE"/>
                </w:rPr>
                <w:t>Lease Agreement by and between the Registrant and Rachel Zacks, dated as of September 20, 2016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40" w:type="dxa"/>
            <w:vAlign w:val="bottom"/>
            <w:tcBorders>
              <w:top w:val="single" w:sz="8" w:color="0000EE"/>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69">
              <w:r>
                <w:rPr>
                  <w:rFonts w:ascii="Times New Roman" w:cs="Times New Roman" w:eastAsia="Times New Roman" w:hAnsi="Times New Roman"/>
                  <w:sz w:val="18"/>
                  <w:szCs w:val="18"/>
                  <w:color w:val="0000EE"/>
                  <w:w w:val="99"/>
                </w:rPr>
                <w:t>10.</w:t>
              </w:r>
              <w:r>
                <w:rPr>
                  <w:rFonts w:ascii="Times New Roman" w:cs="Times New Roman" w:eastAsia="Times New Roman" w:hAnsi="Times New Roman"/>
                  <w:sz w:val="18"/>
                  <w:szCs w:val="18"/>
                  <w:u w:val="single" w:color="auto"/>
                  <w:color w:val="0000EE"/>
                  <w:w w:val="99"/>
                </w:rPr>
                <w:t>10</w:t>
              </w:r>
              <w:r>
                <w:rPr>
                  <w:rFonts w:ascii="Times New Roman" w:cs="Times New Roman" w:eastAsia="Times New Roman" w:hAnsi="Times New Roman"/>
                  <w:sz w:val="18"/>
                  <w:szCs w:val="18"/>
                  <w:color w:val="0000EE"/>
                  <w:w w:val="99"/>
                </w:rPr>
                <w:t xml:space="preserve"> of the Registration Statement on Form F-1/A filed with the Securities and Exchange Commission on August 29, 2017).</w:t>
              </w:r>
            </w:hyperlink>
          </w:p>
        </w:tc>
        <w:tc>
          <w:tcPr>
            <w:tcW w:w="840" w:type="dxa"/>
            <w:vAlign w:val="bottom"/>
            <w:tcBorders>
              <w:top w:val="single" w:sz="8" w:color="0000EE"/>
            </w:tcBorders>
            <w:gridSpan w:val="3"/>
          </w:tcPr>
          <w:p>
            <w:pPr>
              <w:spacing w:after="0"/>
              <w:rPr>
                <w:sz w:val="17"/>
                <w:szCs w:val="17"/>
                <w:color w:val="auto"/>
              </w:rPr>
            </w:pPr>
          </w:p>
        </w:tc>
        <w:tc>
          <w:tcPr>
            <w:tcW w:w="220" w:type="dxa"/>
            <w:vAlign w:val="bottom"/>
            <w:gridSpan w:val="4"/>
          </w:tcPr>
          <w:p>
            <w:pPr>
              <w:spacing w:after="0"/>
              <w:rPr>
                <w:sz w:val="17"/>
                <w:szCs w:val="17"/>
                <w:color w:val="auto"/>
              </w:rPr>
            </w:pPr>
          </w:p>
        </w:tc>
      </w:tr>
      <w:tr>
        <w:trPr>
          <w:trHeight w:val="412"/>
        </w:trPr>
        <w:tc>
          <w:tcPr>
            <w:tcW w:w="940" w:type="dxa"/>
            <w:vAlign w:val="bottom"/>
            <w:gridSpan w:val="6"/>
          </w:tcPr>
          <w:p>
            <w:pPr>
              <w:spacing w:after="0"/>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9∞</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0000EE"/>
                </w:rPr>
                <w:t>Lease Agreement by and between the Registrant and Rachel Zacks, dated as of January 30, 2017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80" w:type="dxa"/>
            <w:vAlign w:val="bottom"/>
            <w:tcBorders>
              <w:top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70">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11</w:t>
              </w:r>
              <w:r>
                <w:rPr>
                  <w:rFonts w:ascii="Times New Roman" w:cs="Times New Roman" w:eastAsia="Times New Roman" w:hAnsi="Times New Roman"/>
                  <w:sz w:val="18"/>
                  <w:szCs w:val="18"/>
                  <w:color w:val="0000EE"/>
                </w:rPr>
                <w:t xml:space="preserve"> of the Registration Statement on Form F-1/A filed with the Securities and Exchange Commission on August 29, 2017).</w:t>
              </w:r>
            </w:hyperlink>
          </w:p>
        </w:tc>
        <w:tc>
          <w:tcPr>
            <w:tcW w:w="420" w:type="dxa"/>
            <w:vAlign w:val="bottom"/>
            <w:gridSpan w:val="5"/>
          </w:tcPr>
          <w:p>
            <w:pPr>
              <w:spacing w:after="0"/>
              <w:rPr>
                <w:sz w:val="17"/>
                <w:szCs w:val="17"/>
                <w:color w:val="auto"/>
              </w:rPr>
            </w:pPr>
          </w:p>
        </w:tc>
      </w:tr>
      <w:tr>
        <w:trPr>
          <w:trHeight w:val="628"/>
        </w:trPr>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340" w:type="dxa"/>
            <w:vAlign w:val="bottom"/>
            <w:tcBorders>
              <w:top w:val="single" w:sz="8" w:color="0000EE"/>
            </w:tcBorders>
            <w:gridSpan w:val="6"/>
          </w:tcPr>
          <w:p>
            <w:pPr>
              <w:ind w:left="4400"/>
              <w:spacing w:after="0"/>
              <w:rPr>
                <w:sz w:val="20"/>
                <w:szCs w:val="20"/>
                <w:color w:val="auto"/>
              </w:rPr>
            </w:pPr>
            <w:r>
              <w:rPr>
                <w:rFonts w:ascii="Times New Roman" w:cs="Times New Roman" w:eastAsia="Times New Roman" w:hAnsi="Times New Roman"/>
                <w:sz w:val="18"/>
                <w:szCs w:val="18"/>
                <w:color w:val="auto"/>
              </w:rPr>
              <w:t>35</w:t>
            </w:r>
          </w:p>
        </w:tc>
        <w:tc>
          <w:tcPr>
            <w:tcW w:w="32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1"/>
        </w:trPr>
        <w:tc>
          <w:tcPr>
            <w:tcW w:w="2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32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33" w:right="339" w:bottom="1440" w:gutter="0" w:footer="0" w:header="0"/>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0" w:type="dxa"/>
            <w:vAlign w:val="bottom"/>
            <w:gridSpan w:val="3"/>
          </w:tcPr>
          <w:p>
            <w:pPr>
              <w:spacing w:after="0"/>
              <w:rPr>
                <w:rFonts w:ascii="Times New Roman" w:cs="Times New Roman" w:eastAsia="Times New Roman" w:hAnsi="Times New Roman"/>
                <w:sz w:val="18"/>
                <w:szCs w:val="18"/>
                <w:color w:val="0000EE"/>
                <w:w w:val="99"/>
              </w:rPr>
            </w:pPr>
            <w:hyperlink r:id="rId71">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10∞</w:t>
              </w:r>
            </w:hyperlink>
          </w:p>
        </w:tc>
        <w:tc>
          <w:tcPr>
            <w:tcW w:w="720" w:type="dxa"/>
            <w:vAlign w:val="bottom"/>
            <w:gridSpan w:val="2"/>
          </w:tcPr>
          <w:p>
            <w:pPr>
              <w:spacing w:after="0"/>
              <w:rPr>
                <w:sz w:val="17"/>
                <w:szCs w:val="17"/>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71">
              <w:r>
                <w:rPr>
                  <w:rFonts w:ascii="Times New Roman" w:cs="Times New Roman" w:eastAsia="Times New Roman" w:hAnsi="Times New Roman"/>
                  <w:sz w:val="18"/>
                  <w:szCs w:val="18"/>
                  <w:color w:val="0000EE"/>
                </w:rPr>
                <w:t>Lease Agreement by and between the Registrant and Rachel Zacks, dated as of September 25, 2017 (incorporated by reference to Exhibit</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880" w:type="dxa"/>
            <w:vAlign w:val="bottom"/>
            <w:tcBorders>
              <w:top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71">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12</w:t>
              </w:r>
              <w:r>
                <w:rPr>
                  <w:rFonts w:ascii="Times New Roman" w:cs="Times New Roman" w:eastAsia="Times New Roman" w:hAnsi="Times New Roman"/>
                  <w:sz w:val="18"/>
                  <w:szCs w:val="18"/>
                  <w:color w:val="0000EE"/>
                </w:rPr>
                <w:t xml:space="preserve"> of the Annual on Form 20-F filed with the Securities and Exchange Commission on March 21, 2019).</w:t>
              </w:r>
            </w:hyperlink>
          </w:p>
        </w:tc>
        <w:tc>
          <w:tcPr>
            <w:tcW w:w="180" w:type="dxa"/>
            <w:vAlign w:val="bottom"/>
            <w:gridSpan w:val="4"/>
          </w:tcPr>
          <w:p>
            <w:pPr>
              <w:spacing w:after="0"/>
              <w:rPr>
                <w:sz w:val="17"/>
                <w:szCs w:val="17"/>
                <w:color w:val="auto"/>
              </w:rPr>
            </w:pPr>
          </w:p>
        </w:tc>
      </w:tr>
      <w:tr>
        <w:trPr>
          <w:trHeight w:val="20"/>
        </w:trPr>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46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11∞</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r:id="rId72">
              <w:r>
                <w:rPr>
                  <w:rFonts w:ascii="Times New Roman" w:cs="Times New Roman" w:eastAsia="Times New Roman" w:hAnsi="Times New Roman"/>
                  <w:sz w:val="18"/>
                  <w:szCs w:val="18"/>
                  <w:color w:val="0000EE"/>
                </w:rPr>
                <w:t>Lease Agreement by and between the Registrant and Rachel Zacks, dated as of July 3, 2018 (incorporated by reference to Exhibit 4.13 of</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1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72">
              <w:r>
                <w:rPr>
                  <w:rFonts w:ascii="Times New Roman" w:cs="Times New Roman" w:eastAsia="Times New Roman" w:hAnsi="Times New Roman"/>
                  <w:sz w:val="18"/>
                  <w:szCs w:val="18"/>
                  <w:color w:val="0000EE"/>
                  <w:w w:val="99"/>
                </w:rPr>
                <w:t>the Annual on Form 20-F filed with the Securities and Exchange Commission on March 21, 2019).</w:t>
              </w:r>
            </w:hyperlink>
          </w:p>
        </w:tc>
        <w:tc>
          <w:tcPr>
            <w:tcW w:w="2920" w:type="dxa"/>
            <w:vAlign w:val="bottom"/>
            <w:tcBorders>
              <w:top w:val="single" w:sz="8" w:color="0000EE"/>
            </w:tcBorders>
            <w:gridSpan w:val="12"/>
          </w:tcPr>
          <w:p>
            <w:pPr>
              <w:spacing w:after="0"/>
              <w:rPr>
                <w:sz w:val="17"/>
                <w:szCs w:val="17"/>
                <w:color w:val="auto"/>
              </w:rPr>
            </w:pPr>
          </w:p>
        </w:tc>
      </w:tr>
      <w:tr>
        <w:trPr>
          <w:trHeight w:val="412"/>
        </w:trPr>
        <w:tc>
          <w:tcPr>
            <w:tcW w:w="4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73">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12∞</w:t>
              </w:r>
            </w:hyperlink>
          </w:p>
        </w:tc>
        <w:tc>
          <w:tcPr>
            <w:tcW w:w="720" w:type="dxa"/>
            <w:vAlign w:val="bottom"/>
            <w:gridSpan w:val="2"/>
          </w:tcPr>
          <w:p>
            <w:pPr>
              <w:spacing w:after="0"/>
              <w:rPr>
                <w:sz w:val="24"/>
                <w:szCs w:val="24"/>
                <w:color w:val="auto"/>
              </w:rPr>
            </w:pPr>
          </w:p>
        </w:tc>
        <w:tc>
          <w:tcPr>
            <w:tcW w:w="1000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73">
              <w:r>
                <w:rPr>
                  <w:rFonts w:ascii="Times New Roman" w:cs="Times New Roman" w:eastAsia="Times New Roman" w:hAnsi="Times New Roman"/>
                  <w:sz w:val="18"/>
                  <w:szCs w:val="18"/>
                  <w:color w:val="0000EE"/>
                  <w:w w:val="99"/>
                </w:rPr>
                <w:t>Lease Agreement by and between the Registrant and Rachel Zacks, dated as of August 14, 2018 (incorporated by reference to Exhibit 4.14</w:t>
              </w:r>
            </w:hyperlink>
          </w:p>
        </w:tc>
        <w:tc>
          <w:tcPr>
            <w:tcW w:w="60" w:type="dxa"/>
            <w:vAlign w:val="bottom"/>
          </w:tcPr>
          <w:p>
            <w:pPr>
              <w:spacing w:after="0"/>
              <w:rPr>
                <w:sz w:val="24"/>
                <w:szCs w:val="24"/>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73">
              <w:r>
                <w:rPr>
                  <w:rFonts w:ascii="Times New Roman" w:cs="Times New Roman" w:eastAsia="Times New Roman" w:hAnsi="Times New Roman"/>
                  <w:sz w:val="18"/>
                  <w:szCs w:val="18"/>
                  <w:color w:val="0000EE"/>
                </w:rPr>
                <w:t>of the Annual on Form 20-F filed with the Securities and Exchange Commission on March 21, 2019).</w:t>
              </w:r>
            </w:hyperlink>
          </w:p>
        </w:tc>
      </w:tr>
      <w:tr>
        <w:trPr>
          <w:trHeight w:val="20"/>
        </w:trPr>
        <w:tc>
          <w:tcPr>
            <w:tcW w:w="32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4800" w:type="dxa"/>
            <w:vAlign w:val="bottom"/>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74">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13∞</w:t>
              </w:r>
            </w:hyperlink>
          </w:p>
        </w:tc>
        <w:tc>
          <w:tcPr>
            <w:tcW w:w="720" w:type="dxa"/>
            <w:vAlign w:val="bottom"/>
            <w:gridSpan w:val="2"/>
          </w:tcPr>
          <w:p>
            <w:pPr>
              <w:spacing w:after="0"/>
              <w:rPr>
                <w:sz w:val="24"/>
                <w:szCs w:val="24"/>
                <w:color w:val="auto"/>
              </w:rPr>
            </w:pPr>
          </w:p>
        </w:tc>
        <w:tc>
          <w:tcPr>
            <w:tcW w:w="9920" w:type="dxa"/>
            <w:vAlign w:val="bottom"/>
            <w:tcBorders>
              <w:bottom w:val="single" w:sz="8" w:color="0000EE"/>
            </w:tcBorders>
            <w:gridSpan w:val="13"/>
          </w:tcPr>
          <w:p>
            <w:pPr>
              <w:ind w:left="40"/>
              <w:spacing w:after="0"/>
              <w:rPr>
                <w:rFonts w:ascii="Times New Roman" w:cs="Times New Roman" w:eastAsia="Times New Roman" w:hAnsi="Times New Roman"/>
                <w:sz w:val="18"/>
                <w:szCs w:val="18"/>
                <w:color w:val="0000EE"/>
                <w:w w:val="99"/>
              </w:rPr>
            </w:pPr>
            <w:hyperlink r:id="rId74">
              <w:r>
                <w:rPr>
                  <w:rFonts w:ascii="Times New Roman" w:cs="Times New Roman" w:eastAsia="Times New Roman" w:hAnsi="Times New Roman"/>
                  <w:sz w:val="18"/>
                  <w:szCs w:val="18"/>
                  <w:color w:val="0000EE"/>
                  <w:w w:val="99"/>
                </w:rPr>
                <w:t>Lease Agreement by and between the Registrant and Rachel Zacks, dated as of November 12, 2019 (incorporated by reference to Exhibit</w:t>
              </w:r>
            </w:hyperlink>
          </w:p>
        </w:tc>
        <w:tc>
          <w:tcPr>
            <w:tcW w:w="140" w:type="dxa"/>
            <w:vAlign w:val="bottom"/>
            <w:gridSpan w:val="3"/>
          </w:tcPr>
          <w:p>
            <w:pPr>
              <w:spacing w:after="0"/>
              <w:rPr>
                <w:sz w:val="24"/>
                <w:szCs w:val="24"/>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74">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15</w:t>
              </w:r>
              <w:r>
                <w:rPr>
                  <w:rFonts w:ascii="Times New Roman" w:cs="Times New Roman" w:eastAsia="Times New Roman" w:hAnsi="Times New Roman"/>
                  <w:sz w:val="18"/>
                  <w:szCs w:val="18"/>
                  <w:color w:val="0000EE"/>
                </w:rPr>
                <w:t xml:space="preserve"> of the Annual Report on Form 20-F filed with the Securities and Exchange Commission on March 24, 2020).</w:t>
              </w:r>
            </w:hyperlink>
          </w:p>
        </w:tc>
      </w:tr>
      <w:tr>
        <w:trPr>
          <w:trHeight w:val="20"/>
        </w:trPr>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75">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14</w:t>
              </w:r>
            </w:hyperlink>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75">
              <w:r>
                <w:rPr>
                  <w:rFonts w:ascii="Times New Roman" w:cs="Times New Roman" w:eastAsia="Times New Roman" w:hAnsi="Times New Roman"/>
                  <w:sz w:val="18"/>
                  <w:szCs w:val="18"/>
                  <w:color w:val="0000EE"/>
                </w:rPr>
                <w:t>Promissory Note by and between the Registrant and Moshe Arkin, dated as of August 2, 2016 (incorporated by reference to Exhibit 10.12</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920" w:type="dxa"/>
            <w:vAlign w:val="bottom"/>
            <w:tcBorders>
              <w:top w:val="single" w:sz="8" w:color="0000EE"/>
            </w:tcBorders>
            <w:gridSpan w:val="13"/>
          </w:tcPr>
          <w:p>
            <w:pPr>
              <w:spacing w:after="0" w:line="196" w:lineRule="exact"/>
              <w:rPr>
                <w:rFonts w:ascii="Times New Roman" w:cs="Times New Roman" w:eastAsia="Times New Roman" w:hAnsi="Times New Roman"/>
                <w:sz w:val="18"/>
                <w:szCs w:val="18"/>
                <w:color w:val="0000EE"/>
              </w:rPr>
            </w:pPr>
            <w:hyperlink r:id="rId75">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c>
          <w:tcPr>
            <w:tcW w:w="140" w:type="dxa"/>
            <w:vAlign w:val="bottom"/>
            <w:gridSpan w:val="3"/>
          </w:tcPr>
          <w:p>
            <w:pPr>
              <w:spacing w:after="0"/>
              <w:rPr>
                <w:sz w:val="17"/>
                <w:szCs w:val="17"/>
                <w:color w:val="auto"/>
              </w:rPr>
            </w:pPr>
          </w:p>
        </w:tc>
      </w:tr>
      <w:tr>
        <w:trPr>
          <w:trHeight w:val="20"/>
        </w:trPr>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04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76">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15</w:t>
              </w:r>
            </w:hyperlink>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76">
              <w:r>
                <w:rPr>
                  <w:rFonts w:ascii="Times New Roman" w:cs="Times New Roman" w:eastAsia="Times New Roman" w:hAnsi="Times New Roman"/>
                  <w:sz w:val="18"/>
                  <w:szCs w:val="18"/>
                  <w:color w:val="0000EE"/>
                </w:rPr>
                <w:t>Schedule A, as amended, of Promissory Note by and between the Registrant and Moshe Arkin, dated as of June 28, 2017 (incorporated by</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600" w:type="dxa"/>
            <w:vAlign w:val="bottom"/>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20" w:type="dxa"/>
            <w:vAlign w:val="bottom"/>
            <w:tcBorders>
              <w:right w:val="single" w:sz="8" w:color="0000EE"/>
            </w:tcBorders>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76">
              <w:r>
                <w:rPr>
                  <w:rFonts w:ascii="Times New Roman" w:cs="Times New Roman" w:eastAsia="Times New Roman" w:hAnsi="Times New Roman"/>
                  <w:sz w:val="18"/>
                  <w:szCs w:val="18"/>
                  <w:color w:val="0000EE"/>
                </w:rPr>
                <w:t>reference to Exhibit 10.13 of the Registration Statement on Form F-1/A filed with the Securities and Exchange Commission on August 29,</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76">
              <w:r>
                <w:rPr>
                  <w:rFonts w:ascii="Times New Roman" w:cs="Times New Roman" w:eastAsia="Times New Roman" w:hAnsi="Times New Roman"/>
                  <w:sz w:val="18"/>
                  <w:szCs w:val="18"/>
                  <w:color w:val="0000EE"/>
                  <w:w w:val="94"/>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77">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16</w:t>
              </w:r>
            </w:hyperlink>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77">
              <w:r>
                <w:rPr>
                  <w:rFonts w:ascii="Times New Roman" w:cs="Times New Roman" w:eastAsia="Times New Roman" w:hAnsi="Times New Roman"/>
                  <w:sz w:val="18"/>
                  <w:szCs w:val="18"/>
                  <w:color w:val="0000EE"/>
                </w:rPr>
                <w:t>Instrument of Conversion of Promissory Note by and between the Registrant and Moshe Arkin, dated as of August 22, 2017 (incorporated</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98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77">
              <w:r>
                <w:rPr>
                  <w:rFonts w:ascii="Times New Roman" w:cs="Times New Roman" w:eastAsia="Times New Roman" w:hAnsi="Times New Roman"/>
                  <w:sz w:val="18"/>
                  <w:szCs w:val="18"/>
                  <w:color w:val="0000EE"/>
                  <w:w w:val="99"/>
                </w:rPr>
                <w:t>by reference to Exhibit 10.14 of the Registration Statement on Form F-1/A filed with the Securities and Exchange Commission on August</w:t>
              </w:r>
            </w:hyperlink>
          </w:p>
        </w:tc>
        <w:tc>
          <w:tcPr>
            <w:tcW w:w="80" w:type="dxa"/>
            <w:vAlign w:val="bottom"/>
            <w:gridSpan w:val="2"/>
          </w:tcPr>
          <w:p>
            <w:pPr>
              <w:spacing w:after="0"/>
              <w:rPr>
                <w:sz w:val="17"/>
                <w:szCs w:val="17"/>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74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7"/>
              </w:rPr>
            </w:pPr>
            <w:hyperlink r:id="rId77">
              <w:r>
                <w:rPr>
                  <w:rFonts w:ascii="Times New Roman" w:cs="Times New Roman" w:eastAsia="Times New Roman" w:hAnsi="Times New Roman"/>
                  <w:sz w:val="18"/>
                  <w:szCs w:val="18"/>
                  <w:color w:val="0000EE"/>
                  <w:w w:val="97"/>
                </w:rPr>
                <w:t>29, 2017).</w:t>
              </w:r>
            </w:hyperlink>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17</w:t>
              </w:r>
            </w:hyperlink>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Assignment Agreement between the Registrant and Medicis Pharmaceutical Corporation, dated August 16, 2013 (incorporated by</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520" w:type="dxa"/>
            <w:vAlign w:val="bottom"/>
            <w:gridSpan w:val="3"/>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600" w:type="dxa"/>
            <w:vAlign w:val="bottom"/>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reference to Exhibit 10.15 of the Registration Statement on Form F-1/A filed with the Securities and Exchange Commission on August 29,</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78">
              <w:r>
                <w:rPr>
                  <w:rFonts w:ascii="Times New Roman" w:cs="Times New Roman" w:eastAsia="Times New Roman" w:hAnsi="Times New Roman"/>
                  <w:sz w:val="18"/>
                  <w:szCs w:val="18"/>
                  <w:color w:val="0000EE"/>
                  <w:w w:val="94"/>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18∞</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Asset Transfer Agreement and Assignment Deed between Sol-Gel Technologies Ltd. and M. Arkin Dermatology Ltd., dated August 22,</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tcBorders>
              <w:top w:val="single" w:sz="8" w:color="0000EE"/>
              <w:bottom w:val="single" w:sz="8" w:color="0000EE"/>
            </w:tcBorders>
            <w:gridSpan w:val="16"/>
          </w:tcPr>
          <w:p>
            <w:pPr>
              <w:spacing w:after="0" w:line="196" w:lineRule="exact"/>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2017 (incorporated by reference to Exhibit 10.16 of the Registration Statement on Form F-1/A filed with the Securities and Exchange</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Commission on January 30, 2017).</w:t>
              </w:r>
            </w:hyperlink>
          </w:p>
        </w:tc>
      </w:tr>
      <w:tr>
        <w:trPr>
          <w:trHeight w:val="20"/>
        </w:trPr>
        <w:tc>
          <w:tcPr>
            <w:tcW w:w="640" w:type="dxa"/>
            <w:vAlign w:val="bottom"/>
            <w:gridSpan w:val="4"/>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520" w:type="dxa"/>
            <w:vAlign w:val="bottom"/>
            <w:gridSpan w:val="3"/>
            <w:shd w:val="clear" w:color="auto" w:fill="0000EE"/>
          </w:tcPr>
          <w:p>
            <w:pPr>
              <w:spacing w:after="0" w:line="20" w:lineRule="exact"/>
              <w:rPr>
                <w:sz w:val="1"/>
                <w:szCs w:val="1"/>
                <w:color w:val="auto"/>
              </w:rPr>
            </w:pPr>
          </w:p>
        </w:tc>
        <w:tc>
          <w:tcPr>
            <w:tcW w:w="5020" w:type="dxa"/>
            <w:vAlign w:val="bottom"/>
            <w:gridSpan w:val="3"/>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840" w:type="dxa"/>
            <w:vAlign w:val="bottom"/>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412"/>
        </w:trPr>
        <w:tc>
          <w:tcPr>
            <w:tcW w:w="64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r:id="rId80">
              <w:r>
                <w:rPr>
                  <w:rFonts w:ascii="Times New Roman" w:cs="Times New Roman" w:eastAsia="Times New Roman" w:hAnsi="Times New Roman"/>
                  <w:sz w:val="18"/>
                  <w:szCs w:val="18"/>
                  <w:color w:val="0000EE"/>
                  <w:w w:val="98"/>
                </w:rPr>
                <w:t>4.</w:t>
              </w:r>
              <w:r>
                <w:rPr>
                  <w:rFonts w:ascii="Times New Roman" w:cs="Times New Roman" w:eastAsia="Times New Roman" w:hAnsi="Times New Roman"/>
                  <w:sz w:val="18"/>
                  <w:szCs w:val="18"/>
                  <w:u w:val="single" w:color="auto"/>
                  <w:color w:val="0000EE"/>
                  <w:w w:val="98"/>
                </w:rPr>
                <w:t>19†</w:t>
              </w:r>
              <w:r>
                <w:rPr>
                  <w:rFonts w:ascii="Times New Roman" w:cs="Times New Roman" w:eastAsia="Times New Roman" w:hAnsi="Times New Roman"/>
                  <w:sz w:val="18"/>
                  <w:szCs w:val="18"/>
                  <w:color w:val="0000EE"/>
                  <w:w w:val="98"/>
                </w:rPr>
                <w:t xml:space="preserve"> **</w:t>
              </w:r>
            </w:hyperlink>
          </w:p>
        </w:tc>
        <w:tc>
          <w:tcPr>
            <w:tcW w:w="540" w:type="dxa"/>
            <w:vAlign w:val="bottom"/>
          </w:tcPr>
          <w:p>
            <w:pPr>
              <w:spacing w:after="0"/>
              <w:rPr>
                <w:sz w:val="24"/>
                <w:szCs w:val="24"/>
                <w:color w:val="auto"/>
              </w:rPr>
            </w:pPr>
          </w:p>
        </w:tc>
        <w:tc>
          <w:tcPr>
            <w:tcW w:w="754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r:id="rId80">
              <w:r>
                <w:rPr>
                  <w:rFonts w:ascii="Times New Roman" w:cs="Times New Roman" w:eastAsia="Times New Roman" w:hAnsi="Times New Roman"/>
                  <w:sz w:val="18"/>
                  <w:szCs w:val="18"/>
                  <w:color w:val="0000EE"/>
                  <w:w w:val="99"/>
                </w:rPr>
                <w:t>License Agreement between Sol-Gel Technologies Ltd. and Galderma Holding SA, dated June 21, 2021.</w:t>
              </w:r>
            </w:hyperlink>
          </w:p>
        </w:tc>
        <w:tc>
          <w:tcPr>
            <w:tcW w:w="2520" w:type="dxa"/>
            <w:vAlign w:val="bottom"/>
            <w:gridSpan w:val="10"/>
          </w:tcPr>
          <w:p>
            <w:pPr>
              <w:spacing w:after="0"/>
              <w:rPr>
                <w:sz w:val="24"/>
                <w:szCs w:val="24"/>
                <w:color w:val="auto"/>
              </w:rPr>
            </w:pPr>
          </w:p>
        </w:tc>
      </w:tr>
      <w:tr>
        <w:trPr>
          <w:trHeight w:val="412"/>
        </w:trPr>
        <w:tc>
          <w:tcPr>
            <w:tcW w:w="64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r:id="rId81">
              <w:r>
                <w:rPr>
                  <w:rFonts w:ascii="Times New Roman" w:cs="Times New Roman" w:eastAsia="Times New Roman" w:hAnsi="Times New Roman"/>
                  <w:sz w:val="18"/>
                  <w:szCs w:val="18"/>
                  <w:color w:val="0000EE"/>
                  <w:w w:val="98"/>
                </w:rPr>
                <w:t>4.</w:t>
              </w:r>
              <w:r>
                <w:rPr>
                  <w:rFonts w:ascii="Times New Roman" w:cs="Times New Roman" w:eastAsia="Times New Roman" w:hAnsi="Times New Roman"/>
                  <w:sz w:val="18"/>
                  <w:szCs w:val="18"/>
                  <w:u w:val="single" w:color="auto"/>
                  <w:color w:val="0000EE"/>
                  <w:w w:val="98"/>
                </w:rPr>
                <w:t>20†</w:t>
              </w:r>
              <w:r>
                <w:rPr>
                  <w:rFonts w:ascii="Times New Roman" w:cs="Times New Roman" w:eastAsia="Times New Roman" w:hAnsi="Times New Roman"/>
                  <w:sz w:val="18"/>
                  <w:szCs w:val="18"/>
                  <w:color w:val="0000EE"/>
                  <w:w w:val="98"/>
                </w:rPr>
                <w:t xml:space="preserve"> **</w:t>
              </w:r>
            </w:hyperlink>
          </w:p>
        </w:tc>
        <w:tc>
          <w:tcPr>
            <w:tcW w:w="540" w:type="dxa"/>
            <w:vAlign w:val="bottom"/>
          </w:tcPr>
          <w:p>
            <w:pPr>
              <w:spacing w:after="0"/>
              <w:rPr>
                <w:sz w:val="24"/>
                <w:szCs w:val="24"/>
                <w:color w:val="auto"/>
              </w:rPr>
            </w:pPr>
          </w:p>
        </w:tc>
        <w:tc>
          <w:tcPr>
            <w:tcW w:w="754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r:id="rId81">
              <w:r>
                <w:rPr>
                  <w:rFonts w:ascii="Times New Roman" w:cs="Times New Roman" w:eastAsia="Times New Roman" w:hAnsi="Times New Roman"/>
                  <w:sz w:val="18"/>
                  <w:szCs w:val="18"/>
                  <w:color w:val="0000EE"/>
                  <w:w w:val="99"/>
                </w:rPr>
                <w:t>License Agreement between Sol-Gel Technologies Ltd. and Galderma Holding SA, dated June 21, 2021.</w:t>
              </w:r>
            </w:hyperlink>
          </w:p>
        </w:tc>
        <w:tc>
          <w:tcPr>
            <w:tcW w:w="2520" w:type="dxa"/>
            <w:vAlign w:val="bottom"/>
            <w:gridSpan w:val="10"/>
          </w:tcPr>
          <w:p>
            <w:pPr>
              <w:spacing w:after="0"/>
              <w:rPr>
                <w:sz w:val="24"/>
                <w:szCs w:val="24"/>
                <w:color w:val="auto"/>
              </w:rPr>
            </w:pPr>
          </w:p>
        </w:tc>
      </w:tr>
      <w:tr>
        <w:trPr>
          <w:trHeight w:val="412"/>
        </w:trPr>
        <w:tc>
          <w:tcPr>
            <w:tcW w:w="64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r:id="rId82">
              <w:r>
                <w:rPr>
                  <w:rFonts w:ascii="Times New Roman" w:cs="Times New Roman" w:eastAsia="Times New Roman" w:hAnsi="Times New Roman"/>
                  <w:sz w:val="18"/>
                  <w:szCs w:val="18"/>
                  <w:color w:val="0000EE"/>
                  <w:w w:val="98"/>
                </w:rPr>
                <w:t>4.</w:t>
              </w:r>
              <w:r>
                <w:rPr>
                  <w:rFonts w:ascii="Times New Roman" w:cs="Times New Roman" w:eastAsia="Times New Roman" w:hAnsi="Times New Roman"/>
                  <w:sz w:val="18"/>
                  <w:szCs w:val="18"/>
                  <w:u w:val="single" w:color="auto"/>
                  <w:color w:val="0000EE"/>
                  <w:w w:val="98"/>
                </w:rPr>
                <w:t>21†</w:t>
              </w:r>
              <w:r>
                <w:rPr>
                  <w:rFonts w:ascii="Times New Roman" w:cs="Times New Roman" w:eastAsia="Times New Roman" w:hAnsi="Times New Roman"/>
                  <w:sz w:val="18"/>
                  <w:szCs w:val="18"/>
                  <w:color w:val="0000EE"/>
                  <w:w w:val="98"/>
                </w:rPr>
                <w:t xml:space="preserve"> **</w:t>
              </w:r>
            </w:hyperlink>
          </w:p>
        </w:tc>
        <w:tc>
          <w:tcPr>
            <w:tcW w:w="540" w:type="dxa"/>
            <w:vAlign w:val="bottom"/>
          </w:tcPr>
          <w:p>
            <w:pPr>
              <w:spacing w:after="0"/>
              <w:rPr>
                <w:sz w:val="24"/>
                <w:szCs w:val="24"/>
                <w:color w:val="auto"/>
              </w:rPr>
            </w:pPr>
          </w:p>
        </w:tc>
        <w:tc>
          <w:tcPr>
            <w:tcW w:w="998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r:id="rId82">
              <w:r>
                <w:rPr>
                  <w:rFonts w:ascii="Times New Roman" w:cs="Times New Roman" w:eastAsia="Times New Roman" w:hAnsi="Times New Roman"/>
                  <w:sz w:val="18"/>
                  <w:szCs w:val="18"/>
                  <w:color w:val="0000EE"/>
                  <w:w w:val="99"/>
                </w:rPr>
                <w:t>Supply Agreement between Sol-Gel Technologies Ltd., Galderma Holding SA, and Douglas Manufacturing Limited, dated June 21, 2021.</w:t>
              </w:r>
            </w:hyperlink>
          </w:p>
        </w:tc>
        <w:tc>
          <w:tcPr>
            <w:tcW w:w="80" w:type="dxa"/>
            <w:vAlign w:val="bottom"/>
            <w:gridSpan w:val="2"/>
          </w:tcPr>
          <w:p>
            <w:pPr>
              <w:spacing w:after="0"/>
              <w:rPr>
                <w:sz w:val="24"/>
                <w:szCs w:val="24"/>
                <w:color w:val="auto"/>
              </w:rPr>
            </w:pPr>
          </w:p>
        </w:tc>
      </w:tr>
      <w:tr>
        <w:trPr>
          <w:trHeight w:val="412"/>
        </w:trPr>
        <w:tc>
          <w:tcPr>
            <w:tcW w:w="640" w:type="dxa"/>
            <w:vAlign w:val="bottom"/>
            <w:gridSpan w:val="4"/>
          </w:tcPr>
          <w:p>
            <w:pPr>
              <w:spacing w:after="0"/>
              <w:rPr>
                <w:rFonts w:ascii="Times New Roman" w:cs="Times New Roman" w:eastAsia="Times New Roman" w:hAnsi="Times New Roman"/>
                <w:sz w:val="18"/>
                <w:szCs w:val="18"/>
                <w:color w:val="0000EE"/>
                <w:w w:val="98"/>
              </w:rPr>
            </w:pPr>
            <w:hyperlink r:id="rId83">
              <w:r>
                <w:rPr>
                  <w:rFonts w:ascii="Times New Roman" w:cs="Times New Roman" w:eastAsia="Times New Roman" w:hAnsi="Times New Roman"/>
                  <w:sz w:val="18"/>
                  <w:szCs w:val="18"/>
                  <w:color w:val="0000EE"/>
                  <w:w w:val="98"/>
                </w:rPr>
                <w:t>4.</w:t>
              </w:r>
              <w:r>
                <w:rPr>
                  <w:rFonts w:ascii="Times New Roman" w:cs="Times New Roman" w:eastAsia="Times New Roman" w:hAnsi="Times New Roman"/>
                  <w:sz w:val="18"/>
                  <w:szCs w:val="18"/>
                  <w:u w:val="single" w:color="auto"/>
                  <w:color w:val="0000EE"/>
                  <w:w w:val="98"/>
                </w:rPr>
                <w:t>22†</w:t>
              </w:r>
              <w:r>
                <w:rPr>
                  <w:rFonts w:ascii="Times New Roman" w:cs="Times New Roman" w:eastAsia="Times New Roman" w:hAnsi="Times New Roman"/>
                  <w:sz w:val="18"/>
                  <w:szCs w:val="18"/>
                  <w:color w:val="0000EE"/>
                  <w:w w:val="98"/>
                </w:rPr>
                <w:t xml:space="preserve"> **</w:t>
              </w:r>
            </w:hyperlink>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83">
              <w:r>
                <w:rPr>
                  <w:rFonts w:ascii="Times New Roman" w:cs="Times New Roman" w:eastAsia="Times New Roman" w:hAnsi="Times New Roman"/>
                  <w:sz w:val="18"/>
                  <w:szCs w:val="18"/>
                  <w:color w:val="0000EE"/>
                </w:rPr>
                <w:t>Termination Agreement between Padagis Israel Pharmaceuticals Ltd, and Sol-Gel Technologies Ltd., dated November 3, 2021.</w:t>
              </w:r>
            </w:hyperlink>
          </w:p>
        </w:tc>
      </w:tr>
      <w:tr>
        <w:trPr>
          <w:trHeight w:val="20"/>
        </w:trPr>
        <w:tc>
          <w:tcPr>
            <w:tcW w:w="640" w:type="dxa"/>
            <w:vAlign w:val="bottom"/>
            <w:gridSpan w:val="4"/>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140" w:type="dxa"/>
            <w:vAlign w:val="bottom"/>
            <w:gridSpan w:val="10"/>
            <w:shd w:val="clear" w:color="auto" w:fill="0000EE"/>
          </w:tcPr>
          <w:p>
            <w:pPr>
              <w:spacing w:after="0" w:line="20" w:lineRule="exact"/>
              <w:rPr>
                <w:sz w:val="1"/>
                <w:szCs w:val="1"/>
                <w:color w:val="auto"/>
              </w:rPr>
            </w:pPr>
          </w:p>
        </w:tc>
        <w:tc>
          <w:tcPr>
            <w:tcW w:w="920" w:type="dxa"/>
            <w:vAlign w:val="bottom"/>
            <w:gridSpan w:val="6"/>
          </w:tcPr>
          <w:p>
            <w:pPr>
              <w:spacing w:after="0" w:line="20" w:lineRule="exact"/>
              <w:rPr>
                <w:sz w:val="1"/>
                <w:szCs w:val="1"/>
                <w:color w:val="auto"/>
              </w:rPr>
            </w:pPr>
          </w:p>
        </w:tc>
      </w:tr>
      <w:tr>
        <w:trPr>
          <w:trHeight w:val="412"/>
        </w:trPr>
        <w:tc>
          <w:tcPr>
            <w:tcW w:w="640" w:type="dxa"/>
            <w:vAlign w:val="bottom"/>
            <w:gridSpan w:val="4"/>
          </w:tcPr>
          <w:p>
            <w:pPr>
              <w:spacing w:after="0"/>
              <w:rPr>
                <w:rFonts w:ascii="Times New Roman" w:cs="Times New Roman" w:eastAsia="Times New Roman" w:hAnsi="Times New Roman"/>
                <w:sz w:val="18"/>
                <w:szCs w:val="18"/>
                <w:color w:val="0000EE"/>
                <w:w w:val="98"/>
              </w:rPr>
            </w:pPr>
            <w:hyperlink r:id="rId84">
              <w:r>
                <w:rPr>
                  <w:rFonts w:ascii="Times New Roman" w:cs="Times New Roman" w:eastAsia="Times New Roman" w:hAnsi="Times New Roman"/>
                  <w:sz w:val="18"/>
                  <w:szCs w:val="18"/>
                  <w:color w:val="0000EE"/>
                  <w:w w:val="98"/>
                </w:rPr>
                <w:t>4.</w:t>
              </w:r>
              <w:r>
                <w:rPr>
                  <w:rFonts w:ascii="Times New Roman" w:cs="Times New Roman" w:eastAsia="Times New Roman" w:hAnsi="Times New Roman"/>
                  <w:sz w:val="18"/>
                  <w:szCs w:val="18"/>
                  <w:u w:val="single" w:color="auto"/>
                  <w:color w:val="0000EE"/>
                  <w:w w:val="98"/>
                </w:rPr>
                <w:t>23†</w:t>
              </w:r>
              <w:r>
                <w:rPr>
                  <w:rFonts w:ascii="Times New Roman" w:cs="Times New Roman" w:eastAsia="Times New Roman" w:hAnsi="Times New Roman"/>
                  <w:sz w:val="18"/>
                  <w:szCs w:val="18"/>
                  <w:color w:val="0000EE"/>
                  <w:w w:val="98"/>
                </w:rPr>
                <w:t xml:space="preserve"> **</w:t>
              </w:r>
            </w:hyperlink>
          </w:p>
        </w:tc>
        <w:tc>
          <w:tcPr>
            <w:tcW w:w="5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84">
              <w:r>
                <w:rPr>
                  <w:rFonts w:ascii="Times New Roman" w:cs="Times New Roman" w:eastAsia="Times New Roman" w:hAnsi="Times New Roman"/>
                  <w:sz w:val="18"/>
                  <w:szCs w:val="18"/>
                  <w:color w:val="0000EE"/>
                </w:rPr>
                <w:t>Termination Agreement between Padagis Israel Pharmaceuticals Ltd, and Sol-Gel Technologies Ltd., dated November 3, 2021.</w:t>
              </w:r>
            </w:hyperlink>
          </w:p>
        </w:tc>
      </w:tr>
      <w:tr>
        <w:trPr>
          <w:trHeight w:val="628"/>
        </w:trPr>
        <w:tc>
          <w:tcPr>
            <w:tcW w:w="3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540" w:type="dxa"/>
            <w:vAlign w:val="bottom"/>
          </w:tcPr>
          <w:p>
            <w:pPr>
              <w:spacing w:after="0"/>
              <w:rPr>
                <w:sz w:val="24"/>
                <w:szCs w:val="24"/>
                <w:color w:val="auto"/>
              </w:rPr>
            </w:pPr>
          </w:p>
        </w:tc>
        <w:tc>
          <w:tcPr>
            <w:tcW w:w="7140" w:type="dxa"/>
            <w:vAlign w:val="bottom"/>
            <w:tcBorders>
              <w:top w:val="single" w:sz="8" w:color="0000EE"/>
            </w:tcBorders>
            <w:gridSpan w:val="4"/>
          </w:tcPr>
          <w:p>
            <w:pPr>
              <w:ind w:left="4360"/>
              <w:spacing w:after="0"/>
              <w:rPr>
                <w:sz w:val="20"/>
                <w:szCs w:val="20"/>
                <w:color w:val="auto"/>
              </w:rPr>
            </w:pPr>
            <w:r>
              <w:rPr>
                <w:rFonts w:ascii="Times New Roman" w:cs="Times New Roman" w:eastAsia="Times New Roman" w:hAnsi="Times New Roman"/>
                <w:sz w:val="18"/>
                <w:szCs w:val="18"/>
                <w:color w:val="auto"/>
              </w:rPr>
              <w:t>36</w:t>
            </w:r>
          </w:p>
        </w:tc>
        <w:tc>
          <w:tcPr>
            <w:tcW w:w="1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61"/>
        </w:trPr>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46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24" w:right="339" w:bottom="1440" w:gutter="0" w:footer="0" w:header="0"/>
        </w:sectPr>
      </w:pPr>
    </w:p>
    <w:bookmarkStart w:id="36" w:name="page37"/>
    <w:bookmarkEnd w:id="3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0" w:type="dxa"/>
            <w:vAlign w:val="bottom"/>
            <w:tcBorders>
              <w:bottom w:val="single" w:sz="8" w:color="0000EE"/>
            </w:tcBorders>
          </w:tcPr>
          <w:p>
            <w:pPr>
              <w:jc w:val="right"/>
              <w:spacing w:after="0"/>
              <w:rPr>
                <w:rFonts w:ascii="Times New Roman" w:cs="Times New Roman" w:eastAsia="Times New Roman" w:hAnsi="Times New Roman"/>
                <w:sz w:val="18"/>
                <w:szCs w:val="18"/>
                <w:color w:val="0000EE"/>
                <w:w w:val="97"/>
              </w:rPr>
            </w:pPr>
            <w:hyperlink w:anchor="page68">
              <w:r>
                <w:rPr>
                  <w:rFonts w:ascii="Times New Roman" w:cs="Times New Roman" w:eastAsia="Times New Roman" w:hAnsi="Times New Roman"/>
                  <w:sz w:val="18"/>
                  <w:szCs w:val="18"/>
                  <w:color w:val="0000EE"/>
                  <w:w w:val="97"/>
                </w:rPr>
                <w:t>12.</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17"/>
                <w:szCs w:val="17"/>
                <w:color w:val="auto"/>
              </w:rPr>
            </w:pPr>
          </w:p>
        </w:tc>
        <w:tc>
          <w:tcPr>
            <w:tcW w:w="72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68">
              <w:r>
                <w:rPr>
                  <w:rFonts w:ascii="Times New Roman" w:cs="Times New Roman" w:eastAsia="Times New Roman" w:hAnsi="Times New Roman"/>
                  <w:sz w:val="18"/>
                  <w:szCs w:val="18"/>
                  <w:color w:val="0000EE"/>
                  <w:w w:val="99"/>
                </w:rPr>
                <w:t>Certification by Chief Executive Officer pursuant to Section 302 of the Sarbanes-Oxley Act of 2002.</w:t>
              </w:r>
            </w:hyperlink>
          </w:p>
        </w:tc>
      </w:tr>
      <w:tr>
        <w:trPr>
          <w:trHeight w:val="412"/>
        </w:trPr>
        <w:tc>
          <w:tcPr>
            <w:tcW w:w="460" w:type="dxa"/>
            <w:vAlign w:val="bottom"/>
          </w:tcPr>
          <w:p>
            <w:pPr>
              <w:jc w:val="right"/>
              <w:spacing w:after="0"/>
              <w:rPr>
                <w:rFonts w:ascii="Times New Roman" w:cs="Times New Roman" w:eastAsia="Times New Roman" w:hAnsi="Times New Roman"/>
                <w:sz w:val="18"/>
                <w:szCs w:val="18"/>
                <w:color w:val="0000EE"/>
                <w:w w:val="97"/>
              </w:rPr>
            </w:pPr>
            <w:hyperlink w:anchor="page69">
              <w:r>
                <w:rPr>
                  <w:rFonts w:ascii="Times New Roman" w:cs="Times New Roman" w:eastAsia="Times New Roman" w:hAnsi="Times New Roman"/>
                  <w:sz w:val="18"/>
                  <w:szCs w:val="18"/>
                  <w:color w:val="0000EE"/>
                  <w:w w:val="97"/>
                </w:rPr>
                <w:t>12.</w:t>
              </w:r>
              <w:r>
                <w:rPr>
                  <w:rFonts w:ascii="Times New Roman" w:cs="Times New Roman" w:eastAsia="Times New Roman" w:hAnsi="Times New Roman"/>
                  <w:sz w:val="18"/>
                  <w:szCs w:val="18"/>
                  <w:u w:val="single" w:color="auto"/>
                  <w:color w:val="0000EE"/>
                  <w:w w:val="97"/>
                </w:rPr>
                <w:t>2</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gridSpan w:val="3"/>
          </w:tcPr>
          <w:p>
            <w:pPr>
              <w:spacing w:after="0"/>
              <w:rPr>
                <w:rFonts w:ascii="Times New Roman" w:cs="Times New Roman" w:eastAsia="Times New Roman" w:hAnsi="Times New Roman"/>
                <w:sz w:val="18"/>
                <w:szCs w:val="18"/>
                <w:color w:val="0000EE"/>
              </w:rPr>
            </w:pPr>
            <w:hyperlink w:anchor="page69">
              <w:r>
                <w:rPr>
                  <w:rFonts w:ascii="Times New Roman" w:cs="Times New Roman" w:eastAsia="Times New Roman" w:hAnsi="Times New Roman"/>
                  <w:sz w:val="18"/>
                  <w:szCs w:val="18"/>
                  <w:color w:val="0000EE"/>
                </w:rPr>
                <w:t>Certification by Chief Financial Officer pursuant to Section 302 of the Sarbanes-Oxley Act of 2002.</w:t>
              </w:r>
            </w:hyperlink>
          </w:p>
        </w:tc>
      </w:tr>
      <w:tr>
        <w:trPr>
          <w:trHeight w:val="20"/>
        </w:trPr>
        <w:tc>
          <w:tcPr>
            <w:tcW w:w="46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320" w:type="dxa"/>
            <w:vAlign w:val="bottom"/>
            <w:shd w:val="clear" w:color="auto" w:fill="0000EE"/>
          </w:tcPr>
          <w:p>
            <w:pPr>
              <w:spacing w:after="0" w:line="20" w:lineRule="exact"/>
              <w:rPr>
                <w:sz w:val="1"/>
                <w:szCs w:val="1"/>
                <w:color w:val="auto"/>
              </w:rPr>
            </w:pPr>
          </w:p>
        </w:tc>
        <w:tc>
          <w:tcPr>
            <w:tcW w:w="28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tcBorders>
              <w:bottom w:val="single" w:sz="8" w:color="0000EE"/>
            </w:tcBorders>
          </w:tcPr>
          <w:p>
            <w:pPr>
              <w:jc w:val="right"/>
              <w:spacing w:after="0"/>
              <w:rPr>
                <w:rFonts w:ascii="Times New Roman" w:cs="Times New Roman" w:eastAsia="Times New Roman" w:hAnsi="Times New Roman"/>
                <w:sz w:val="18"/>
                <w:szCs w:val="18"/>
                <w:color w:val="0000EE"/>
                <w:w w:val="97"/>
              </w:rPr>
            </w:pPr>
            <w:hyperlink w:anchor="page70">
              <w:r>
                <w:rPr>
                  <w:rFonts w:ascii="Times New Roman" w:cs="Times New Roman" w:eastAsia="Times New Roman" w:hAnsi="Times New Roman"/>
                  <w:sz w:val="18"/>
                  <w:szCs w:val="18"/>
                  <w:color w:val="0000EE"/>
                  <w:w w:val="97"/>
                </w:rPr>
                <w:t>13.</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70">
              <w:r>
                <w:rPr>
                  <w:rFonts w:ascii="Times New Roman" w:cs="Times New Roman" w:eastAsia="Times New Roman" w:hAnsi="Times New Roman"/>
                  <w:sz w:val="18"/>
                  <w:szCs w:val="18"/>
                  <w:color w:val="0000EE"/>
                  <w:w w:val="99"/>
                </w:rPr>
                <w:t>Certification by Chief Executive Officer pursuant to Section 906 of the Sarbanes-Oxley Act of 2002.</w:t>
              </w:r>
            </w:hyperlink>
          </w:p>
        </w:tc>
      </w:tr>
      <w:tr>
        <w:trPr>
          <w:trHeight w:val="412"/>
        </w:trPr>
        <w:tc>
          <w:tcPr>
            <w:tcW w:w="460" w:type="dxa"/>
            <w:vAlign w:val="bottom"/>
          </w:tcPr>
          <w:p>
            <w:pPr>
              <w:jc w:val="right"/>
              <w:spacing w:after="0"/>
              <w:rPr>
                <w:rFonts w:ascii="Times New Roman" w:cs="Times New Roman" w:eastAsia="Times New Roman" w:hAnsi="Times New Roman"/>
                <w:sz w:val="18"/>
                <w:szCs w:val="18"/>
                <w:color w:val="0000EE"/>
                <w:w w:val="97"/>
              </w:rPr>
            </w:pPr>
            <w:hyperlink w:anchor="page71">
              <w:r>
                <w:rPr>
                  <w:rFonts w:ascii="Times New Roman" w:cs="Times New Roman" w:eastAsia="Times New Roman" w:hAnsi="Times New Roman"/>
                  <w:sz w:val="18"/>
                  <w:szCs w:val="18"/>
                  <w:color w:val="0000EE"/>
                  <w:w w:val="97"/>
                </w:rPr>
                <w:t>13.</w:t>
              </w:r>
              <w:r>
                <w:rPr>
                  <w:rFonts w:ascii="Times New Roman" w:cs="Times New Roman" w:eastAsia="Times New Roman" w:hAnsi="Times New Roman"/>
                  <w:sz w:val="18"/>
                  <w:szCs w:val="18"/>
                  <w:u w:val="single" w:color="auto"/>
                  <w:color w:val="0000EE"/>
                  <w:w w:val="97"/>
                </w:rPr>
                <w:t>2</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gridSpan w:val="3"/>
          </w:tcPr>
          <w:p>
            <w:pPr>
              <w:spacing w:after="0"/>
              <w:rPr>
                <w:rFonts w:ascii="Times New Roman" w:cs="Times New Roman" w:eastAsia="Times New Roman" w:hAnsi="Times New Roman"/>
                <w:sz w:val="18"/>
                <w:szCs w:val="18"/>
                <w:color w:val="0000EE"/>
              </w:rPr>
            </w:pPr>
            <w:hyperlink w:anchor="page71">
              <w:r>
                <w:rPr>
                  <w:rFonts w:ascii="Times New Roman" w:cs="Times New Roman" w:eastAsia="Times New Roman" w:hAnsi="Times New Roman"/>
                  <w:sz w:val="18"/>
                  <w:szCs w:val="18"/>
                  <w:color w:val="0000EE"/>
                </w:rPr>
                <w:t>Certification by Chief Financial Officer pursuant to Section 906 of the Sarbanes-Oxley Act of 2002.</w:t>
              </w:r>
            </w:hyperlink>
          </w:p>
        </w:tc>
      </w:tr>
      <w:tr>
        <w:trPr>
          <w:trHeight w:val="412"/>
        </w:trPr>
        <w:tc>
          <w:tcPr>
            <w:tcW w:w="460" w:type="dxa"/>
            <w:vAlign w:val="bottom"/>
            <w:tcBorders>
              <w:top w:val="single" w:sz="8" w:color="0000EE"/>
              <w:bottom w:val="single" w:sz="8" w:color="0000EE"/>
            </w:tcBorders>
          </w:tcPr>
          <w:p>
            <w:pPr>
              <w:jc w:val="right"/>
              <w:spacing w:after="0"/>
              <w:rPr>
                <w:rFonts w:ascii="Times New Roman" w:cs="Times New Roman" w:eastAsia="Times New Roman" w:hAnsi="Times New Roman"/>
                <w:sz w:val="18"/>
                <w:szCs w:val="18"/>
                <w:color w:val="0000EE"/>
                <w:w w:val="97"/>
              </w:rPr>
            </w:pPr>
            <w:hyperlink w:anchor="page72">
              <w:r>
                <w:rPr>
                  <w:rFonts w:ascii="Times New Roman" w:cs="Times New Roman" w:eastAsia="Times New Roman" w:hAnsi="Times New Roman"/>
                  <w:sz w:val="18"/>
                  <w:szCs w:val="18"/>
                  <w:color w:val="0000EE"/>
                  <w:w w:val="97"/>
                </w:rPr>
                <w:t>15.</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4320" w:type="dxa"/>
            <w:vAlign w:val="bottom"/>
            <w:tcBorders>
              <w:top w:val="single" w:sz="8" w:color="0000EE"/>
              <w:bottom w:val="single" w:sz="8" w:color="0000EE"/>
            </w:tcBorders>
          </w:tcPr>
          <w:p>
            <w:pPr>
              <w:spacing w:after="0"/>
              <w:rPr>
                <w:rFonts w:ascii="Times New Roman" w:cs="Times New Roman" w:eastAsia="Times New Roman" w:hAnsi="Times New Roman"/>
                <w:sz w:val="18"/>
                <w:szCs w:val="18"/>
                <w:color w:val="0000EE"/>
                <w:w w:val="99"/>
              </w:rPr>
            </w:pPr>
            <w:hyperlink w:anchor="page72">
              <w:r>
                <w:rPr>
                  <w:rFonts w:ascii="Times New Roman" w:cs="Times New Roman" w:eastAsia="Times New Roman" w:hAnsi="Times New Roman"/>
                  <w:sz w:val="18"/>
                  <w:szCs w:val="18"/>
                  <w:color w:val="0000EE"/>
                  <w:w w:val="99"/>
                </w:rPr>
                <w:t>Consent of Independent Registered Public Accounting Firm</w:t>
              </w:r>
            </w:hyperlink>
          </w:p>
        </w:tc>
        <w:tc>
          <w:tcPr>
            <w:tcW w:w="288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605155</wp:posOffset>
            </wp:positionH>
            <wp:positionV relativeFrom="paragraph">
              <wp:posOffset>-7620</wp:posOffset>
            </wp:positionV>
            <wp:extent cx="2857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5">
                      <a:extLst>
                        <a:ext uri="{28A0092B-C50C-407E-A947-70E740481C1C}"/>
                      </a:extLst>
                    </a:blip>
                    <a:srcRect/>
                    <a:stretch>
                      <a:fillRect/>
                    </a:stretch>
                  </pic:blipFill>
                  <pic:spPr bwMode="auto">
                    <a:xfrm>
                      <a:off x="0" y="0"/>
                      <a:ext cx="28575" cy="8255"/>
                    </a:xfrm>
                    <a:prstGeom prst="rect">
                      <a:avLst/>
                    </a:prstGeom>
                    <a:noFill/>
                  </pic:spPr>
                </pic:pic>
              </a:graphicData>
            </a:graphic>
          </wp:anchor>
        </w:drawing>
      </w:r>
    </w:p>
    <w:p>
      <w:pPr>
        <w:spacing w:after="0" w:line="205" w:lineRule="exact"/>
        <w:rPr>
          <w:sz w:val="20"/>
          <w:szCs w:val="20"/>
          <w:color w:val="auto"/>
        </w:rPr>
      </w:pPr>
    </w:p>
    <w:p>
      <w:pPr>
        <w:ind w:left="1180" w:hanging="1172"/>
        <w:spacing w:after="0"/>
        <w:tabs>
          <w:tab w:leader="none" w:pos="11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financial statements from the Company’s 20-F for the fiscal year ended December 31, 2021, formatted in XBRL:</w:t>
      </w:r>
    </w:p>
    <w:p>
      <w:pPr>
        <w:spacing w:after="0" w:line="27" w:lineRule="exact"/>
        <w:rPr>
          <w:rFonts w:ascii="Times New Roman" w:cs="Times New Roman" w:eastAsia="Times New Roman" w:hAnsi="Times New Roman"/>
          <w:sz w:val="18"/>
          <w:szCs w:val="18"/>
          <w:color w:val="auto"/>
        </w:rPr>
      </w:pPr>
    </w:p>
    <w:p>
      <w:pPr>
        <w:ind w:left="1180" w:firstLine="2"/>
        <w:spacing w:after="0" w:line="260" w:lineRule="auto"/>
        <w:tabs>
          <w:tab w:leader="none" w:pos="1410"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Statements of Comprehensive Loss, (ii) Consolidated Statements of Financial Position, (iii) Consolidated Statements of Changes in Equity, (iv) Consolidated Statements of Cash Flows, and (v) Notes to the Consolidated Financial Statements.</w:t>
      </w:r>
    </w:p>
    <w:p>
      <w:pPr>
        <w:spacing w:after="0" w:line="181" w:lineRule="exact"/>
        <w:rPr>
          <w:sz w:val="20"/>
          <w:szCs w:val="20"/>
          <w:color w:val="auto"/>
        </w:rPr>
      </w:pPr>
    </w:p>
    <w:p>
      <w:pPr>
        <w:ind w:left="1180" w:hanging="1172"/>
        <w:spacing w:after="0"/>
        <w:tabs>
          <w:tab w:leader="none" w:pos="11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25" w:lineRule="exact"/>
        <w:rPr>
          <w:sz w:val="20"/>
          <w:szCs w:val="20"/>
          <w:color w:val="auto"/>
        </w:rPr>
      </w:pPr>
    </w:p>
    <w:p>
      <w:pPr>
        <w:ind w:left="1180" w:hanging="1172"/>
        <w:spacing w:after="0"/>
        <w:tabs>
          <w:tab w:leader="none" w:pos="11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Previously filed.</w:t>
      </w:r>
    </w:p>
    <w:p>
      <w:pPr>
        <w:spacing w:after="0" w:line="225" w:lineRule="exact"/>
        <w:rPr>
          <w:sz w:val="20"/>
          <w:szCs w:val="20"/>
          <w:color w:val="auto"/>
        </w:rPr>
      </w:pPr>
    </w:p>
    <w:p>
      <w:pPr>
        <w:ind w:left="1180" w:hanging="1172"/>
        <w:spacing w:after="0" w:line="282" w:lineRule="auto"/>
        <w:tabs>
          <w:tab w:leader="none" w:pos="11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confidential portions of this exhibit have been redacted from the publicly filed document because such portions are (i) not material and (ii) would be competitively harmful if publicly disclosed.</w:t>
      </w:r>
    </w:p>
    <w:p>
      <w:pPr>
        <w:spacing w:after="0" w:line="162" w:lineRule="exact"/>
        <w:rPr>
          <w:sz w:val="20"/>
          <w:szCs w:val="20"/>
          <w:color w:val="auto"/>
        </w:rPr>
      </w:pPr>
    </w:p>
    <w:p>
      <w:pPr>
        <w:ind w:left="1180" w:hanging="1172"/>
        <w:spacing w:after="0"/>
        <w:tabs>
          <w:tab w:leader="none" w:pos="11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Informal translation of the original Hebrew document.</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37" w:name="page38"/>
    <w:bookmarkEnd w:id="37"/>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SIGNATURE</w:t>
      </w:r>
    </w:p>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Registrant hereby certifies that it meets all of the requirements for filing on Form 20-F and that it has duly caused and authorized the undersigned to sign this annual report on its behalf.</w:t>
      </w:r>
    </w:p>
    <w:p>
      <w:pPr>
        <w:spacing w:after="0" w:line="162"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SOL-GEL TECHNOLOGIES LTD.</w:t>
      </w:r>
    </w:p>
    <w:p>
      <w:pPr>
        <w:spacing w:after="0" w:line="225" w:lineRule="exact"/>
        <w:rPr>
          <w:sz w:val="20"/>
          <w:szCs w:val="20"/>
          <w:color w:val="auto"/>
        </w:rPr>
      </w:pPr>
    </w:p>
    <w:p>
      <w:pPr>
        <w:ind w:left="5520"/>
        <w:spacing w:after="0"/>
        <w:tabs>
          <w:tab w:leader="none" w:pos="59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1937385"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7">
                      <a:extLst>
                        <a:ext uri="{28A0092B-C50C-407E-A947-70E740481C1C}"/>
                      </a:extLst>
                    </a:blip>
                    <a:srcRect/>
                    <a:stretch>
                      <a:fillRect/>
                    </a:stretch>
                  </pic:blipFill>
                  <pic:spPr bwMode="auto">
                    <a:xfrm>
                      <a:off x="0" y="0"/>
                      <a:ext cx="1937385"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Name:Alon Seri-Levy</w:t>
      </w:r>
    </w:p>
    <w:p>
      <w:pPr>
        <w:spacing w:after="0" w:line="27" w:lineRule="exact"/>
        <w:rPr>
          <w:sz w:val="20"/>
          <w:szCs w:val="20"/>
          <w:color w:val="auto"/>
        </w:rPr>
      </w:pPr>
    </w:p>
    <w:p>
      <w:pPr>
        <w:ind w:left="5980"/>
        <w:spacing w:after="0"/>
        <w:tabs>
          <w:tab w:leader="none" w:pos="7060" w:val="left"/>
          <w:tab w:leader="none" w:pos="8000" w:val="left"/>
          <w:tab w:leader="none" w:pos="8740" w:val="left"/>
        </w:tabs>
        <w:rPr>
          <w:sz w:val="20"/>
          <w:szCs w:val="20"/>
          <w:color w:val="auto"/>
        </w:rPr>
      </w:pPr>
      <w:r>
        <w:rPr>
          <w:rFonts w:ascii="Times New Roman" w:cs="Times New Roman" w:eastAsia="Times New Roman" w:hAnsi="Times New Roman"/>
          <w:sz w:val="18"/>
          <w:szCs w:val="18"/>
          <w:color w:val="auto"/>
        </w:rPr>
        <w:t>Title: Chief</w:t>
        <w:tab/>
        <w:t>Executive</w:t>
        <w:tab/>
        <w:t>Officer</w:t>
        <w:tab/>
        <w:t>and</w:t>
      </w:r>
    </w:p>
    <w:p>
      <w:pPr>
        <w:spacing w:after="0" w:line="9" w:lineRule="exact"/>
        <w:rPr>
          <w:sz w:val="20"/>
          <w:szCs w:val="20"/>
          <w:color w:val="auto"/>
        </w:rPr>
      </w:pPr>
    </w:p>
    <w:p>
      <w:pPr>
        <w:ind w:left="6460"/>
        <w:spacing w:after="0"/>
        <w:rPr>
          <w:sz w:val="20"/>
          <w:szCs w:val="20"/>
          <w:color w:val="auto"/>
        </w:rPr>
      </w:pPr>
      <w:r>
        <w:rPr>
          <w:rFonts w:ascii="Times New Roman" w:cs="Times New Roman" w:eastAsia="Times New Roman" w:hAnsi="Times New Roman"/>
          <w:sz w:val="18"/>
          <w:szCs w:val="18"/>
          <w:color w:val="auto"/>
        </w:rPr>
        <w:t>Director</w:t>
      </w:r>
    </w:p>
    <w:p>
      <w:pPr>
        <w:spacing w:after="0" w:line="207" w:lineRule="exact"/>
        <w:rPr>
          <w:sz w:val="20"/>
          <w:szCs w:val="20"/>
          <w:color w:val="auto"/>
        </w:rPr>
      </w:pPr>
    </w:p>
    <w:p>
      <w:pPr>
        <w:ind w:left="5520"/>
        <w:spacing w:after="0"/>
        <w:tabs>
          <w:tab w:leader="none" w:pos="59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1937385"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a:extLst>
                        <a:ext uri="{28A0092B-C50C-407E-A947-70E740481C1C}"/>
                      </a:extLst>
                    </a:blip>
                    <a:srcRect/>
                    <a:stretch>
                      <a:fillRect/>
                    </a:stretch>
                  </pic:blipFill>
                  <pic:spPr bwMode="auto">
                    <a:xfrm>
                      <a:off x="0" y="0"/>
                      <a:ext cx="1937385"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Name:Gilad Mamlok</w:t>
      </w:r>
    </w:p>
    <w:p>
      <w:pPr>
        <w:spacing w:after="0" w:line="27"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Title: 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7, 2022</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CONSOLIDATED FINANCIAL STATEMENTS</w:t>
      </w:r>
    </w:p>
    <w:p>
      <w:pPr>
        <w:spacing w:after="0" w:line="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AS OF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262890</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725" w:right="1440" w:bottom="1440" w:gutter="0" w:footer="0" w:header="0"/>
        </w:sectPr>
      </w:pPr>
    </w:p>
    <w:bookmarkStart w:id="39" w:name="page40"/>
    <w:bookmarkEnd w:id="39"/>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OF DECEMBER 31, 2021</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418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Page</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0340" w:type="dxa"/>
            <w:vAlign w:val="bottom"/>
            <w:gridSpan w:val="8"/>
            <w:vMerge w:val="restart"/>
          </w:tcPr>
          <w:p>
            <w:pPr>
              <w:spacing w:after="0"/>
              <w:rPr>
                <w:rFonts w:ascii="Times New Roman" w:cs="Times New Roman" w:eastAsia="Times New Roman" w:hAnsi="Times New Roman"/>
                <w:sz w:val="18"/>
                <w:szCs w:val="18"/>
                <w:b w:val="1"/>
                <w:bCs w:val="1"/>
                <w:color w:val="0000EE"/>
              </w:rPr>
            </w:pPr>
            <w:hyperlink w:anchor="page41">
              <w:r>
                <w:rPr>
                  <w:rFonts w:ascii="Times New Roman" w:cs="Times New Roman" w:eastAsia="Times New Roman" w:hAnsi="Times New Roman"/>
                  <w:sz w:val="18"/>
                  <w:szCs w:val="18"/>
                  <w:b w:val="1"/>
                  <w:bCs w:val="1"/>
                  <w:color w:val="0000EE"/>
                </w:rPr>
                <w:t xml:space="preserve">REPORT OF INDEPENDENT REGISTERED PUBLIC ACCOUNTING FIRM </w:t>
              </w:r>
            </w:hyperlink>
            <w:r>
              <w:rPr>
                <w:rFonts w:ascii="Times New Roman" w:cs="Times New Roman" w:eastAsia="Times New Roman" w:hAnsi="Times New Roman"/>
                <w:sz w:val="18"/>
                <w:szCs w:val="18"/>
                <w:b w:val="1"/>
                <w:bCs w:val="1"/>
                <w:color w:val="000000"/>
              </w:rPr>
              <w:t>(PCAOB</w:t>
            </w:r>
            <w:r>
              <w:rPr>
                <w:rFonts w:ascii="Times New Roman" w:cs="Times New Roman" w:eastAsia="Times New Roman" w:hAnsi="Times New Roman"/>
                <w:sz w:val="18"/>
                <w:szCs w:val="18"/>
                <w:b w:val="1"/>
                <w:bCs w:val="1"/>
                <w:color w:val="0000EE"/>
              </w:rPr>
              <w:t xml:space="preserve"> </w:t>
            </w:r>
            <w:r>
              <w:rPr>
                <w:rFonts w:ascii="Times New Roman" w:cs="Times New Roman" w:eastAsia="Times New Roman" w:hAnsi="Times New Roman"/>
                <w:sz w:val="18"/>
                <w:szCs w:val="18"/>
                <w:b w:val="1"/>
                <w:bCs w:val="1"/>
                <w:color w:val="000000"/>
              </w:rPr>
              <w:t>name: Kesselman &amp; Kesselman C.P.A.s</w:t>
            </w: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10340" w:type="dxa"/>
            <w:vAlign w:val="bottom"/>
            <w:gridSpan w:val="8"/>
            <w:vMerge w:val="continue"/>
          </w:tcPr>
          <w:p>
            <w:pPr>
              <w:spacing w:after="0"/>
              <w:rPr>
                <w:sz w:val="17"/>
                <w:szCs w:val="17"/>
                <w:color w:val="auto"/>
              </w:rPr>
            </w:pPr>
          </w:p>
        </w:tc>
        <w:tc>
          <w:tcPr>
            <w:tcW w:w="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rPr>
              <w:t>F-2</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6160" w:type="dxa"/>
            <w:vAlign w:val="bottom"/>
            <w:tcBorders>
              <w:top w:val="single" w:sz="8" w:color="0000EE"/>
            </w:tcBorders>
            <w:gridSpan w:val="7"/>
          </w:tcPr>
          <w:p>
            <w:pPr>
              <w:spacing w:after="0"/>
              <w:rPr>
                <w:sz w:val="20"/>
                <w:szCs w:val="20"/>
                <w:color w:val="auto"/>
              </w:rPr>
            </w:pPr>
            <w:r>
              <w:rPr>
                <w:rFonts w:ascii="Times New Roman" w:cs="Times New Roman" w:eastAsia="Times New Roman" w:hAnsi="Times New Roman"/>
                <w:sz w:val="18"/>
                <w:szCs w:val="18"/>
                <w:b w:val="1"/>
                <w:bCs w:val="1"/>
                <w:color w:val="auto"/>
              </w:rPr>
              <w:t>PCAOB ID: 1309)</w:t>
            </w:r>
          </w:p>
        </w:tc>
        <w:tc>
          <w:tcPr>
            <w:tcW w:w="4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40" w:type="dxa"/>
            <w:vAlign w:val="bottom"/>
          </w:tcPr>
          <w:p>
            <w:pPr>
              <w:spacing w:after="0"/>
              <w:rPr>
                <w:sz w:val="23"/>
                <w:szCs w:val="23"/>
                <w:color w:val="auto"/>
              </w:rPr>
            </w:pPr>
          </w:p>
        </w:tc>
        <w:tc>
          <w:tcPr>
            <w:tcW w:w="10340" w:type="dxa"/>
            <w:vAlign w:val="bottom"/>
            <w:gridSpan w:val="8"/>
          </w:tcPr>
          <w:p>
            <w:pPr>
              <w:spacing w:after="0"/>
              <w:rPr>
                <w:sz w:val="20"/>
                <w:szCs w:val="20"/>
                <w:color w:val="auto"/>
              </w:rPr>
            </w:pPr>
            <w:r>
              <w:rPr>
                <w:rFonts w:ascii="Times New Roman" w:cs="Times New Roman" w:eastAsia="Times New Roman" w:hAnsi="Times New Roman"/>
                <w:sz w:val="18"/>
                <w:szCs w:val="18"/>
                <w:b w:val="1"/>
                <w:bCs w:val="1"/>
                <w:color w:val="auto"/>
              </w:rPr>
              <w:t>CONSOLIDATED FINANCIAL STATEMENTS:</w:t>
            </w:r>
          </w:p>
        </w:tc>
        <w:tc>
          <w:tcPr>
            <w:tcW w:w="8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Borders>
              <w:bottom w:val="single" w:sz="8" w:color="0000EE"/>
            </w:tcBorders>
          </w:tcPr>
          <w:p>
            <w:pPr>
              <w:spacing w:after="0"/>
              <w:rPr>
                <w:rFonts w:ascii="Times New Roman" w:cs="Times New Roman" w:eastAsia="Times New Roman" w:hAnsi="Times New Roman"/>
                <w:sz w:val="18"/>
                <w:szCs w:val="18"/>
                <w:color w:val="0000EE"/>
                <w:w w:val="98"/>
              </w:rPr>
            </w:pPr>
            <w:hyperlink w:anchor="page42">
              <w:r>
                <w:rPr>
                  <w:rFonts w:ascii="Times New Roman" w:cs="Times New Roman" w:eastAsia="Times New Roman" w:hAnsi="Times New Roman"/>
                  <w:sz w:val="18"/>
                  <w:szCs w:val="18"/>
                  <w:color w:val="0000EE"/>
                  <w:w w:val="98"/>
                </w:rPr>
                <w:t>Balance Sheets</w:t>
              </w:r>
            </w:hyperlink>
          </w:p>
        </w:tc>
        <w:tc>
          <w:tcPr>
            <w:tcW w:w="9080" w:type="dxa"/>
            <w:vAlign w:val="bottom"/>
            <w:gridSpan w:val="6"/>
          </w:tcPr>
          <w:p>
            <w:pPr>
              <w:spacing w:after="0"/>
              <w:rPr>
                <w:sz w:val="19"/>
                <w:szCs w:val="19"/>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F-3</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2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8"/>
              </w:rPr>
            </w:pPr>
            <w:hyperlink w:anchor="page43">
              <w:r>
                <w:rPr>
                  <w:rFonts w:ascii="Times New Roman" w:cs="Times New Roman" w:eastAsia="Times New Roman" w:hAnsi="Times New Roman"/>
                  <w:sz w:val="18"/>
                  <w:szCs w:val="18"/>
                  <w:color w:val="0000EE"/>
                  <w:w w:val="98"/>
                </w:rPr>
                <w:t>Statements of Operations</w:t>
              </w:r>
            </w:hyperlink>
          </w:p>
        </w:tc>
        <w:tc>
          <w:tcPr>
            <w:tcW w:w="8360" w:type="dxa"/>
            <w:vAlign w:val="bottom"/>
            <w:gridSpan w:val="5"/>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F-4</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38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w:anchor="page44">
              <w:r>
                <w:rPr>
                  <w:rFonts w:ascii="Times New Roman" w:cs="Times New Roman" w:eastAsia="Times New Roman" w:hAnsi="Times New Roman"/>
                  <w:sz w:val="18"/>
                  <w:szCs w:val="18"/>
                  <w:color w:val="0000EE"/>
                  <w:w w:val="99"/>
                </w:rPr>
                <w:t>Statements of Changes in Shareholders' Equity</w:t>
              </w:r>
            </w:hyperlink>
          </w:p>
        </w:tc>
        <w:tc>
          <w:tcPr>
            <w:tcW w:w="6800" w:type="dxa"/>
            <w:vAlign w:val="bottom"/>
            <w:gridSpan w:val="2"/>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F-5</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8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45">
              <w:r>
                <w:rPr>
                  <w:rFonts w:ascii="Times New Roman" w:cs="Times New Roman" w:eastAsia="Times New Roman" w:hAnsi="Times New Roman"/>
                  <w:sz w:val="18"/>
                  <w:szCs w:val="18"/>
                  <w:color w:val="0000EE"/>
                  <w:w w:val="99"/>
                </w:rPr>
                <w:t>Statements of Cash Flows</w:t>
              </w:r>
            </w:hyperlink>
          </w:p>
        </w:tc>
        <w:tc>
          <w:tcPr>
            <w:tcW w:w="8300" w:type="dxa"/>
            <w:vAlign w:val="bottom"/>
            <w:gridSpan w:val="4"/>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F-6</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180" w:type="dxa"/>
            <w:vAlign w:val="bottom"/>
            <w:gridSpan w:val="7"/>
          </w:tcPr>
          <w:p>
            <w:pPr>
              <w:spacing w:after="0"/>
              <w:rPr>
                <w:rFonts w:ascii="Times New Roman" w:cs="Times New Roman" w:eastAsia="Times New Roman" w:hAnsi="Times New Roman"/>
                <w:sz w:val="18"/>
                <w:szCs w:val="18"/>
                <w:color w:val="0000EE"/>
              </w:rPr>
            </w:pPr>
            <w:hyperlink w:anchor="page46">
              <w:r>
                <w:rPr>
                  <w:rFonts w:ascii="Times New Roman" w:cs="Times New Roman" w:eastAsia="Times New Roman" w:hAnsi="Times New Roman"/>
                  <w:sz w:val="18"/>
                  <w:szCs w:val="18"/>
                  <w:color w:val="0000EE"/>
                </w:rPr>
                <w:t>Notes to the Financial Statements</w:t>
              </w:r>
            </w:hyperlink>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F-7</w:t>
            </w:r>
          </w:p>
        </w:tc>
        <w:tc>
          <w:tcPr>
            <w:tcW w:w="0" w:type="dxa"/>
            <w:vAlign w:val="bottom"/>
          </w:tcPr>
          <w:p>
            <w:pPr>
              <w:spacing w:after="0"/>
              <w:rPr>
                <w:sz w:val="1"/>
                <w:szCs w:val="1"/>
                <w:color w:val="auto"/>
              </w:rPr>
            </w:pPr>
          </w:p>
        </w:tc>
      </w:tr>
      <w:tr>
        <w:trPr>
          <w:trHeight w:val="446"/>
        </w:trPr>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top w:val="single" w:sz="8" w:color="0000EE"/>
              <w:bottom w:val="single" w:sz="8" w:color="auto"/>
            </w:tcBorders>
          </w:tcPr>
          <w:p>
            <w:pPr>
              <w:spacing w:after="0"/>
              <w:rPr>
                <w:sz w:val="24"/>
                <w:szCs w:val="24"/>
                <w:color w:val="auto"/>
              </w:rPr>
            </w:pPr>
          </w:p>
        </w:tc>
        <w:tc>
          <w:tcPr>
            <w:tcW w:w="7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540" w:type="dxa"/>
            <w:vAlign w:val="bottom"/>
            <w:tcBorders>
              <w:top w:val="single" w:sz="8" w:color="0000EE"/>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33" w:right="339" w:bottom="1440" w:gutter="0" w:footer="0" w:header="0"/>
        </w:sectPr>
      </w:pPr>
    </w:p>
    <w:bookmarkStart w:id="40" w:name="page41"/>
    <w:bookmarkEnd w:id="4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1303020" cy="11055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1">
                      <a:clrChange>
                        <a:clrFrom>
                          <a:srgbClr val="FFFFFF"/>
                        </a:clrFrom>
                        <a:clrTo>
                          <a:srgbClr val="FFFFFF">
                            <a:alpha val="0"/>
                          </a:srgbClr>
                        </a:clrTo>
                      </a:clrChange>
                      <a:extLst>
                        <a:ext uri="{28A0092B-C50C-407E-A947-70E740481C1C}"/>
                      </a:extLst>
                    </a:blip>
                    <a:srcRect/>
                    <a:stretch>
                      <a:fillRect/>
                    </a:stretch>
                  </pic:blipFill>
                  <pic:spPr bwMode="auto">
                    <a:xfrm>
                      <a:off x="0" y="0"/>
                      <a:ext cx="1303020" cy="1105535"/>
                    </a:xfrm>
                    <a:prstGeom prst="rect">
                      <a:avLst/>
                    </a:prstGeom>
                    <a:noFill/>
                  </pic:spPr>
                </pic:pic>
              </a:graphicData>
            </a:graphic>
          </wp:anchor>
        </w:drawing>
      </w:r>
    </w:p>
    <w:p>
      <w:pPr>
        <w:spacing w:after="0" w:line="219" w:lineRule="exact"/>
        <w:rPr>
          <w:sz w:val="20"/>
          <w:szCs w:val="20"/>
          <w:color w:val="auto"/>
        </w:rPr>
      </w:pPr>
    </w:p>
    <w:p>
      <w:pPr>
        <w:ind w:left="338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board of directors and shareholders of Sol-Gel Technologies Ltd.</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Opinion on the Financial Statements</w:t>
      </w:r>
    </w:p>
    <w:p>
      <w:pPr>
        <w:spacing w:after="0" w:line="2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Sol-Gel Technologies Ltd</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its subsidiary (the “Company”) as of December 31, 2021 and 2020, and the related consolidated statements of operations, of changes in shareholders' equity and of cash flows for each of the three years in the period ended December 31, 2021, including the related notes (collectively referred to as the “consolidated financial statements”). In our opinion, the consolidated financial statements present fairly, in all material respects, the financial position of the Company as of December 31, 2021 and 2020, and the results of its operations and its cash flows for each of the three years in the period ended December 31, 2021 in conformity with accounting principles generally accepted in the United States of America.</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for Opinion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ectPr>
          <w:pgSz w:w="11900" w:h="16838" w:orient="portrait"/>
          <w:cols w:equalWidth="0" w:num="1">
            <w:col w:w="11240"/>
          </w:cols>
          <w:pgMar w:left="320" w:top="1440" w:right="339" w:bottom="1440" w:gutter="0" w:footer="0" w:header="0"/>
        </w:sectPr>
      </w:pP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Tel-Aviv, Israel</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April 4, 2022</w:t>
      </w:r>
    </w:p>
    <w:p>
      <w:pPr>
        <w:spacing w:after="0" w:line="20" w:lineRule="exact"/>
        <w:rPr>
          <w:sz w:val="20"/>
          <w:szCs w:val="20"/>
          <w:color w:val="auto"/>
        </w:rPr>
      </w:pPr>
      <w:r>
        <w:rPr>
          <w:sz w:val="20"/>
          <w:szCs w:val="20"/>
          <w:color w:val="auto"/>
        </w:rPr>
        <w:br w:type="column"/>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Kesselman &amp; Kesselman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Certified Public Accountants (Isr.)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 member firm of PricewaterhouseCoopers International Limited</w:t>
      </w:r>
    </w:p>
    <w:p>
      <w:pPr>
        <w:spacing w:after="0" w:line="200" w:lineRule="exact"/>
        <w:rPr>
          <w:sz w:val="20"/>
          <w:szCs w:val="20"/>
          <w:color w:val="auto"/>
        </w:rPr>
      </w:pPr>
    </w:p>
    <w:p>
      <w:pPr>
        <w:sectPr>
          <w:pgSz w:w="11900" w:h="16838" w:orient="portrait"/>
          <w:cols w:equalWidth="0" w:num="2">
            <w:col w:w="1660" w:space="720"/>
            <w:col w:w="8860"/>
          </w:cols>
          <w:pgMar w:left="320" w:top="1440" w:right="339" w:bottom="1440" w:gutter="0" w:footer="0" w:header="0"/>
          <w:type w:val="continuous"/>
        </w:sectPr>
      </w:pP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2000.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Kesselman &amp; Kesselman, 146 Derech Menachem Begin, Tel-Aviv 6492103, Israel,</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P.O Box 7187 Tel-Aviv 6107120, Telephone: +972 -3- 7954555, Fax:+972 -3- 7954556, www.pwc.com/il</w:t>
      </w:r>
    </w:p>
    <w:p>
      <w:pPr>
        <w:spacing w:after="0" w:line="1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41" w:name="page42"/>
    <w:bookmarkEnd w:id="41"/>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320" w:type="dxa"/>
            <w:vAlign w:val="bottom"/>
            <w:gridSpan w:val="5"/>
          </w:tcPr>
          <w:p>
            <w:pPr>
              <w:jc w:val="right"/>
              <w:ind w:right="8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86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8680" w:type="dxa"/>
            <w:vAlign w:val="bottom"/>
            <w:shd w:val="clear" w:color="auto" w:fill="CCEEFF"/>
          </w:tcPr>
          <w:p>
            <w:pPr>
              <w:ind w:left="40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7,122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20,085</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21,400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21,448</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Marketable securities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1,709</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2,153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13,065</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1,074</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53,401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57,107</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NON-CURRENT ASSETS: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7,402</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long-term deposits and cash</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1,293</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1,298</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1,817</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1,051</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1,501</w:t>
            </w:r>
          </w:p>
        </w:tc>
      </w:tr>
      <w:tr>
        <w:trPr>
          <w:trHeight w:val="223"/>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Funds in respect of employee rights upon retirement</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830</w:t>
            </w:r>
          </w:p>
        </w:tc>
      </w:tr>
      <w:tr>
        <w:trPr>
          <w:trHeight w:val="223"/>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NON-CURRENT ASSETS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5,760</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12,082</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59,161</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69,189</w:t>
            </w:r>
          </w:p>
        </w:tc>
      </w:tr>
      <w:tr>
        <w:trPr>
          <w:trHeight w:val="21"/>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680" w:type="dxa"/>
            <w:vAlign w:val="bottom"/>
            <w:shd w:val="clear" w:color="auto" w:fill="CCEEFF"/>
          </w:tcPr>
          <w:p>
            <w:pPr>
              <w:ind w:left="2920"/>
              <w:spacing w:after="0"/>
              <w:rPr>
                <w:sz w:val="20"/>
                <w:szCs w:val="20"/>
                <w:color w:val="auto"/>
              </w:rPr>
            </w:pPr>
            <w:r>
              <w:rPr>
                <w:rFonts w:ascii="Times New Roman" w:cs="Times New Roman" w:eastAsia="Times New Roman" w:hAnsi="Times New Roman"/>
                <w:sz w:val="18"/>
                <w:szCs w:val="18"/>
                <w:b w:val="1"/>
                <w:bCs w:val="1"/>
                <w:color w:val="auto"/>
              </w:rPr>
              <w:t>Liabilities and shareholders' equity</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766</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accounts payable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4,088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10,145</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673</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11,692</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leases liabilities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810</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Liability for employee rights upon retirement</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1,049</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1,093</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LONG-TERM LIABILITIES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1,903</w:t>
            </w:r>
          </w:p>
        </w:tc>
      </w:tr>
      <w:tr>
        <w:trPr>
          <w:trHeight w:val="21"/>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COMMITMENTS (Note 6)</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8,312</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13,595</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SHAREHOLDERS' EQUITY:</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98"/>
        </w:trPr>
        <w:tc>
          <w:tcPr>
            <w:tcW w:w="868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Ordinary shares, NIS 0.1 par value – authorized: 50,000,000 as of December 31, 2020 and 2021, respectively;</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issued and outstanding: 23,000,782 and 23,126,804 as of December 31, 2020 and December 31, 2021, respectively</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638</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231,577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233,098</w:t>
            </w:r>
          </w:p>
        </w:tc>
      </w:tr>
      <w:tr>
        <w:trPr>
          <w:trHeight w:val="223"/>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Accumulated deficit</w:t>
            </w: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(181,363)</w:t>
            </w:r>
          </w:p>
        </w:tc>
        <w:tc>
          <w:tcPr>
            <w:tcW w:w="24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(178,142)</w:t>
            </w:r>
          </w:p>
        </w:tc>
      </w:tr>
      <w:tr>
        <w:trPr>
          <w:trHeight w:val="223"/>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SHAREHOLDERS' EQUITY</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50,849</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55,594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SHAREHOLDERS' EQUITY</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59,161</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69,189</w:t>
            </w:r>
          </w:p>
        </w:tc>
      </w:tr>
      <w:tr>
        <w:trPr>
          <w:trHeight w:val="20"/>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2" w:name="page43"/>
    <w:bookmarkEnd w:id="42"/>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732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72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88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73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COLLABORATION REVENUES</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22,904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8,771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23,772</w:t>
            </w:r>
          </w:p>
        </w:tc>
      </w:tr>
      <w:tr>
        <w:trPr>
          <w:trHeight w:val="223"/>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LICENSE REVENUES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7,500</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REVENUES</w:t>
            </w:r>
          </w:p>
        </w:tc>
        <w:tc>
          <w:tcPr>
            <w:tcW w:w="2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22,904</w:t>
            </w:r>
          </w:p>
        </w:tc>
        <w:tc>
          <w:tcPr>
            <w:tcW w:w="2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8,771</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31,272</w:t>
            </w: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RESEARCH AND DEVELOPMENT EXPENSES</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40,578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27,913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20,381</w:t>
            </w: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GENERAL AND ADMINISTRATIVE EXPENSES</w:t>
            </w: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8,276</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11,091</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8,451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 xml:space="preserve">OTHER INCOME, </w:t>
            </w:r>
            <w:r>
              <w:rPr>
                <w:rFonts w:ascii="Times New Roman" w:cs="Times New Roman" w:eastAsia="Times New Roman" w:hAnsi="Times New Roman"/>
                <w:sz w:val="18"/>
                <w:szCs w:val="18"/>
                <w:color w:val="auto"/>
              </w:rPr>
              <w:t>net</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524</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OPERATING INCOME (LOSS)</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(25,950)</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(30,233)</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2,964</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FINANCIAL INCOME, net</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943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257</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(24,576)</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TAXES</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(33)</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 FOR THE YEAR</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(24,609)</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BASIC INCOME (LOSS) PER ORDINARY SHARE</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0.14</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09"/>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DILUTED INCOME (LOSS) PER ORDINARY SHARE</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(1.26)</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(1.30)</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0.14</w:t>
            </w:r>
          </w:p>
        </w:tc>
      </w:tr>
      <w:tr>
        <w:trPr>
          <w:trHeight w:val="21"/>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7"/>
        </w:trPr>
        <w:tc>
          <w:tcPr>
            <w:tcW w:w="7320" w:type="dxa"/>
            <w:vAlign w:val="bottom"/>
            <w:shd w:val="clear" w:color="auto" w:fill="CCEEFF"/>
          </w:tcPr>
          <w:p>
            <w:pPr>
              <w:spacing w:after="0" w:line="188" w:lineRule="exact"/>
              <w:rPr>
                <w:sz w:val="20"/>
                <w:szCs w:val="20"/>
                <w:color w:val="auto"/>
              </w:rPr>
            </w:pPr>
            <w:r>
              <w:rPr>
                <w:rFonts w:ascii="Times New Roman" w:cs="Times New Roman" w:eastAsia="Times New Roman" w:hAnsi="Times New Roman"/>
                <w:sz w:val="18"/>
                <w:szCs w:val="18"/>
                <w:b w:val="1"/>
                <w:bCs w:val="1"/>
                <w:color w:val="auto"/>
              </w:rPr>
              <w:t>WEIGHTED AVERAGE NUMBER OF SHARES OUTSTANDING USED IN</w:t>
            </w:r>
          </w:p>
        </w:tc>
        <w:tc>
          <w:tcPr>
            <w:tcW w:w="220" w:type="dxa"/>
            <w:vAlign w:val="bottom"/>
            <w:shd w:val="clear" w:color="auto" w:fill="CCEEFF"/>
          </w:tcPr>
          <w:p>
            <w:pPr>
              <w:spacing w:after="0"/>
              <w:rPr>
                <w:sz w:val="16"/>
                <w:szCs w:val="16"/>
                <w:color w:val="auto"/>
              </w:rPr>
            </w:pPr>
          </w:p>
        </w:tc>
        <w:tc>
          <w:tcPr>
            <w:tcW w:w="940" w:type="dxa"/>
            <w:vAlign w:val="bottom"/>
            <w:tcBorders>
              <w:right w:val="single" w:sz="8" w:color="CCEEFF"/>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38"/>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COMPUTATION OF BASIC AND DILUTED INCOME (LOSS) PER SHARE:</w:t>
            </w:r>
          </w:p>
        </w:tc>
        <w:tc>
          <w:tcPr>
            <w:tcW w:w="220" w:type="dxa"/>
            <w:vAlign w:val="bottom"/>
            <w:shd w:val="clear" w:color="auto" w:fill="CCEEFF"/>
          </w:tcPr>
          <w:p>
            <w:pPr>
              <w:spacing w:after="0"/>
              <w:rPr>
                <w:sz w:val="20"/>
                <w:szCs w:val="20"/>
                <w:color w:val="auto"/>
              </w:rPr>
            </w:pPr>
          </w:p>
        </w:tc>
        <w:tc>
          <w:tcPr>
            <w:tcW w:w="940" w:type="dxa"/>
            <w:vAlign w:val="bottom"/>
            <w:tcBorders>
              <w:right w:val="single" w:sz="8" w:color="CCEEFF"/>
            </w:tcBorders>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BASIC</w:t>
            </w: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19,534,562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22,574,688</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23,063,493</w:t>
            </w:r>
          </w:p>
        </w:tc>
      </w:tr>
      <w:tr>
        <w:trPr>
          <w:trHeight w:val="20"/>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DILUTED</w:t>
            </w:r>
          </w:p>
        </w:tc>
        <w:tc>
          <w:tcPr>
            <w:tcW w:w="22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19,534,562</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22,574,688</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23,566,182</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3" w:name="page44"/>
    <w:bookmarkEnd w:id="43"/>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SHAREHOLDERS'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Additional</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paid-in</w:t>
            </w: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5"/>
        </w:trPr>
        <w:tc>
          <w:tcPr>
            <w:tcW w:w="4620" w:type="dxa"/>
            <w:vAlign w:val="bottom"/>
          </w:tcPr>
          <w:p>
            <w:pPr>
              <w:spacing w:after="0"/>
              <w:rPr>
                <w:sz w:val="21"/>
                <w:szCs w:val="21"/>
                <w:color w:val="auto"/>
              </w:rPr>
            </w:pPr>
          </w:p>
        </w:tc>
        <w:tc>
          <w:tcPr>
            <w:tcW w:w="2760" w:type="dxa"/>
            <w:vAlign w:val="bottom"/>
            <w:gridSpan w:val="4"/>
          </w:tcPr>
          <w:p>
            <w:pPr>
              <w:ind w:left="620"/>
              <w:spacing w:after="0"/>
              <w:rPr>
                <w:sz w:val="20"/>
                <w:szCs w:val="20"/>
                <w:color w:val="auto"/>
              </w:rPr>
            </w:pPr>
            <w:r>
              <w:rPr>
                <w:rFonts w:ascii="Times New Roman" w:cs="Times New Roman" w:eastAsia="Times New Roman" w:hAnsi="Times New Roman"/>
                <w:sz w:val="18"/>
                <w:szCs w:val="18"/>
                <w:b w:val="1"/>
                <w:bCs w:val="1"/>
                <w:color w:val="auto"/>
              </w:rPr>
              <w:t>Ordinary shares</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capital</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deficit</w:t>
            </w:r>
          </w:p>
        </w:tc>
        <w:tc>
          <w:tcPr>
            <w:tcW w:w="12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194"/>
        </w:trPr>
        <w:tc>
          <w:tcPr>
            <w:tcW w:w="4620" w:type="dxa"/>
            <w:vAlign w:val="bottom"/>
          </w:tcPr>
          <w:p>
            <w:pPr>
              <w:spacing w:after="0"/>
              <w:rPr>
                <w:sz w:val="16"/>
                <w:szCs w:val="16"/>
                <w:color w:val="auto"/>
              </w:rPr>
            </w:pPr>
          </w:p>
        </w:tc>
        <w:tc>
          <w:tcPr>
            <w:tcW w:w="1380" w:type="dxa"/>
            <w:vAlign w:val="bottom"/>
            <w:tcBorders>
              <w:top w:val="single" w:sz="8" w:color="auto"/>
            </w:tcBorders>
            <w:gridSpan w:val="2"/>
          </w:tcPr>
          <w:p>
            <w:pPr>
              <w:ind w:left="260"/>
              <w:spacing w:after="0" w:line="194" w:lineRule="exact"/>
              <w:rPr>
                <w:sz w:val="20"/>
                <w:szCs w:val="20"/>
                <w:color w:val="auto"/>
              </w:rPr>
            </w:pPr>
            <w:r>
              <w:rPr>
                <w:rFonts w:ascii="Times New Roman" w:cs="Times New Roman" w:eastAsia="Times New Roman" w:hAnsi="Times New Roman"/>
                <w:sz w:val="18"/>
                <w:szCs w:val="18"/>
                <w:b w:val="1"/>
                <w:bCs w:val="1"/>
                <w:color w:val="auto"/>
              </w:rPr>
              <w:t>Number</w:t>
            </w:r>
          </w:p>
        </w:tc>
        <w:tc>
          <w:tcPr>
            <w:tcW w:w="1140" w:type="dxa"/>
            <w:vAlign w:val="bottom"/>
            <w:tcBorders>
              <w:top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45"/>
        </w:trPr>
        <w:tc>
          <w:tcPr>
            <w:tcW w:w="4620" w:type="dxa"/>
            <w:vAlign w:val="bottom"/>
          </w:tcPr>
          <w:p>
            <w:pPr>
              <w:spacing w:after="0"/>
              <w:rPr>
                <w:sz w:val="21"/>
                <w:szCs w:val="21"/>
                <w:color w:val="auto"/>
              </w:rPr>
            </w:pPr>
          </w:p>
        </w:tc>
        <w:tc>
          <w:tcPr>
            <w:tcW w:w="13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of shares</w:t>
            </w:r>
          </w:p>
        </w:tc>
        <w:tc>
          <w:tcPr>
            <w:tcW w:w="1380" w:type="dxa"/>
            <w:vAlign w:val="bottom"/>
            <w:gridSpan w:val="2"/>
          </w:tcPr>
          <w:p>
            <w:pPr>
              <w:ind w:left="220"/>
              <w:spacing w:after="0"/>
              <w:rPr>
                <w:sz w:val="20"/>
                <w:szCs w:val="20"/>
                <w:color w:val="auto"/>
              </w:rPr>
            </w:pPr>
            <w:r>
              <w:rPr>
                <w:rFonts w:ascii="Times New Roman" w:cs="Times New Roman" w:eastAsia="Times New Roman" w:hAnsi="Times New Roman"/>
                <w:sz w:val="18"/>
                <w:szCs w:val="18"/>
                <w:b w:val="1"/>
                <w:bCs w:val="1"/>
                <w:color w:val="auto"/>
              </w:rPr>
              <w:t>Amounts</w:t>
            </w:r>
          </w:p>
        </w:tc>
        <w:tc>
          <w:tcPr>
            <w:tcW w:w="1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Amounts</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16"/>
        </w:trPr>
        <w:tc>
          <w:tcPr>
            <w:tcW w:w="4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2019</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18,949,968</w:t>
            </w:r>
          </w:p>
        </w:tc>
        <w:tc>
          <w:tcPr>
            <w:tcW w:w="2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520</w:t>
            </w:r>
          </w:p>
        </w:tc>
        <w:tc>
          <w:tcPr>
            <w:tcW w:w="240" w:type="dxa"/>
            <w:vAlign w:val="bottom"/>
            <w:shd w:val="clear" w:color="auto" w:fill="CCEEFF"/>
          </w:tcPr>
          <w:p>
            <w:pPr>
              <w:spacing w:after="0"/>
              <w:rPr>
                <w:sz w:val="18"/>
                <w:szCs w:val="18"/>
                <w:color w:val="auto"/>
              </w:rPr>
            </w:pPr>
          </w:p>
        </w:tc>
        <w:tc>
          <w:tcPr>
            <w:tcW w:w="1320" w:type="dxa"/>
            <w:vAlign w:val="bottom"/>
            <w:tcBorders>
              <w:top w:val="single" w:sz="8" w:color="auto"/>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190,853</w:t>
            </w:r>
          </w:p>
        </w:tc>
        <w:tc>
          <w:tcPr>
            <w:tcW w:w="1320" w:type="dxa"/>
            <w:vAlign w:val="bottom"/>
            <w:tcBorders>
              <w:top w:val="single" w:sz="8" w:color="auto"/>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(127,464)</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63,909</w:t>
            </w: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2019:</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loss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(24,609)</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(24,609)</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15,332</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198"/>
        </w:trPr>
        <w:tc>
          <w:tcPr>
            <w:tcW w:w="4620" w:type="dxa"/>
            <w:vAlign w:val="bottom"/>
            <w:shd w:val="clear" w:color="auto" w:fill="CCEEFF"/>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through public offering, net of issuance</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costs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1,437,500</w:t>
            </w:r>
          </w:p>
        </w:tc>
        <w:tc>
          <w:tcPr>
            <w:tcW w:w="24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41</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10,572</w:t>
            </w:r>
          </w:p>
        </w:tc>
        <w:tc>
          <w:tcPr>
            <w:tcW w:w="1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10,613</w:t>
            </w:r>
          </w:p>
        </w:tc>
      </w:tr>
      <w:tr>
        <w:trPr>
          <w:trHeight w:val="223"/>
        </w:trPr>
        <w:tc>
          <w:tcPr>
            <w:tcW w:w="46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2,552</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2,552</w:t>
            </w:r>
          </w:p>
        </w:tc>
      </w:tr>
      <w:tr>
        <w:trPr>
          <w:trHeight w:val="256"/>
        </w:trPr>
        <w:tc>
          <w:tcPr>
            <w:tcW w:w="4620" w:type="dxa"/>
            <w:vAlign w:val="bottom"/>
            <w:tcBorders>
              <w:bottom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2019</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20,402,800</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561</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203,977</w:t>
            </w:r>
          </w:p>
        </w:tc>
        <w:tc>
          <w:tcPr>
            <w:tcW w:w="2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(152,073)</w:t>
            </w:r>
          </w:p>
        </w:tc>
        <w:tc>
          <w:tcPr>
            <w:tcW w:w="2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52,465</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2020:</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loss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(29,290)</w:t>
            </w:r>
          </w:p>
        </w:tc>
      </w:tr>
      <w:tr>
        <w:trPr>
          <w:trHeight w:val="198"/>
        </w:trPr>
        <w:tc>
          <w:tcPr>
            <w:tcW w:w="4620" w:type="dxa"/>
            <w:vAlign w:val="bottom"/>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and warrants through public offering,</w:t>
            </w: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net of issuance costs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2,091,907</w:t>
            </w:r>
          </w:p>
        </w:tc>
        <w:tc>
          <w:tcPr>
            <w:tcW w:w="240" w:type="dxa"/>
            <w:vAlign w:val="bottom"/>
          </w:tcPr>
          <w:p>
            <w:pPr>
              <w:spacing w:after="0"/>
              <w:rPr>
                <w:sz w:val="20"/>
                <w:szCs w:val="20"/>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61</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21,245</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21,306</w:t>
            </w:r>
          </w:p>
        </w:tc>
      </w:tr>
      <w:tr>
        <w:trPr>
          <w:trHeight w:val="198"/>
        </w:trPr>
        <w:tc>
          <w:tcPr>
            <w:tcW w:w="4620" w:type="dxa"/>
            <w:vAlign w:val="bottom"/>
            <w:shd w:val="clear" w:color="auto" w:fill="CCEEFF"/>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and warrants through private placement</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from the controlling shareholder</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454,628</w:t>
            </w:r>
          </w:p>
        </w:tc>
        <w:tc>
          <w:tcPr>
            <w:tcW w:w="24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13</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4,987</w:t>
            </w:r>
          </w:p>
        </w:tc>
        <w:tc>
          <w:tcPr>
            <w:tcW w:w="1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5,000</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23,000</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Exercise of options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28,447</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151</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151</w:t>
            </w:r>
          </w:p>
        </w:tc>
      </w:tr>
      <w:tr>
        <w:trPr>
          <w:trHeight w:val="223"/>
        </w:trPr>
        <w:tc>
          <w:tcPr>
            <w:tcW w:w="46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1,217</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1,217</w:t>
            </w:r>
          </w:p>
        </w:tc>
      </w:tr>
      <w:tr>
        <w:trPr>
          <w:trHeight w:val="256"/>
        </w:trPr>
        <w:tc>
          <w:tcPr>
            <w:tcW w:w="4620" w:type="dxa"/>
            <w:vAlign w:val="bottom"/>
            <w:tcBorders>
              <w:bottom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23,000,782</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635</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231,577</w:t>
            </w:r>
          </w:p>
        </w:tc>
        <w:tc>
          <w:tcPr>
            <w:tcW w:w="2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(181,363)</w:t>
            </w:r>
          </w:p>
        </w:tc>
        <w:tc>
          <w:tcPr>
            <w:tcW w:w="2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50,849</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2021:</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income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3,221</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Issuance of shares through ATM, net of issuance costs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41,154</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504</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505</w:t>
            </w: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19,170</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Exercise of options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65,698</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330</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332</w:t>
            </w:r>
          </w:p>
        </w:tc>
      </w:tr>
      <w:tr>
        <w:trPr>
          <w:trHeight w:val="216"/>
        </w:trPr>
        <w:tc>
          <w:tcPr>
            <w:tcW w:w="46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687</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687</w:t>
            </w:r>
          </w:p>
        </w:tc>
      </w:tr>
      <w:tr>
        <w:trPr>
          <w:trHeight w:val="27"/>
        </w:trPr>
        <w:tc>
          <w:tcPr>
            <w:tcW w:w="46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1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23,126,804</w:t>
            </w:r>
          </w:p>
        </w:tc>
        <w:tc>
          <w:tcPr>
            <w:tcW w:w="240" w:type="dxa"/>
            <w:vAlign w:val="bottom"/>
          </w:tcPr>
          <w:p>
            <w:pPr>
              <w:spacing w:after="0"/>
              <w:rPr>
                <w:sz w:val="18"/>
                <w:szCs w:val="18"/>
                <w:color w:val="auto"/>
              </w:rPr>
            </w:pPr>
          </w:p>
        </w:tc>
        <w:tc>
          <w:tcPr>
            <w:tcW w:w="11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638</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line="196" w:lineRule="exact"/>
              <w:rPr>
                <w:sz w:val="20"/>
                <w:szCs w:val="20"/>
                <w:color w:val="auto"/>
              </w:rPr>
            </w:pPr>
            <w:r>
              <w:rPr>
                <w:rFonts w:ascii="Times New Roman" w:cs="Times New Roman" w:eastAsia="Times New Roman" w:hAnsi="Times New Roman"/>
                <w:sz w:val="18"/>
                <w:szCs w:val="18"/>
                <w:color w:val="auto"/>
              </w:rPr>
              <w:t>233,098</w:t>
            </w:r>
          </w:p>
        </w:tc>
        <w:tc>
          <w:tcPr>
            <w:tcW w:w="1320" w:type="dxa"/>
            <w:vAlign w:val="bottom"/>
            <w:gridSpan w:val="2"/>
          </w:tcPr>
          <w:p>
            <w:pPr>
              <w:jc w:val="right"/>
              <w:ind w:right="160"/>
              <w:spacing w:after="0" w:line="196" w:lineRule="exact"/>
              <w:rPr>
                <w:sz w:val="20"/>
                <w:szCs w:val="20"/>
                <w:color w:val="auto"/>
              </w:rPr>
            </w:pPr>
            <w:r>
              <w:rPr>
                <w:rFonts w:ascii="Times New Roman" w:cs="Times New Roman" w:eastAsia="Times New Roman" w:hAnsi="Times New Roman"/>
                <w:sz w:val="18"/>
                <w:szCs w:val="18"/>
                <w:color w:val="auto"/>
              </w:rPr>
              <w:t>(178,142)</w:t>
            </w:r>
          </w:p>
        </w:tc>
        <w:tc>
          <w:tcPr>
            <w:tcW w:w="1220" w:type="dxa"/>
            <w:vAlign w:val="bottom"/>
            <w:gridSpan w:val="2"/>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55,594</w:t>
            </w:r>
          </w:p>
        </w:tc>
      </w:tr>
      <w:tr>
        <w:trPr>
          <w:trHeight w:val="20"/>
        </w:trPr>
        <w:tc>
          <w:tcPr>
            <w:tcW w:w="46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Less than 1,000.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66"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4" w:name="page45"/>
    <w:bookmarkEnd w:id="44"/>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73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740" w:type="dxa"/>
            <w:vAlign w:val="bottom"/>
            <w:tcBorders>
              <w:bottom w:val="single" w:sz="8" w:color="auto"/>
            </w:tcBorders>
            <w:gridSpan w:val="6"/>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8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income (loss) for the year</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(24,609)</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Adjustments required to reconcile net income (loss) to net cash used in operating activities: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Depreciation</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946</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880</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Loss from disposal of property and equipment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Changes in accrued liability for employee rights upon retirement</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Share-based compensation expenses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2,552</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1,217</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687</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Net changes in operating leases</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71</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Changes in fair value of marketable securities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138</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(125)</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Finance expenses, net</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Changes in operating asset and liabilities: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(4,120)</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1,967</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(10,912)</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1,694</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219</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274</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Accounts payable, accrued expenses and other</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(542)</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5,620</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(7,402)</w:t>
            </w:r>
          </w:p>
        </w:tc>
      </w:tr>
      <w:tr>
        <w:trPr>
          <w:trHeight w:val="27"/>
        </w:trPr>
        <w:tc>
          <w:tcPr>
            <w:tcW w:w="73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23"/>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(22,500)</w:t>
            </w:r>
          </w:p>
        </w:tc>
        <w:tc>
          <w:tcPr>
            <w:tcW w:w="24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(25,241)</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(7,691)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(597)</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(449)</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(143)</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(21,400)</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w:t>
            </w: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Restricted long-term deposits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Investments in marketable securities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(38,702)</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(32,322)</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(6,716)</w:t>
            </w:r>
          </w:p>
        </w:tc>
      </w:tr>
      <w:tr>
        <w:trPr>
          <w:trHeight w:val="223"/>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Proceeds from sales and maturity of marketable securities</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54,333</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51,498</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26,784</w:t>
            </w:r>
          </w:p>
        </w:tc>
      </w:tr>
      <w:tr>
        <w:trPr>
          <w:trHeight w:val="223"/>
        </w:trPr>
        <w:tc>
          <w:tcPr>
            <w:tcW w:w="732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16,024</w:t>
            </w:r>
          </w:p>
        </w:tc>
        <w:tc>
          <w:tcPr>
            <w:tcW w:w="24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(2,694)</w:t>
            </w:r>
          </w:p>
        </w:tc>
        <w:tc>
          <w:tcPr>
            <w:tcW w:w="2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19,872</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Proceeds from issuance of shares through ATM, net of issuance costs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505</w:t>
            </w: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Proceeds from exercise of options granted to employees</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151</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332</w:t>
            </w:r>
          </w:p>
        </w:tc>
      </w:tr>
      <w:tr>
        <w:trPr>
          <w:trHeight w:val="198"/>
        </w:trPr>
        <w:tc>
          <w:tcPr>
            <w:tcW w:w="7320" w:type="dxa"/>
            <w:vAlign w:val="bottom"/>
            <w:shd w:val="clear" w:color="auto" w:fill="CCEEFF"/>
          </w:tcPr>
          <w:p>
            <w:pPr>
              <w:ind w:left="160"/>
              <w:spacing w:after="0" w:line="198" w:lineRule="exact"/>
              <w:rPr>
                <w:sz w:val="20"/>
                <w:szCs w:val="20"/>
                <w:color w:val="auto"/>
              </w:rPr>
            </w:pPr>
            <w:r>
              <w:rPr>
                <w:rFonts w:ascii="Times New Roman" w:cs="Times New Roman" w:eastAsia="Times New Roman" w:hAnsi="Times New Roman"/>
                <w:sz w:val="18"/>
                <w:szCs w:val="18"/>
                <w:color w:val="auto"/>
              </w:rPr>
              <w:t>Proceeds from issuance of shares and warrants through public offering,</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73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net of issuance costs</w:t>
            </w: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10,613</w:t>
            </w: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21,306</w:t>
            </w:r>
          </w:p>
        </w:tc>
        <w:tc>
          <w:tcPr>
            <w:tcW w:w="28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8"/>
        </w:trPr>
        <w:tc>
          <w:tcPr>
            <w:tcW w:w="7320" w:type="dxa"/>
            <w:vAlign w:val="bottom"/>
          </w:tcPr>
          <w:p>
            <w:pPr>
              <w:ind w:left="160"/>
              <w:spacing w:after="0" w:line="198" w:lineRule="exact"/>
              <w:rPr>
                <w:sz w:val="20"/>
                <w:szCs w:val="20"/>
                <w:color w:val="auto"/>
              </w:rPr>
            </w:pPr>
            <w:r>
              <w:rPr>
                <w:rFonts w:ascii="Times New Roman" w:cs="Times New Roman" w:eastAsia="Times New Roman" w:hAnsi="Times New Roman"/>
                <w:sz w:val="18"/>
                <w:szCs w:val="18"/>
                <w:color w:val="auto"/>
              </w:rPr>
              <w:t>Net proceeds from issuance of shares and warrants to the controlling shareholder through private</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placement</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5,000</w:t>
            </w: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32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10,613</w:t>
            </w:r>
          </w:p>
        </w:tc>
        <w:tc>
          <w:tcPr>
            <w:tcW w:w="24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26,457</w:t>
            </w:r>
          </w:p>
        </w:tc>
        <w:tc>
          <w:tcPr>
            <w:tcW w:w="2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837</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EFFECT OF EXCHANGE RATE ON CASH AND CASH EQUIVALENTS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(55)</w:t>
            </w:r>
          </w:p>
        </w:tc>
      </w:tr>
      <w:tr>
        <w:trPr>
          <w:trHeight w:val="223"/>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INCREASE (DECREASE) IN CASH AND CASH EQUIVALENTS</w:t>
            </w: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4,087</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(1,490)</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12,963</w:t>
            </w:r>
          </w:p>
        </w:tc>
      </w:tr>
      <w:tr>
        <w:trPr>
          <w:trHeight w:val="194"/>
        </w:trPr>
        <w:tc>
          <w:tcPr>
            <w:tcW w:w="7320" w:type="dxa"/>
            <w:vAlign w:val="bottom"/>
            <w:tcBorders>
              <w:top w:val="single" w:sz="8" w:color="CCEEFF"/>
            </w:tcBorders>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CASH AND CASH EQUIVALENTS AND RESRICTED CASH AT BEGINNING OF THE</w:t>
            </w: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38"/>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YEAR</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5,675</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9,762</w:t>
            </w: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8,272</w:t>
            </w:r>
          </w:p>
        </w:tc>
      </w:tr>
      <w:tr>
        <w:trPr>
          <w:trHeight w:val="257"/>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AND RESTRICTED CASH AT END OF THE YEAR</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9,762</w:t>
            </w:r>
          </w:p>
        </w:tc>
        <w:tc>
          <w:tcPr>
            <w:tcW w:w="24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8,272</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21,235</w:t>
            </w:r>
          </w:p>
        </w:tc>
      </w:tr>
      <w:tr>
        <w:trPr>
          <w:trHeight w:val="209"/>
        </w:trPr>
        <w:tc>
          <w:tcPr>
            <w:tcW w:w="73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9,412</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7,122</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20,085</w:t>
            </w:r>
          </w:p>
        </w:tc>
      </w:tr>
      <w:tr>
        <w:trPr>
          <w:trHeight w:val="223"/>
        </w:trPr>
        <w:tc>
          <w:tcPr>
            <w:tcW w:w="732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1,150</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1,150</w:t>
            </w:r>
          </w:p>
        </w:tc>
      </w:tr>
      <w:tr>
        <w:trPr>
          <w:trHeight w:val="194"/>
        </w:trPr>
        <w:tc>
          <w:tcPr>
            <w:tcW w:w="7320" w:type="dxa"/>
            <w:vAlign w:val="bottom"/>
            <w:shd w:val="clear" w:color="auto" w:fill="CCEEFF"/>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CASH AND CASH EQUIVALENTS AND RESTRICTED CASH SHOWN IN STATEMENT</w:t>
            </w:r>
          </w:p>
        </w:tc>
        <w:tc>
          <w:tcPr>
            <w:tcW w:w="24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79"/>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b w:val="1"/>
                <w:bCs w:val="1"/>
                <w:color w:val="auto"/>
              </w:rPr>
              <w:t>OF CASH FLOWS</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9,762</w:t>
            </w:r>
          </w:p>
        </w:tc>
        <w:tc>
          <w:tcPr>
            <w:tcW w:w="24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8,272</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21,235</w:t>
            </w:r>
          </w:p>
        </w:tc>
      </w:tr>
      <w:tr>
        <w:trPr>
          <w:trHeight w:val="187"/>
        </w:trPr>
        <w:tc>
          <w:tcPr>
            <w:tcW w:w="7320" w:type="dxa"/>
            <w:vAlign w:val="bottom"/>
            <w:tcBorders>
              <w:top w:val="single" w:sz="8" w:color="CCEEFF"/>
            </w:tcBorders>
          </w:tcPr>
          <w:p>
            <w:pPr>
              <w:spacing w:after="0" w:line="188" w:lineRule="exact"/>
              <w:rPr>
                <w:sz w:val="20"/>
                <w:szCs w:val="20"/>
                <w:color w:val="auto"/>
              </w:rPr>
            </w:pPr>
            <w:r>
              <w:rPr>
                <w:rFonts w:ascii="Times New Roman" w:cs="Times New Roman" w:eastAsia="Times New Roman" w:hAnsi="Times New Roman"/>
                <w:sz w:val="18"/>
                <w:szCs w:val="18"/>
                <w:b w:val="1"/>
                <w:bCs w:val="1"/>
                <w:color w:val="auto"/>
              </w:rPr>
              <w:t>SUPPLEMENTARY INFORMATION ON INVESTING AND FINANCING ACTIVITIES</w:t>
            </w: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38"/>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NOT INVOLVING CASH FLOWS:</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spacing w:after="0"/>
              <w:rPr>
                <w:sz w:val="18"/>
                <w:szCs w:val="18"/>
                <w:color w:val="auto"/>
              </w:rPr>
            </w:pPr>
          </w:p>
        </w:tc>
      </w:tr>
      <w:tr>
        <w:trPr>
          <w:trHeight w:val="216"/>
        </w:trPr>
        <w:tc>
          <w:tcPr>
            <w:tcW w:w="73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Recognition of new operating lease ROU and liabilities</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1,329</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378</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253</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SUPPLEMENTARY INFORMATION: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taxes paid</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73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received</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1,600</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770</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774</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5" w:name="page46"/>
    <w:bookmarkEnd w:id="45"/>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THE CONSOLIDATED FINANCIAL STATEMENTS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 — NATURE OF OPERATIONS</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Sol-Gel Technologies Ltd. (collectively with its subsidiary, the Company) is an Israeli Company incorporated in 1997.</w:t>
      </w:r>
    </w:p>
    <w:p>
      <w:pPr>
        <w:spacing w:after="0" w:line="225" w:lineRule="exact"/>
        <w:rPr>
          <w:sz w:val="20"/>
          <w:szCs w:val="20"/>
          <w:color w:val="auto"/>
        </w:rPr>
      </w:pPr>
    </w:p>
    <w:p>
      <w:pPr>
        <w:ind w:left="360"/>
        <w:spacing w:after="0" w:line="252" w:lineRule="auto"/>
        <w:rPr>
          <w:sz w:val="20"/>
          <w:szCs w:val="20"/>
          <w:color w:val="auto"/>
        </w:rPr>
      </w:pPr>
      <w:r>
        <w:rPr>
          <w:rFonts w:ascii="Times New Roman" w:cs="Times New Roman" w:eastAsia="Times New Roman" w:hAnsi="Times New Roman"/>
          <w:sz w:val="18"/>
          <w:szCs w:val="18"/>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The most advanced investigational drugs in the Company's product pipeline are: (i) Twyneo®, which is developed for the treatment of acne vulgaris and (ii) Epsolay®, a potential treatment for subtype II rosacea. The New Drug Application ("NDA") for Twyneo® was accepted by the U.S. Food and Drug Administration (the “FDA”), which assigned a Prescription Drug User Fee Act ("PDUFA") goal date of August 1, 2021. The NDA for Epsolay® was accepted by the FDA, which assigned a PDUFA goal date of April 26, 2021. On such PDUFA goal date, the Company received confirmation from the FDA that action on the NDA could not be taken since a pre-approval inspection of the production site of Epsolay® still needs to be conducted. On February 18,2022 the FDA conducted a pre-approval inspection of the production site for Epsolay®, currently pending approval by the FDA. In June 2021, the Company entered into two exclusive license agreements with Galderma for the commercialization of Twyneo® and Epsolay®, in the United States, see note 8. On July 27, 2021, the Company announced that the FDA approved the drug product, Twyneo®. In addition to the novel product candidates, the Company’s products included the generic products Acyclovir, Ivermectin and other generic product candidates. In November 2021, the company entered into an agreement with Padagis, to sell its rights in relation to ten generic collaborative agreements between the parties, including the agreements for two approved generic drug products. Under the new agreement, the company has retained collaboration rights to two generic programs related to four generic drug candidates, see note 7b.</w:t>
      </w:r>
    </w:p>
    <w:p>
      <w:pPr>
        <w:spacing w:after="0" w:line="197" w:lineRule="exact"/>
        <w:rPr>
          <w:sz w:val="20"/>
          <w:szCs w:val="20"/>
          <w:color w:val="auto"/>
        </w:rPr>
      </w:pPr>
    </w:p>
    <w:p>
      <w:pPr>
        <w:ind w:left="360" w:right="80"/>
        <w:spacing w:after="0" w:line="282" w:lineRule="auto"/>
        <w:rPr>
          <w:sz w:val="20"/>
          <w:szCs w:val="20"/>
          <w:color w:val="auto"/>
        </w:rPr>
      </w:pPr>
      <w:r>
        <w:rPr>
          <w:rFonts w:ascii="Times New Roman" w:cs="Times New Roman" w:eastAsia="Times New Roman" w:hAnsi="Times New Roman"/>
          <w:sz w:val="18"/>
          <w:szCs w:val="18"/>
          <w:color w:val="auto"/>
        </w:rPr>
        <w:t>The Company has a wholly owned U.S. subsidiary - Sol-Gel Technologies Inc. (the "Subsidiary"). The Subsidiary supports the Company with regard to marketing, regulatory affairs and business development relating to its products and technology in the U.S.</w:t>
      </w:r>
    </w:p>
    <w:p>
      <w:pPr>
        <w:spacing w:after="0" w:line="162" w:lineRule="exact"/>
        <w:rPr>
          <w:sz w:val="20"/>
          <w:szCs w:val="20"/>
          <w:color w:val="auto"/>
        </w:rPr>
      </w:pPr>
    </w:p>
    <w:p>
      <w:pPr>
        <w:ind w:left="360" w:right="120"/>
        <w:spacing w:after="0" w:line="266" w:lineRule="auto"/>
        <w:rPr>
          <w:sz w:val="20"/>
          <w:szCs w:val="20"/>
          <w:color w:val="auto"/>
        </w:rPr>
      </w:pPr>
      <w:r>
        <w:rPr>
          <w:rFonts w:ascii="Times New Roman" w:cs="Times New Roman" w:eastAsia="Times New Roman" w:hAnsi="Times New Roman"/>
          <w:sz w:val="18"/>
          <w:szCs w:val="18"/>
          <w:color w:val="auto"/>
        </w:rPr>
        <w:t>Since incorporation through December 31, 2021, the Company has an accumulated deficit of approximately $178,142 and its activities have been funded mainly by its shareholders, collaboration revenues and license agreements, see also Notes 7 and 8. The Company expects to continue to incur significant research and development and other costs related to its ongoing operations.</w:t>
      </w:r>
    </w:p>
    <w:p>
      <w:pPr>
        <w:spacing w:after="0" w:line="176" w:lineRule="exact"/>
        <w:rPr>
          <w:sz w:val="20"/>
          <w:szCs w:val="20"/>
          <w:color w:val="auto"/>
        </w:rPr>
      </w:pPr>
    </w:p>
    <w:p>
      <w:pPr>
        <w:ind w:left="360"/>
        <w:spacing w:after="0" w:line="261" w:lineRule="auto"/>
        <w:rPr>
          <w:sz w:val="20"/>
          <w:szCs w:val="20"/>
          <w:color w:val="auto"/>
        </w:rPr>
      </w:pPr>
      <w:r>
        <w:rPr>
          <w:rFonts w:ascii="Times New Roman" w:cs="Times New Roman" w:eastAsia="Times New Roman" w:hAnsi="Times New Roman"/>
          <w:sz w:val="18"/>
          <w:szCs w:val="18"/>
          <w:color w:val="auto"/>
        </w:rPr>
        <w:t>In addition, management is continuing to analyze cash resources and considering raising additional funding from different sources, such as corporate collaborations, public or private equity offerings and/or debt financings, and/or selling shares under the Company's Open Market Sale Agreement with Jefferies LLC. Management expects that the Company's cash and cash equivalents, deposits and marketable securities as of December 31, 2021 will allow the Company to fund its operating plan through at least the next 12 months from the financial statement issuance date.</w:t>
      </w:r>
    </w:p>
    <w:p>
      <w:pPr>
        <w:spacing w:after="0" w:line="180" w:lineRule="exact"/>
        <w:rPr>
          <w:sz w:val="20"/>
          <w:szCs w:val="20"/>
          <w:color w:val="auto"/>
        </w:rPr>
      </w:pPr>
    </w:p>
    <w:p>
      <w:pPr>
        <w:ind w:left="360" w:right="500"/>
        <w:spacing w:after="0" w:line="282" w:lineRule="auto"/>
        <w:rPr>
          <w:sz w:val="20"/>
          <w:szCs w:val="20"/>
          <w:color w:val="auto"/>
        </w:rPr>
      </w:pPr>
      <w:r>
        <w:rPr>
          <w:rFonts w:ascii="Times New Roman" w:cs="Times New Roman" w:eastAsia="Times New Roman" w:hAnsi="Times New Roman"/>
          <w:sz w:val="18"/>
          <w:szCs w:val="18"/>
          <w:color w:val="auto"/>
        </w:rPr>
        <w:t>The Company is subject to risks and uncertainties as a result of the COVID-19 pandemic. To date, the impact of COVID-19 pandemic has been limited and resulted in delays with respect to pre-approval inspections.</w:t>
      </w:r>
    </w:p>
    <w:p>
      <w:pPr>
        <w:spacing w:after="0" w:line="162" w:lineRule="exact"/>
        <w:rPr>
          <w:sz w:val="20"/>
          <w:szCs w:val="20"/>
          <w:color w:val="auto"/>
        </w:rPr>
      </w:pPr>
    </w:p>
    <w:p>
      <w:pPr>
        <w:ind w:left="360" w:right="340"/>
        <w:spacing w:after="0" w:line="277" w:lineRule="auto"/>
        <w:rPr>
          <w:sz w:val="20"/>
          <w:szCs w:val="20"/>
          <w:color w:val="auto"/>
        </w:rPr>
      </w:pPr>
      <w:r>
        <w:rPr>
          <w:rFonts w:ascii="Times New Roman" w:cs="Times New Roman" w:eastAsia="Times New Roman" w:hAnsi="Times New Roman"/>
          <w:sz w:val="17"/>
          <w:szCs w:val="17"/>
          <w:color w:val="auto"/>
        </w:rPr>
        <w:t>The full extent to which the COVID-19 pandemic will directly or indirectly impact the Company's business, results of operations and financial condition, including revenues from collaboration arrangements, expenses, reserves and allowances, manufacturing, supply, regulatory approvals, clinical trials, commercial launch of branded and generic product candidates, research and development costs and employee-related amounts, will depend on future developments that are highly uncertain and cannot be predicted. The Company continues to monitor and assess new information related to the COVID-19 pandemic, the actions taken to contain or treat COVID-19, as well as the economic impact on various markets.</w:t>
      </w:r>
    </w:p>
    <w:p>
      <w:pPr>
        <w:spacing w:after="0" w:line="1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46" w:name="page47"/>
    <w:bookmarkEnd w:id="46"/>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 — NATURE OF OPERATIONS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9" w:lineRule="exact"/>
        <w:rPr>
          <w:sz w:val="20"/>
          <w:szCs w:val="20"/>
          <w:color w:val="auto"/>
        </w:rPr>
      </w:pPr>
    </w:p>
    <w:p>
      <w:pPr>
        <w:ind w:left="360" w:right="120"/>
        <w:spacing w:after="0" w:line="266" w:lineRule="auto"/>
        <w:rPr>
          <w:sz w:val="20"/>
          <w:szCs w:val="20"/>
          <w:color w:val="auto"/>
        </w:rPr>
      </w:pPr>
      <w:r>
        <w:rPr>
          <w:rFonts w:ascii="Times New Roman" w:cs="Times New Roman" w:eastAsia="Times New Roman" w:hAnsi="Times New Roman"/>
          <w:sz w:val="18"/>
          <w:szCs w:val="18"/>
          <w:color w:val="auto"/>
        </w:rPr>
        <w:t>Furthermore, the estimation process required to prepare the Company’s consolidated financial statements requires assumptions to be made about future events and conditions and the impact of COVID-19 on its financial results, and while management believes such assumptions are reasonable, they are inherently subjective and uncertain. The Company’s actual results could differ materially from those estimates.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2 — SIGNIFICANT ACCOUNTING POLICIES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229" w:lineRule="exact"/>
        <w:rPr>
          <w:sz w:val="20"/>
          <w:szCs w:val="20"/>
          <w:color w:val="auto"/>
        </w:rPr>
      </w:pPr>
    </w:p>
    <w:p>
      <w:pPr>
        <w:ind w:left="360"/>
        <w:spacing w:after="0" w:line="282" w:lineRule="auto"/>
        <w:rPr>
          <w:sz w:val="20"/>
          <w:szCs w:val="20"/>
          <w:color w:val="auto"/>
        </w:rPr>
      </w:pPr>
      <w:r>
        <w:rPr>
          <w:rFonts w:ascii="Times New Roman" w:cs="Times New Roman" w:eastAsia="Times New Roman" w:hAnsi="Times New Roman"/>
          <w:sz w:val="18"/>
          <w:szCs w:val="18"/>
          <w:color w:val="auto"/>
        </w:rPr>
        <w:t>The Company’s financial statements have been prepared in accordance with generally accepted accounting principles in the United States of America (“U.S. GAAP”).</w:t>
      </w:r>
    </w:p>
    <w:p>
      <w:pPr>
        <w:spacing w:after="0" w:line="158" w:lineRule="exact"/>
        <w:rPr>
          <w:sz w:val="20"/>
          <w:szCs w:val="20"/>
          <w:color w:val="auto"/>
        </w:rPr>
      </w:pPr>
    </w:p>
    <w:p>
      <w:pPr>
        <w:ind w:left="360" w:hanging="352"/>
        <w:spacing w:after="0"/>
        <w:tabs>
          <w:tab w:leader="none" w:pos="36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Use of estimates in the preparation of financial statements</w:t>
      </w:r>
    </w:p>
    <w:p>
      <w:pPr>
        <w:spacing w:after="0" w:line="229" w:lineRule="exact"/>
        <w:rPr>
          <w:rFonts w:ascii="Times New Roman" w:cs="Times New Roman" w:eastAsia="Times New Roman" w:hAnsi="Times New Roman"/>
          <w:sz w:val="18"/>
          <w:szCs w:val="18"/>
          <w:b w:val="1"/>
          <w:bCs w:val="1"/>
          <w:color w:val="auto"/>
        </w:rPr>
      </w:pPr>
    </w:p>
    <w:p>
      <w:pPr>
        <w:ind w:left="360" w:right="3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75" w:lineRule="exact"/>
        <w:rPr>
          <w:rFonts w:ascii="Times New Roman" w:cs="Times New Roman" w:eastAsia="Times New Roman" w:hAnsi="Times New Roman"/>
          <w:sz w:val="18"/>
          <w:szCs w:val="18"/>
          <w:b w:val="1"/>
          <w:bCs w:val="1"/>
          <w:color w:val="auto"/>
        </w:rPr>
      </w:pPr>
    </w:p>
    <w:p>
      <w:pPr>
        <w:ind w:left="360" w:right="5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applicable to these consolidated financial statements, the most significant estimates and assumptions relate to the fair value of share-based compensation and the incremental borrowing rate for leases.</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Functional and presentation currency</w:t>
      </w:r>
    </w:p>
    <w:p>
      <w:pPr>
        <w:spacing w:after="0" w:line="229" w:lineRule="exact"/>
        <w:rPr>
          <w:rFonts w:ascii="Times New Roman" w:cs="Times New Roman" w:eastAsia="Times New Roman" w:hAnsi="Times New Roman"/>
          <w:sz w:val="18"/>
          <w:szCs w:val="18"/>
          <w:b w:val="1"/>
          <w:bCs w:val="1"/>
          <w:color w:val="auto"/>
        </w:rPr>
      </w:pPr>
    </w:p>
    <w:p>
      <w:pPr>
        <w:ind w:left="360" w:right="2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U.S. dollar (“dollar”) is the currency of the primary economic environment in which the operations of the Company and its subsidiary are conducted. The Company’s financing has been provided in dollars, revenues are primarily in dollars and a significant part of expenses are incurred in dollars. The financial statements are presented in dollars, which is the Company’s functional and presentation currency.</w:t>
      </w:r>
    </w:p>
    <w:p>
      <w:pPr>
        <w:spacing w:after="0" w:line="175" w:lineRule="exact"/>
        <w:rPr>
          <w:rFonts w:ascii="Times New Roman" w:cs="Times New Roman" w:eastAsia="Times New Roman" w:hAnsi="Times New Roman"/>
          <w:sz w:val="18"/>
          <w:szCs w:val="18"/>
          <w:b w:val="1"/>
          <w:bCs w:val="1"/>
          <w:color w:val="auto"/>
        </w:rPr>
      </w:pPr>
    </w:p>
    <w:p>
      <w:pPr>
        <w:ind w:left="360" w:right="140"/>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79"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Cash and cash equivalents</w:t>
      </w:r>
    </w:p>
    <w:p>
      <w:pPr>
        <w:spacing w:after="0" w:line="229" w:lineRule="exact"/>
        <w:rPr>
          <w:rFonts w:ascii="Times New Roman" w:cs="Times New Roman" w:eastAsia="Times New Roman" w:hAnsi="Times New Roman"/>
          <w:sz w:val="18"/>
          <w:szCs w:val="18"/>
          <w:b w:val="1"/>
          <w:bCs w:val="1"/>
          <w:color w:val="auto"/>
        </w:rPr>
      </w:pPr>
    </w:p>
    <w:p>
      <w:pPr>
        <w:jc w:val="both"/>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57" w:lineRule="exact"/>
        <w:rPr>
          <w:rFonts w:ascii="Times New Roman" w:cs="Times New Roman" w:eastAsia="Times New Roman" w:hAnsi="Times New Roman"/>
          <w:sz w:val="18"/>
          <w:szCs w:val="18"/>
          <w:b w:val="1"/>
          <w:bCs w:val="1"/>
          <w:color w:val="auto"/>
        </w:rPr>
      </w:pPr>
    </w:p>
    <w:p>
      <w:pPr>
        <w:ind w:left="380" w:hanging="372"/>
        <w:spacing w:after="0"/>
        <w:tabs>
          <w:tab w:leader="none" w:pos="380" w:val="left"/>
        </w:tabs>
        <w:numPr>
          <w:ilvl w:val="0"/>
          <w:numId w:val="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Bank deposits</w:t>
      </w:r>
    </w:p>
    <w:p>
      <w:pPr>
        <w:spacing w:after="0" w:line="229" w:lineRule="exact"/>
        <w:rPr>
          <w:rFonts w:ascii="Times New Roman" w:cs="Times New Roman" w:eastAsia="Times New Roman" w:hAnsi="Times New Roman"/>
          <w:sz w:val="18"/>
          <w:szCs w:val="18"/>
          <w:b w:val="1"/>
          <w:bCs w:val="1"/>
          <w:color w:val="auto"/>
        </w:rPr>
      </w:pPr>
    </w:p>
    <w:p>
      <w:pPr>
        <w:ind w:left="380" w:right="26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Bank deposits with original maturity dates of more than three months but less than one year are included in short-term deposits. Such short-term deposits bear interest at an average annual rate of approximately 0.46%-0.82% in 2021. Interest accrued on bank deposits was recorded as interest receivable as part of "Prepaid expenses and other current assets" in the company’s balance sheet.</w:t>
      </w:r>
    </w:p>
    <w:p>
      <w:pPr>
        <w:spacing w:after="0" w:line="176"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Bank deposits with maturity of more than one year are considered long-term.</w:t>
      </w:r>
    </w:p>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33" w:right="439" w:bottom="1440" w:gutter="0" w:footer="0" w:header="0"/>
        </w:sectPr>
      </w:pPr>
    </w:p>
    <w:bookmarkStart w:id="47" w:name="page48"/>
    <w:bookmarkEnd w:id="47"/>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Marketable securities</w:t>
      </w:r>
    </w:p>
    <w:p>
      <w:pPr>
        <w:spacing w:after="0" w:line="229" w:lineRule="exact"/>
        <w:rPr>
          <w:rFonts w:ascii="Times New Roman" w:cs="Times New Roman" w:eastAsia="Times New Roman" w:hAnsi="Times New Roman"/>
          <w:sz w:val="18"/>
          <w:szCs w:val="18"/>
          <w:b w:val="1"/>
          <w:bCs w:val="1"/>
          <w:color w:val="auto"/>
        </w:rPr>
      </w:pPr>
    </w:p>
    <w:p>
      <w:pPr>
        <w:ind w:left="380" w:right="8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Marketable securities consist of debt securities. The Company elected the fair value option to measure and recognize its investments in debt securities in accordance with ASC 825, Financial Instruments as the Company manages its portfolio and evaluates the performance on a fair value basis. Changes in fair value, realized gains and losses on sales of marketable securities, are reflected in the statements of operation as finance expense (income), net.</w:t>
      </w:r>
    </w:p>
    <w:p>
      <w:pPr>
        <w:spacing w:after="0" w:line="175"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Derivatives and hedging</w:t>
      </w:r>
    </w:p>
    <w:p>
      <w:pPr>
        <w:spacing w:after="0" w:line="229" w:lineRule="exact"/>
        <w:rPr>
          <w:rFonts w:ascii="Times New Roman" w:cs="Times New Roman" w:eastAsia="Times New Roman" w:hAnsi="Times New Roman"/>
          <w:sz w:val="18"/>
          <w:szCs w:val="18"/>
          <w:b w:val="1"/>
          <w:bCs w:val="1"/>
          <w:color w:val="auto"/>
        </w:rPr>
      </w:pPr>
    </w:p>
    <w:p>
      <w:pPr>
        <w:ind w:left="360"/>
        <w:spacing w:after="0" w:line="257"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carries out transactions involving foreign currency exchange derivative financial instruments. The transactions are designed to hedge the Company’s exposure in currencies other than the U.S. dollar. The derivative does not qualify for hedge accounting, therefore the changes in the fair value are included in financial expense (income), net.</w:t>
      </w:r>
    </w:p>
    <w:p>
      <w:pPr>
        <w:spacing w:after="0" w:line="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currency hedged items are denominated in New Israeli Shekel (NIS). The counterparties to the derivatives are major banks in Israel.</w:t>
      </w:r>
    </w:p>
    <w:p>
      <w:pPr>
        <w:spacing w:after="0" w:line="206" w:lineRule="exact"/>
        <w:rPr>
          <w:rFonts w:ascii="Times New Roman" w:cs="Times New Roman" w:eastAsia="Times New Roman" w:hAnsi="Times New Roman"/>
          <w:sz w:val="18"/>
          <w:szCs w:val="18"/>
          <w:b w:val="1"/>
          <w:bCs w:val="1"/>
          <w:color w:val="auto"/>
        </w:rPr>
      </w:pPr>
    </w:p>
    <w:p>
      <w:pPr>
        <w:ind w:left="380" w:right="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2021, the Company has $1,150 on the Company’s bank account that is restricted in order to secure the hedging transactions. This amount is presented among Restricted long-term deposits and cash.</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Trade receivables</w:t>
      </w:r>
    </w:p>
    <w:p>
      <w:pPr>
        <w:spacing w:after="0" w:line="229" w:lineRule="exact"/>
        <w:rPr>
          <w:rFonts w:ascii="Times New Roman" w:cs="Times New Roman" w:eastAsia="Times New Roman" w:hAnsi="Times New Roman"/>
          <w:sz w:val="18"/>
          <w:szCs w:val="18"/>
          <w:b w:val="1"/>
          <w:bCs w:val="1"/>
          <w:color w:val="auto"/>
        </w:rPr>
      </w:pPr>
    </w:p>
    <w:p>
      <w:pPr>
        <w:ind w:left="380" w:right="2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Trade receivables are initially recognized at the transaction price and subsequently measured at amortized cost less any allowance for expected credit losses.</w:t>
      </w:r>
    </w:p>
    <w:p>
      <w:pPr>
        <w:ind w:left="380"/>
        <w:spacing w:after="0" w:line="260"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Starting from January 1, 2020, the Company applies ASU 2016-13 “Financial Instruments Credit Losses Measurement of Credit Losses on Financial Instruments” (“the Standard”).</w:t>
      </w:r>
    </w:p>
    <w:p>
      <w:pPr>
        <w:spacing w:after="0" w:line="17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Property and equipment</w:t>
      </w:r>
    </w:p>
    <w:p>
      <w:pPr>
        <w:spacing w:after="0" w:line="229" w:lineRule="exact"/>
        <w:rPr>
          <w:rFonts w:ascii="Times New Roman" w:cs="Times New Roman" w:eastAsia="Times New Roman" w:hAnsi="Times New Roman"/>
          <w:sz w:val="18"/>
          <w:szCs w:val="18"/>
          <w:b w:val="1"/>
          <w:bCs w:val="1"/>
          <w:color w:val="auto"/>
        </w:rPr>
      </w:pPr>
    </w:p>
    <w:p>
      <w:pPr>
        <w:ind w:left="720" w:hanging="361"/>
        <w:spacing w:after="0"/>
        <w:tabs>
          <w:tab w:leader="none" w:pos="72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Property and equipment are stated at cost, net of accumulated depreciation and amortization.</w:t>
      </w:r>
    </w:p>
    <w:p>
      <w:pPr>
        <w:spacing w:after="0" w:line="225" w:lineRule="exact"/>
        <w:rPr>
          <w:rFonts w:ascii="Times New Roman" w:cs="Times New Roman" w:eastAsia="Times New Roman" w:hAnsi="Times New Roman"/>
          <w:sz w:val="18"/>
          <w:szCs w:val="18"/>
          <w:color w:val="auto"/>
        </w:rPr>
      </w:pPr>
    </w:p>
    <w:p>
      <w:pPr>
        <w:ind w:left="720" w:hanging="361"/>
        <w:spacing w:after="0"/>
        <w:tabs>
          <w:tab w:leader="none" w:pos="720" w:val="left"/>
        </w:tabs>
        <w:numPr>
          <w:ilvl w:val="1"/>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property and equipment are depreciated utilizing the straight-line method on the basis of their estimated useful life.</w:t>
      </w:r>
    </w:p>
    <w:p>
      <w:pPr>
        <w:spacing w:after="0" w:line="225" w:lineRule="exact"/>
        <w:rPr>
          <w:sz w:val="20"/>
          <w:szCs w:val="20"/>
          <w:color w:val="auto"/>
        </w:rPr>
      </w:pPr>
    </w:p>
    <w:tbl>
      <w:tblPr>
        <w:tblLayout w:type="fixed"/>
        <w:tblInd w:w="380" w:type="dxa"/>
        <w:tblCellMar>
          <w:top w:w="0" w:type="dxa"/>
          <w:left w:w="0" w:type="dxa"/>
          <w:bottom w:w="0" w:type="dxa"/>
          <w:right w:w="0" w:type="dxa"/>
        </w:tblCellMar>
      </w:tblPr>
      <w:tr>
        <w:trPr>
          <w:trHeight w:val="234"/>
        </w:trPr>
        <w:tc>
          <w:tcPr>
            <w:tcW w:w="5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Annual rates of depreciation are as follows:</w:t>
            </w:r>
          </w:p>
        </w:tc>
        <w:tc>
          <w:tcPr>
            <w:tcW w:w="4180" w:type="dxa"/>
            <w:vAlign w:val="bottom"/>
            <w:gridSpan w:val="2"/>
            <w:vMerge w:val="restart"/>
          </w:tcPr>
          <w:p>
            <w:pPr>
              <w:jc w:val="center"/>
              <w:ind w:left="2270"/>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0" w:type="dxa"/>
            <w:vAlign w:val="bottom"/>
          </w:tcPr>
          <w:p>
            <w:pPr>
              <w:spacing w:after="0"/>
              <w:rPr>
                <w:sz w:val="1"/>
                <w:szCs w:val="1"/>
                <w:color w:val="auto"/>
              </w:rPr>
            </w:pPr>
          </w:p>
        </w:tc>
      </w:tr>
      <w:tr>
        <w:trPr>
          <w:trHeight w:val="223"/>
        </w:trPr>
        <w:tc>
          <w:tcPr>
            <w:tcW w:w="760" w:type="dxa"/>
            <w:vAlign w:val="bottom"/>
          </w:tcPr>
          <w:p>
            <w:pPr>
              <w:spacing w:after="0"/>
              <w:rPr>
                <w:sz w:val="19"/>
                <w:szCs w:val="19"/>
                <w:color w:val="auto"/>
              </w:rPr>
            </w:pPr>
          </w:p>
        </w:tc>
        <w:tc>
          <w:tcPr>
            <w:tcW w:w="4800" w:type="dxa"/>
            <w:vAlign w:val="bottom"/>
          </w:tcPr>
          <w:p>
            <w:pPr>
              <w:spacing w:after="0"/>
              <w:rPr>
                <w:sz w:val="19"/>
                <w:szCs w:val="19"/>
                <w:color w:val="auto"/>
              </w:rPr>
            </w:pPr>
          </w:p>
        </w:tc>
        <w:tc>
          <w:tcPr>
            <w:tcW w:w="418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Laboratory equipment</w:t>
            </w:r>
          </w:p>
        </w:tc>
        <w:tc>
          <w:tcPr>
            <w:tcW w:w="2380" w:type="dxa"/>
            <w:vAlign w:val="bottom"/>
            <w:shd w:val="clear" w:color="auto" w:fill="CCEEFF"/>
          </w:tcPr>
          <w:p>
            <w:pPr>
              <w:spacing w:after="0"/>
              <w:rPr>
                <w:sz w:val="18"/>
                <w:szCs w:val="18"/>
                <w:color w:val="auto"/>
              </w:rPr>
            </w:pPr>
          </w:p>
        </w:tc>
        <w:tc>
          <w:tcPr>
            <w:tcW w:w="18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99"/>
              </w:rPr>
              <w:t>10 – 33 (mainly 15 – 25)</w:t>
            </w: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Office equipment and furniture</w:t>
            </w:r>
          </w:p>
        </w:tc>
        <w:tc>
          <w:tcPr>
            <w:tcW w:w="2380" w:type="dxa"/>
            <w:vAlign w:val="bottom"/>
          </w:tcPr>
          <w:p>
            <w:pPr>
              <w:spacing w:after="0"/>
              <w:rPr>
                <w:sz w:val="18"/>
                <w:szCs w:val="18"/>
                <w:color w:val="auto"/>
              </w:rPr>
            </w:pPr>
          </w:p>
        </w:tc>
        <w:tc>
          <w:tcPr>
            <w:tcW w:w="18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7 – 15</w:t>
            </w: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Computers and related equipment</w:t>
            </w:r>
          </w:p>
        </w:tc>
        <w:tc>
          <w:tcPr>
            <w:tcW w:w="4180" w:type="dxa"/>
            <w:vAlign w:val="bottom"/>
            <w:gridSpan w:val="2"/>
            <w:shd w:val="clear" w:color="auto" w:fill="CCEEFF"/>
          </w:tcPr>
          <w:p>
            <w:pPr>
              <w:jc w:val="center"/>
              <w:ind w:left="2270"/>
              <w:spacing w:after="0"/>
              <w:rPr>
                <w:sz w:val="20"/>
                <w:szCs w:val="20"/>
                <w:color w:val="auto"/>
              </w:rPr>
            </w:pPr>
            <w:r>
              <w:rPr>
                <w:rFonts w:ascii="Times New Roman" w:cs="Times New Roman" w:eastAsia="Times New Roman" w:hAnsi="Times New Roman"/>
                <w:sz w:val="18"/>
                <w:szCs w:val="18"/>
                <w:color w:val="auto"/>
                <w:w w:val="99"/>
              </w:rPr>
              <w:t>33</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right="100"/>
        <w:spacing w:after="0" w:line="282" w:lineRule="auto"/>
        <w:rPr>
          <w:sz w:val="20"/>
          <w:szCs w:val="20"/>
          <w:color w:val="auto"/>
        </w:rPr>
      </w:pPr>
      <w:r>
        <w:rPr>
          <w:rFonts w:ascii="Times New Roman" w:cs="Times New Roman" w:eastAsia="Times New Roman" w:hAnsi="Times New Roman"/>
          <w:sz w:val="18"/>
          <w:szCs w:val="18"/>
          <w:color w:val="auto"/>
        </w:rPr>
        <w:t>Leasehold improvements are amortized utilizing the straight-line method over the shorter of the expected lease term or the estimated useful life of the improvements.</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8" w:name="page49"/>
    <w:bookmarkEnd w:id="4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Impairment of long-lived assets</w:t>
      </w:r>
    </w:p>
    <w:p>
      <w:pPr>
        <w:spacing w:after="0" w:line="229" w:lineRule="exact"/>
        <w:rPr>
          <w:rFonts w:ascii="Times New Roman" w:cs="Times New Roman" w:eastAsia="Times New Roman" w:hAnsi="Times New Roman"/>
          <w:sz w:val="18"/>
          <w:szCs w:val="18"/>
          <w:b w:val="1"/>
          <w:bCs w:val="1"/>
          <w:color w:val="auto"/>
        </w:rPr>
      </w:pPr>
    </w:p>
    <w:p>
      <w:pPr>
        <w:ind w:left="360" w:right="20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175"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three years ended December 31, 2021, the Company did not recognize an impairment loss for its long-lived assets.</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Share-based compensation</w:t>
      </w:r>
    </w:p>
    <w:p>
      <w:pPr>
        <w:spacing w:after="0" w:line="229" w:lineRule="exact"/>
        <w:rPr>
          <w:rFonts w:ascii="Times New Roman" w:cs="Times New Roman" w:eastAsia="Times New Roman" w:hAnsi="Times New Roman"/>
          <w:sz w:val="18"/>
          <w:szCs w:val="18"/>
          <w:b w:val="1"/>
          <w:bCs w:val="1"/>
          <w:color w:val="auto"/>
        </w:rPr>
      </w:pPr>
    </w:p>
    <w:p>
      <w:pPr>
        <w:ind w:left="360" w:right="2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accounts for employees’ and non-employees' share-based payment awards classified as equity awards using the grant-date fair value method. The fair value of share-based payment transactions is recognized as an expense over the requisite service period.</w:t>
      </w:r>
    </w:p>
    <w:p>
      <w:pPr>
        <w:spacing w:after="0" w:line="161" w:lineRule="exact"/>
        <w:rPr>
          <w:rFonts w:ascii="Times New Roman" w:cs="Times New Roman" w:eastAsia="Times New Roman" w:hAnsi="Times New Roman"/>
          <w:sz w:val="18"/>
          <w:szCs w:val="18"/>
          <w:b w:val="1"/>
          <w:bCs w:val="1"/>
          <w:color w:val="auto"/>
        </w:rPr>
      </w:pPr>
    </w:p>
    <w:p>
      <w:pPr>
        <w:ind w:left="360" w:right="2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61" w:lineRule="exact"/>
        <w:rPr>
          <w:rFonts w:ascii="Times New Roman" w:cs="Times New Roman" w:eastAsia="Times New Roman" w:hAnsi="Times New Roman"/>
          <w:sz w:val="18"/>
          <w:szCs w:val="18"/>
          <w:b w:val="1"/>
          <w:bCs w:val="1"/>
          <w:color w:val="auto"/>
        </w:rPr>
      </w:pPr>
    </w:p>
    <w:p>
      <w:pPr>
        <w:ind w:left="360" w:right="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measures share-based compensation to non-employees in the same manner (except for certain exceptions) as share-based compensation to employees.</w:t>
      </w:r>
    </w:p>
    <w:p>
      <w:pPr>
        <w:spacing w:after="0" w:line="16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has elected to recognize forfeitures as they occur.</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Research and development expenses</w:t>
      </w:r>
    </w:p>
    <w:p>
      <w:pPr>
        <w:spacing w:after="0" w:line="229" w:lineRule="exact"/>
        <w:rPr>
          <w:rFonts w:ascii="Times New Roman" w:cs="Times New Roman" w:eastAsia="Times New Roman" w:hAnsi="Times New Roman"/>
          <w:sz w:val="18"/>
          <w:szCs w:val="18"/>
          <w:b w:val="1"/>
          <w:bCs w:val="1"/>
          <w:color w:val="auto"/>
        </w:rPr>
      </w:pPr>
    </w:p>
    <w:p>
      <w:pPr>
        <w:ind w:left="360" w:right="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75" w:lineRule="exact"/>
        <w:rPr>
          <w:rFonts w:ascii="Times New Roman" w:cs="Times New Roman" w:eastAsia="Times New Roman" w:hAnsi="Times New Roman"/>
          <w:sz w:val="18"/>
          <w:szCs w:val="18"/>
          <w:b w:val="1"/>
          <w:bCs w:val="1"/>
          <w:color w:val="auto"/>
        </w:rPr>
      </w:pPr>
    </w:p>
    <w:p>
      <w:pPr>
        <w:ind w:left="360" w:right="1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Acquisitions of in-process research and development product candidate, which are not part of business combination, are recognized as an expense as research and development expenses as incurred.</w:t>
      </w:r>
    </w:p>
    <w:p>
      <w:pPr>
        <w:spacing w:after="0" w:line="161" w:lineRule="exact"/>
        <w:rPr>
          <w:rFonts w:ascii="Times New Roman" w:cs="Times New Roman" w:eastAsia="Times New Roman" w:hAnsi="Times New Roman"/>
          <w:sz w:val="18"/>
          <w:szCs w:val="18"/>
          <w:b w:val="1"/>
          <w:bCs w:val="1"/>
          <w:color w:val="auto"/>
        </w:rPr>
      </w:pPr>
    </w:p>
    <w:p>
      <w:pPr>
        <w:ind w:left="3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Grants received from Israel Innovation Authority (hereafter — “IIA”),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6a(1).</w:t>
      </w:r>
    </w:p>
    <w:p>
      <w:pPr>
        <w:spacing w:after="0" w:line="179" w:lineRule="exact"/>
        <w:rPr>
          <w:rFonts w:ascii="Times New Roman" w:cs="Times New Roman" w:eastAsia="Times New Roman" w:hAnsi="Times New Roman"/>
          <w:sz w:val="18"/>
          <w:szCs w:val="18"/>
          <w:b w:val="1"/>
          <w:bCs w:val="1"/>
          <w:color w:val="auto"/>
        </w:rPr>
      </w:pPr>
    </w:p>
    <w:p>
      <w:pPr>
        <w:ind w:left="360" w:right="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Clinical trial costs are a significant component of research and development expenses and include costs associated with third-party contractors. The Company outsources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9" w:name="page50"/>
    <w:bookmarkEnd w:id="49"/>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w:t>
      </w:r>
    </w:p>
    <w:p>
      <w:pPr>
        <w:spacing w:after="0" w:line="229" w:lineRule="exact"/>
        <w:rPr>
          <w:rFonts w:ascii="Times New Roman" w:cs="Times New Roman" w:eastAsia="Times New Roman" w:hAnsi="Times New Roman"/>
          <w:sz w:val="18"/>
          <w:szCs w:val="18"/>
          <w:b w:val="1"/>
          <w:bCs w:val="1"/>
          <w:color w:val="auto"/>
        </w:rPr>
      </w:pPr>
    </w:p>
    <w:p>
      <w:pPr>
        <w:ind w:left="380" w:right="4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applies ASC 606, Revenue from Contracts with Customers. According to the standard, an entity recognizes revenue when its customer obtains control of promised goods or services, in an amount that reflects the consideration that the entity expects to receive in exchange for those goods or services. To determine revenue recognition for arrangements that an entity determines are within the scope of Topic 606, the entity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performance obligation is satisfied.</w:t>
      </w:r>
    </w:p>
    <w:p>
      <w:pPr>
        <w:spacing w:after="0" w:line="187" w:lineRule="exact"/>
        <w:rPr>
          <w:sz w:val="20"/>
          <w:szCs w:val="20"/>
          <w:color w:val="auto"/>
        </w:rPr>
      </w:pPr>
    </w:p>
    <w:p>
      <w:pPr>
        <w:ind w:left="400" w:right="20"/>
        <w:spacing w:after="0" w:line="255" w:lineRule="auto"/>
        <w:rPr>
          <w:sz w:val="20"/>
          <w:szCs w:val="20"/>
          <w:color w:val="auto"/>
        </w:rPr>
      </w:pPr>
      <w:r>
        <w:rPr>
          <w:rFonts w:ascii="Times New Roman" w:cs="Times New Roman" w:eastAsia="Times New Roman" w:hAnsi="Times New Roman"/>
          <w:sz w:val="18"/>
          <w:szCs w:val="18"/>
          <w:color w:val="auto"/>
        </w:rPr>
        <w:t>An entity only applies the five-step model to contracts when it is probable that the entity will collect the consideration it is entitled to in exchange for the goods or services it transfers to the customer, after considering any price concession expected to be provided to the customer, when applicable. At contract inception, the entity assesses the goods or services promised within each contract and determines those that are performance obligations and assesses whether each promised good or service is distinct. A good or service promised to a customer is distinct if the customer can benefit from the good or service either on its own or together with other resources that are readily available to the customer and the entity’s promise to transfer the good or service to the customer is separately identifiable from other promises in the contract. The entity then recognizes as revenue the amount of the transaction price that is allocated to the respective performance obligation when (or as) the performance obligation is satisfied.</w:t>
      </w:r>
    </w:p>
    <w:p>
      <w:pPr>
        <w:spacing w:after="0" w:line="18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i w:val="1"/>
          <w:iCs w:val="1"/>
          <w:color w:val="auto"/>
        </w:rPr>
        <w:t>Collaborative Arrangements</w:t>
      </w:r>
    </w:p>
    <w:p>
      <w:pPr>
        <w:spacing w:after="0" w:line="227" w:lineRule="exact"/>
        <w:rPr>
          <w:sz w:val="20"/>
          <w:szCs w:val="20"/>
          <w:color w:val="auto"/>
        </w:rPr>
      </w:pPr>
    </w:p>
    <w:p>
      <w:pPr>
        <w:ind w:left="380"/>
        <w:spacing w:after="0" w:line="281" w:lineRule="auto"/>
        <w:rPr>
          <w:sz w:val="20"/>
          <w:szCs w:val="20"/>
          <w:color w:val="auto"/>
        </w:rPr>
      </w:pPr>
      <w:r>
        <w:rPr>
          <w:rFonts w:ascii="Times New Roman" w:cs="Times New Roman" w:eastAsia="Times New Roman" w:hAnsi="Times New Roman"/>
          <w:sz w:val="17"/>
          <w:szCs w:val="17"/>
          <w:color w:val="auto"/>
        </w:rPr>
        <w:t>The Company entered into collaborative arrangements with partners that fall under the scope of Topic 808, Collaborative Arrangements (“ASC 808”). While these arrangements are in the scope of ASC 808, the Company may analogize to ASC 606 for some aspects of the arrangements. The Company analogizes to ASC 606 for certain activities within the collaborative arrangement for the delivery of a good or service (i.e., a unit of account) that is part of its ongoing major or central operations. Revenue recognized by analogizing to ASC 606 is recorded as “collaboration revenues”.</w:t>
      </w:r>
    </w:p>
    <w:p>
      <w:pPr>
        <w:spacing w:after="0" w:line="164" w:lineRule="exact"/>
        <w:rPr>
          <w:sz w:val="20"/>
          <w:szCs w:val="20"/>
          <w:color w:val="auto"/>
        </w:rPr>
      </w:pPr>
    </w:p>
    <w:p>
      <w:pPr>
        <w:ind w:left="380" w:right="40"/>
        <w:spacing w:after="0" w:line="312" w:lineRule="auto"/>
        <w:rPr>
          <w:sz w:val="20"/>
          <w:szCs w:val="20"/>
          <w:color w:val="auto"/>
        </w:rPr>
      </w:pPr>
      <w:r>
        <w:rPr>
          <w:rFonts w:ascii="Times New Roman" w:cs="Times New Roman" w:eastAsia="Times New Roman" w:hAnsi="Times New Roman"/>
          <w:sz w:val="17"/>
          <w:szCs w:val="17"/>
          <w:color w:val="auto"/>
        </w:rPr>
        <w:t>The terms of the Company’s collaborative arrangements typically include one or more of the following: (i) royalties on net sales of licensed products; (ii) reimbursements or cost-sharing of R&amp;D expenses. Each of these payments results in collaboration revenues or an offset against R&amp;D expense.</w:t>
      </w:r>
    </w:p>
    <w:p>
      <w:pPr>
        <w:spacing w:after="0" w:line="140" w:lineRule="exact"/>
        <w:rPr>
          <w:sz w:val="20"/>
          <w:szCs w:val="20"/>
          <w:color w:val="auto"/>
        </w:rPr>
      </w:pPr>
    </w:p>
    <w:p>
      <w:pPr>
        <w:jc w:val="both"/>
        <w:ind w:left="380" w:right="120"/>
        <w:spacing w:after="0" w:line="266" w:lineRule="auto"/>
        <w:rPr>
          <w:sz w:val="20"/>
          <w:szCs w:val="20"/>
          <w:color w:val="auto"/>
        </w:rPr>
      </w:pPr>
      <w:r>
        <w:rPr>
          <w:rFonts w:ascii="Times New Roman" w:cs="Times New Roman" w:eastAsia="Times New Roman" w:hAnsi="Times New Roman"/>
          <w:sz w:val="18"/>
          <w:szCs w:val="18"/>
          <w:color w:val="auto"/>
        </w:rPr>
        <w:t>Royalties: For arrangements that include sales-based royalties and the license is deemed to be the predominant item to which the royalties relate, the Company recognizes collaboration revenues at the later of (i) when the related sales occur, or (ii) when the performance obligation to which some or all of the royalty has been allocated has been satisfied (or partially satisfied).</w:t>
      </w:r>
    </w:p>
    <w:p>
      <w:pPr>
        <w:spacing w:after="0" w:line="176" w:lineRule="exact"/>
        <w:rPr>
          <w:sz w:val="20"/>
          <w:szCs w:val="20"/>
          <w:color w:val="auto"/>
        </w:rPr>
      </w:pPr>
    </w:p>
    <w:p>
      <w:pPr>
        <w:ind w:left="380" w:right="120"/>
        <w:spacing w:after="0" w:line="257" w:lineRule="auto"/>
        <w:rPr>
          <w:sz w:val="20"/>
          <w:szCs w:val="20"/>
          <w:color w:val="auto"/>
        </w:rPr>
      </w:pPr>
      <w:r>
        <w:rPr>
          <w:rFonts w:ascii="Times New Roman" w:cs="Times New Roman" w:eastAsia="Times New Roman" w:hAnsi="Times New Roman"/>
          <w:sz w:val="18"/>
          <w:szCs w:val="18"/>
          <w:color w:val="auto"/>
        </w:rPr>
        <w:t>Under certain collaborative arrangements, the Company has been reimbursed for a portion of its R&amp;D expenses or participates in the cost-sharing of such R&amp;D expenses. Such reimbursements and cost-sharing arrangements have been reflected as a reduction of R&amp;D expense in the Company’s consolidated statements of operations, as</w:t>
      </w:r>
    </w:p>
    <w:p>
      <w:pPr>
        <w:spacing w:after="0" w:line="1" w:lineRule="exact"/>
        <w:rPr>
          <w:sz w:val="20"/>
          <w:szCs w:val="20"/>
          <w:color w:val="auto"/>
        </w:rPr>
      </w:pPr>
    </w:p>
    <w:p>
      <w:pPr>
        <w:ind w:left="380" w:right="680"/>
        <w:spacing w:after="0" w:line="260" w:lineRule="auto"/>
        <w:rPr>
          <w:sz w:val="20"/>
          <w:szCs w:val="20"/>
          <w:color w:val="auto"/>
        </w:rPr>
      </w:pPr>
      <w:r>
        <w:rPr>
          <w:rFonts w:ascii="Times New Roman" w:cs="Times New Roman" w:eastAsia="Times New Roman" w:hAnsi="Times New Roman"/>
          <w:sz w:val="18"/>
          <w:szCs w:val="18"/>
          <w:color w:val="auto"/>
        </w:rPr>
        <w:t>the Company does not consider performing research and development services for reimbursement to be a part of its ongoing major or central operations.</w:t>
      </w:r>
    </w:p>
    <w:p>
      <w:pPr>
        <w:spacing w:after="0" w:line="181" w:lineRule="exact"/>
        <w:rPr>
          <w:sz w:val="20"/>
          <w:szCs w:val="20"/>
          <w:color w:val="auto"/>
        </w:rPr>
      </w:pPr>
    </w:p>
    <w:p>
      <w:pPr>
        <w:ind w:left="400" w:right="200"/>
        <w:spacing w:after="0" w:line="282" w:lineRule="auto"/>
        <w:rPr>
          <w:sz w:val="20"/>
          <w:szCs w:val="20"/>
          <w:color w:val="auto"/>
        </w:rPr>
      </w:pPr>
      <w:r>
        <w:rPr>
          <w:rFonts w:ascii="Times New Roman" w:cs="Times New Roman" w:eastAsia="Times New Roman" w:hAnsi="Times New Roman"/>
          <w:sz w:val="18"/>
          <w:szCs w:val="18"/>
          <w:color w:val="auto"/>
        </w:rPr>
        <w:t>For arrangements that include a significant financing component, the company separates the significant financing component from the revenue and interest income is recorded when payments are received. See note 7.</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3" w:right="399" w:bottom="1440" w:gutter="0" w:footer="0" w:header="0"/>
        </w:sectPr>
      </w:pPr>
    </w:p>
    <w:bookmarkStart w:id="50" w:name="page51"/>
    <w:bookmarkEnd w:id="50"/>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40" w:hanging="332"/>
        <w:spacing w:after="0"/>
        <w:tabs>
          <w:tab w:leader="none" w:pos="340"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Revenue recognition </w:t>
      </w:r>
      <w:r>
        <w:rPr>
          <w:rFonts w:ascii="Times New Roman" w:cs="Times New Roman" w:eastAsia="Times New Roman" w:hAnsi="Times New Roman"/>
          <w:sz w:val="18"/>
          <w:szCs w:val="18"/>
          <w:color w:val="auto"/>
        </w:rPr>
        <w:t>(continued):</w:t>
      </w:r>
    </w:p>
    <w:p>
      <w:pPr>
        <w:spacing w:after="0" w:line="22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i w:val="1"/>
          <w:iCs w:val="1"/>
          <w:color w:val="auto"/>
        </w:rPr>
        <w:t>Licensing agreements</w:t>
      </w:r>
    </w:p>
    <w:p>
      <w:pPr>
        <w:spacing w:after="0" w:line="227" w:lineRule="exact"/>
        <w:rPr>
          <w:sz w:val="20"/>
          <w:szCs w:val="20"/>
          <w:color w:val="auto"/>
        </w:rPr>
      </w:pPr>
    </w:p>
    <w:p>
      <w:pPr>
        <w:ind w:left="400"/>
        <w:spacing w:after="0" w:line="266" w:lineRule="auto"/>
        <w:rPr>
          <w:sz w:val="20"/>
          <w:szCs w:val="20"/>
          <w:color w:val="auto"/>
        </w:rPr>
      </w:pPr>
      <w:r>
        <w:rPr>
          <w:rFonts w:ascii="Times New Roman" w:cs="Times New Roman" w:eastAsia="Times New Roman" w:hAnsi="Times New Roman"/>
          <w:sz w:val="18"/>
          <w:szCs w:val="18"/>
          <w:color w:val="auto"/>
        </w:rPr>
        <w:t>The Company has identified one performance obligation in The License Agreements: Grant of the license and use of its IP. The Grant of the license and use of its IP performance obligation considered to be a right to use IP in accordance with ASC 606. Therefore, revenue is recognized at a point in time, upon transfer of control over the license to the licensee.</w:t>
      </w:r>
    </w:p>
    <w:p>
      <w:pPr>
        <w:spacing w:after="0" w:line="176" w:lineRule="exact"/>
        <w:rPr>
          <w:sz w:val="20"/>
          <w:szCs w:val="20"/>
          <w:color w:val="auto"/>
        </w:rPr>
      </w:pPr>
    </w:p>
    <w:p>
      <w:pPr>
        <w:ind w:left="400" w:right="40"/>
        <w:spacing w:after="0" w:line="255" w:lineRule="auto"/>
        <w:rPr>
          <w:sz w:val="20"/>
          <w:szCs w:val="20"/>
          <w:color w:val="auto"/>
        </w:rPr>
      </w:pPr>
      <w:r>
        <w:rPr>
          <w:rFonts w:ascii="Times New Roman" w:cs="Times New Roman" w:eastAsia="Times New Roman" w:hAnsi="Times New Roman"/>
          <w:sz w:val="18"/>
          <w:szCs w:val="18"/>
          <w:color w:val="auto"/>
        </w:rPr>
        <w:t>ASC 606 defines the ‘Transaction Price’ as the amount of consideration to which the entity expects to be entitled in exchange for transferring the promised goods or services to a customer. The transaction price contains variable consideration contingent upon the licensee achieving certain milestones, as well as sales-based royalties, in accordance with the relevant agreement. Variable payments, contingent on achieving additional milestones, are included in the transaction price based on most likely amount method. Amounts included in the transaction price are recognized only when it is probable that a significant reversal of cumulative revenues will not occur, usually upon achievement of the specific milestone, in accordance with the relevant agreement. Sales-based royalties are not included in the transaction price. Rather, they are recognized as the related sale occurs, due to the specific exception of ASC 606 for sales-based royalties in licensing of intellectual properties.</w:t>
      </w:r>
    </w:p>
    <w:p>
      <w:pPr>
        <w:spacing w:after="0" w:line="185" w:lineRule="exact"/>
        <w:rPr>
          <w:sz w:val="20"/>
          <w:szCs w:val="20"/>
          <w:color w:val="auto"/>
        </w:rPr>
      </w:pPr>
    </w:p>
    <w:p>
      <w:pPr>
        <w:ind w:left="360" w:hanging="352"/>
        <w:spacing w:after="0"/>
        <w:tabs>
          <w:tab w:leader="none" w:pos="360"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Income taxes</w:t>
      </w:r>
    </w:p>
    <w:p>
      <w:pPr>
        <w:spacing w:after="0" w:line="229" w:lineRule="exact"/>
        <w:rPr>
          <w:rFonts w:ascii="Times New Roman" w:cs="Times New Roman" w:eastAsia="Times New Roman" w:hAnsi="Times New Roman"/>
          <w:sz w:val="18"/>
          <w:szCs w:val="18"/>
          <w:b w:val="1"/>
          <w:bCs w:val="1"/>
          <w:color w:val="auto"/>
        </w:rPr>
      </w:pPr>
    </w:p>
    <w:p>
      <w:pPr>
        <w:ind w:left="620" w:hanging="234"/>
        <w:spacing w:after="0"/>
        <w:tabs>
          <w:tab w:leader="none" w:pos="620"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Deferred taxes</w:t>
      </w:r>
    </w:p>
    <w:p>
      <w:pPr>
        <w:spacing w:after="0" w:line="225" w:lineRule="exact"/>
        <w:rPr>
          <w:sz w:val="20"/>
          <w:szCs w:val="20"/>
          <w:color w:val="auto"/>
        </w:rPr>
      </w:pPr>
    </w:p>
    <w:p>
      <w:pPr>
        <w:ind w:left="660" w:right="60"/>
        <w:spacing w:after="0" w:line="256" w:lineRule="auto"/>
        <w:rPr>
          <w:sz w:val="20"/>
          <w:szCs w:val="20"/>
          <w:color w:val="auto"/>
        </w:rPr>
      </w:pPr>
      <w:r>
        <w:rPr>
          <w:rFonts w:ascii="Times New Roman" w:cs="Times New Roman" w:eastAsia="Times New Roman" w:hAnsi="Times New Roman"/>
          <w:sz w:val="18"/>
          <w:szCs w:val="18"/>
          <w:color w:val="auto"/>
        </w:rPr>
        <w:t>The Company accounts for income taxes in accordance with ASC 740, “Income Taxes” (“ASC 740”). ASC 740 prescribes the use of the liability method whereby deferred tax asset and liability account balances are determined based on differences between the financial reporting and tax bases of assets and liabilities and are measured using the enacted tax rates and laws that will be in effect when the differences are expected to reverse. The Company provides a valuation allowance, if necessary, to reduce deferred tax assets to their estimated realizable value if it is more likely than not that a portion or all of the deferred tax assets will not be realized, based on the weight of available positive and negative evidence. Deferred tax liabilities and assets are classified as non-current.</w:t>
      </w:r>
    </w:p>
    <w:p>
      <w:pPr>
        <w:spacing w:after="0" w:line="18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2) Uncertainty in income taxes</w:t>
      </w:r>
    </w:p>
    <w:p>
      <w:pPr>
        <w:spacing w:after="0" w:line="225" w:lineRule="exact"/>
        <w:rPr>
          <w:sz w:val="20"/>
          <w:szCs w:val="20"/>
          <w:color w:val="auto"/>
        </w:rPr>
      </w:pPr>
    </w:p>
    <w:p>
      <w:pPr>
        <w:jc w:val="both"/>
        <w:ind w:left="660" w:right="100"/>
        <w:spacing w:after="0" w:line="261" w:lineRule="auto"/>
        <w:rPr>
          <w:sz w:val="20"/>
          <w:szCs w:val="20"/>
          <w:color w:val="auto"/>
        </w:rPr>
      </w:pPr>
      <w:r>
        <w:rPr>
          <w:rFonts w:ascii="Times New Roman" w:cs="Times New Roman" w:eastAsia="Times New Roman" w:hAnsi="Times New Roman"/>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3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F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33" w:right="419" w:bottom="1440" w:gutter="0" w:footer="0" w:header="0"/>
        </w:sectPr>
      </w:pPr>
    </w:p>
    <w:bookmarkStart w:id="51" w:name="page52"/>
    <w:bookmarkEnd w:id="5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Leases</w:t>
      </w:r>
    </w:p>
    <w:p>
      <w:pPr>
        <w:spacing w:after="0" w:line="229" w:lineRule="exact"/>
        <w:rPr>
          <w:rFonts w:ascii="Times New Roman" w:cs="Times New Roman" w:eastAsia="Times New Roman" w:hAnsi="Times New Roman"/>
          <w:sz w:val="18"/>
          <w:szCs w:val="18"/>
          <w:b w:val="1"/>
          <w:bCs w:val="1"/>
          <w:color w:val="auto"/>
        </w:rPr>
      </w:pPr>
    </w:p>
    <w:p>
      <w:pPr>
        <w:ind w:left="360" w:right="10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Right of Use ("ROU") assets represent the Company’s right to use an underlying asset for the lease term and lease liabilities represent the Company’s obligation to make lease payments arising from the lease. Operating lease ROU assets and liabilities are recognized at commencement date based on the present value of lease payments over the lease term. The Company’s lease terms may include options to extend or terminate the lease when it is reasonably certain that the Company will exercise that option.</w:t>
      </w:r>
    </w:p>
    <w:p>
      <w:pPr>
        <w:spacing w:after="0" w:line="179" w:lineRule="exact"/>
        <w:rPr>
          <w:rFonts w:ascii="Times New Roman" w:cs="Times New Roman" w:eastAsia="Times New Roman" w:hAnsi="Times New Roman"/>
          <w:sz w:val="18"/>
          <w:szCs w:val="18"/>
          <w:b w:val="1"/>
          <w:bCs w:val="1"/>
          <w:color w:val="auto"/>
        </w:rPr>
      </w:pPr>
    </w:p>
    <w:p>
      <w:pPr>
        <w:ind w:left="360" w:right="140"/>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uses the implicit rate when readily determinable. As the Company’s leases do not provide an implicit rate, the Company uses its estimated incremental borrowing rate based on the information available at commencement date in determining the present value of lease payments. Lease expense for lease payments is recognized on a straight-line basis over the lease term. The Company elected to not separate lease and non-lease components for the leases. The Company elected the practical expedient of the short-term lease recognition exemption for all leases with a term shorter than 12 months.</w:t>
      </w:r>
    </w:p>
    <w:p>
      <w:pPr>
        <w:spacing w:after="0" w:line="183"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Additionally, the company applies the portfolio approach to account for operating lease ROU asset and liabilities for certain car leases and incremental borrowing rates.</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Concentration of credit risks</w:t>
      </w:r>
    </w:p>
    <w:p>
      <w:pPr>
        <w:spacing w:after="0" w:line="229" w:lineRule="exact"/>
        <w:rPr>
          <w:rFonts w:ascii="Times New Roman" w:cs="Times New Roman" w:eastAsia="Times New Roman" w:hAnsi="Times New Roman"/>
          <w:sz w:val="18"/>
          <w:szCs w:val="18"/>
          <w:b w:val="1"/>
          <w:bCs w:val="1"/>
          <w:color w:val="auto"/>
        </w:rPr>
      </w:pPr>
    </w:p>
    <w:p>
      <w:pPr>
        <w:ind w:left="360" w:right="2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Financial instruments that potentially subject the Company to concentration of credit risk consist principally of cash and cash equivalents, bank deposits and marketable securities and certain receivables. The Company deposits cash and cash equivalents with highly rated financial institutions (Israeli banks). In addition, all marketable securities carry a high rating or are government insured. The Company has not experienced any material credit losses in these accounts and does not believe it is exposed to significant credit risk on these instruments.</w:t>
      </w:r>
    </w:p>
    <w:p>
      <w:pPr>
        <w:spacing w:after="0" w:line="175"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Income (loss) per share</w:t>
      </w:r>
    </w:p>
    <w:p>
      <w:pPr>
        <w:spacing w:after="0" w:line="229" w:lineRule="exact"/>
        <w:rPr>
          <w:rFonts w:ascii="Times New Roman" w:cs="Times New Roman" w:eastAsia="Times New Roman" w:hAnsi="Times New Roman"/>
          <w:sz w:val="18"/>
          <w:szCs w:val="18"/>
          <w:b w:val="1"/>
          <w:bCs w:val="1"/>
          <w:color w:val="auto"/>
        </w:rPr>
      </w:pPr>
    </w:p>
    <w:p>
      <w:pPr>
        <w:ind w:left="360" w:right="8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Basic income (loss) per share is computed on the basis of the net income (loss) for the period divided by the weighted average number of ordinary shares outstanding during the period. Diluted income (loss) per share is based upon the weighted average number of ordinary shares and of ordinary shares equivalents outstanding when dilutive. Ordinary share equivalents include outstanding stock options, restricted shares and warrants, which are included under the treasury stock method when dilutive. The calculation of diluted income (loss) per share does not include 1,260,984, 3,271,507 and 3,397,834 options, restricted shares and warrants for the years ended December 31, 2019, 2020 and 2021, respectively, because their effect would be anti-dilutive.</w:t>
      </w:r>
    </w:p>
    <w:p>
      <w:pPr>
        <w:spacing w:after="0" w:line="1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52" w:name="page53"/>
    <w:bookmarkEnd w:id="52"/>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Fair value measurement</w:t>
      </w:r>
    </w:p>
    <w:p>
      <w:pPr>
        <w:spacing w:after="0" w:line="229" w:lineRule="exact"/>
        <w:rPr>
          <w:rFonts w:ascii="Times New Roman" w:cs="Times New Roman" w:eastAsia="Times New Roman" w:hAnsi="Times New Roman"/>
          <w:sz w:val="18"/>
          <w:szCs w:val="18"/>
          <w:b w:val="1"/>
          <w:bCs w:val="1"/>
          <w:color w:val="auto"/>
        </w:rPr>
      </w:pPr>
    </w:p>
    <w:p>
      <w:pPr>
        <w:ind w:left="360" w:right="2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179" w:lineRule="exact"/>
        <w:rPr>
          <w:rFonts w:ascii="Times New Roman" w:cs="Times New Roman" w:eastAsia="Times New Roman" w:hAnsi="Times New Roman"/>
          <w:sz w:val="18"/>
          <w:szCs w:val="18"/>
          <w:b w:val="1"/>
          <w:bCs w:val="1"/>
          <w:color w:val="auto"/>
        </w:rPr>
      </w:pPr>
    </w:p>
    <w:p>
      <w:pPr>
        <w:ind w:left="360" w:right="40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1: Quoted prices (unadjusted) in active markets that are accessible at the measurement date for assets or liabilities. The fair value hierarchy gives the highest priority to Level 1 inputs.</w:t>
      </w:r>
    </w:p>
    <w:p>
      <w:pPr>
        <w:spacing w:after="0" w:line="16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2: Observable prices that are based on inputs not quoted on active markets but corroborated by market data.</w:t>
      </w:r>
    </w:p>
    <w:p>
      <w:pPr>
        <w:spacing w:after="0" w:line="225"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3: Unobservable inputs are used when little or no market data is available. The fair value hierarchy gives the lowest priority to Level 3 inputs.</w:t>
      </w:r>
    </w:p>
    <w:p>
      <w:pPr>
        <w:spacing w:after="0" w:line="225"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162" w:lineRule="exact"/>
        <w:rPr>
          <w:sz w:val="20"/>
          <w:szCs w:val="20"/>
          <w:color w:val="auto"/>
        </w:rPr>
      </w:pPr>
    </w:p>
    <w:p>
      <w:pPr>
        <w:jc w:val="both"/>
        <w:ind w:left="360" w:right="480"/>
        <w:spacing w:after="0" w:line="266" w:lineRule="auto"/>
        <w:rPr>
          <w:sz w:val="20"/>
          <w:szCs w:val="20"/>
          <w:color w:val="auto"/>
        </w:rPr>
      </w:pPr>
      <w:r>
        <w:rPr>
          <w:rFonts w:ascii="Times New Roman" w:cs="Times New Roman" w:eastAsia="Times New Roman" w:hAnsi="Times New Roman"/>
          <w:sz w:val="18"/>
          <w:szCs w:val="18"/>
          <w:color w:val="auto"/>
        </w:rPr>
        <w:t>Due to the short term nature and/or low-risk nature of the Company's cash and cash equivalents, bank deposits, restricted cash, receivables from collaborative arrangements, restricted long-term deposits, accrued expenses (under other account payable), operating leases liabilities and other liabilities, their carrying amounts approximates their fair value.</w:t>
      </w:r>
    </w:p>
    <w:p>
      <w:pPr>
        <w:spacing w:after="0" w:line="13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53" w:name="page54"/>
    <w:bookmarkEnd w:id="53"/>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NOTE 3 — MARKETABLE SECURITIES</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table sets forth the Company’s marketable securities for the indicated period:</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9"/>
        </w:trPr>
        <w:tc>
          <w:tcPr>
            <w:tcW w:w="660" w:type="dxa"/>
            <w:vAlign w:val="bottom"/>
          </w:tcPr>
          <w:p>
            <w:pPr>
              <w:spacing w:after="0"/>
              <w:rPr>
                <w:sz w:val="24"/>
                <w:szCs w:val="24"/>
                <w:color w:val="auto"/>
              </w:rPr>
            </w:pPr>
          </w:p>
        </w:tc>
        <w:tc>
          <w:tcPr>
            <w:tcW w:w="7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80" w:type="dxa"/>
            <w:vAlign w:val="bottom"/>
            <w:gridSpan w:val="5"/>
          </w:tcPr>
          <w:p>
            <w:pPr>
              <w:ind w:left="340"/>
              <w:spacing w:after="0"/>
              <w:rPr>
                <w:sz w:val="20"/>
                <w:szCs w:val="20"/>
                <w:color w:val="auto"/>
              </w:rPr>
            </w:pPr>
            <w:r>
              <w:rPr>
                <w:rFonts w:ascii="Times New Roman" w:cs="Times New Roman" w:eastAsia="Times New Roman" w:hAnsi="Times New Roman"/>
                <w:sz w:val="18"/>
                <w:szCs w:val="18"/>
                <w:color w:val="auto"/>
              </w:rPr>
              <w:t>December 31,</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Level 2 securities: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U.S government and agency bonds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4,192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275</w:t>
            </w: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foreign government bonds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2,006</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Corporate bonds*</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15,454</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1,434</w:t>
            </w:r>
          </w:p>
        </w:tc>
      </w:tr>
      <w:tr>
        <w:trPr>
          <w:trHeight w:val="256"/>
        </w:trPr>
        <w:tc>
          <w:tcPr>
            <w:tcW w:w="660" w:type="dxa"/>
            <w:vAlign w:val="bottom"/>
          </w:tcPr>
          <w:p>
            <w:pPr>
              <w:spacing w:after="0"/>
              <w:rPr>
                <w:sz w:val="22"/>
                <w:szCs w:val="22"/>
                <w:color w:val="auto"/>
              </w:rPr>
            </w:pPr>
          </w:p>
        </w:tc>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Investments in Corporate bonds rated A or higher.</w:t>
      </w:r>
    </w:p>
    <w:p>
      <w:pPr>
        <w:spacing w:after="0" w:line="185" w:lineRule="exact"/>
        <w:rPr>
          <w:sz w:val="20"/>
          <w:szCs w:val="20"/>
          <w:color w:val="auto"/>
        </w:rPr>
      </w:pPr>
    </w:p>
    <w:p>
      <w:pPr>
        <w:ind w:left="660" w:right="360"/>
        <w:spacing w:after="0" w:line="261" w:lineRule="auto"/>
        <w:rPr>
          <w:sz w:val="20"/>
          <w:szCs w:val="20"/>
          <w:color w:val="auto"/>
        </w:rPr>
      </w:pPr>
      <w:r>
        <w:rPr>
          <w:rFonts w:ascii="Times New Roman" w:cs="Times New Roman" w:eastAsia="Times New Roman" w:hAnsi="Times New Roman"/>
          <w:sz w:val="18"/>
          <w:szCs w:val="18"/>
          <w:color w:val="auto"/>
        </w:rPr>
        <w:t>The Company’s debt securities are classified within Level 2 because it uses quoted market prices or alternative pricing sources and models utilizing market observable inputs to determine their fair value.</w:t>
      </w:r>
    </w:p>
    <w:p>
      <w:pPr>
        <w:ind w:left="660"/>
        <w:spacing w:after="0"/>
        <w:rPr>
          <w:sz w:val="20"/>
          <w:szCs w:val="20"/>
          <w:color w:val="auto"/>
        </w:rPr>
      </w:pPr>
      <w:r>
        <w:rPr>
          <w:rFonts w:ascii="Times New Roman" w:cs="Times New Roman" w:eastAsia="Times New Roman" w:hAnsi="Times New Roman"/>
          <w:sz w:val="18"/>
          <w:szCs w:val="18"/>
          <w:color w:val="auto"/>
        </w:rPr>
        <w:t>The cost of marketable securities As of December 31, 2021 is $1,734.</w:t>
      </w:r>
    </w:p>
    <w:p>
      <w:pPr>
        <w:spacing w:after="0" w:line="180"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The table below sets forth a summary of the changes in the fair value of the Company’s marketable securities for the years ended December 31, 2020 and 2021:</w:t>
      </w:r>
    </w:p>
    <w:p>
      <w:pPr>
        <w:spacing w:after="0" w:line="162" w:lineRule="exact"/>
        <w:rPr>
          <w:sz w:val="20"/>
          <w:szCs w:val="20"/>
          <w:color w:val="auto"/>
        </w:rPr>
      </w:pPr>
    </w:p>
    <w:tbl>
      <w:tblPr>
        <w:tblLayout w:type="fixed"/>
        <w:tblInd w:w="660" w:type="dxa"/>
        <w:tblCellMar>
          <w:top w:w="0" w:type="dxa"/>
          <w:left w:w="0" w:type="dxa"/>
          <w:bottom w:w="0" w:type="dxa"/>
          <w:right w:w="0" w:type="dxa"/>
        </w:tblCellMar>
      </w:tblPr>
      <w:tr>
        <w:trPr>
          <w:trHeight w:val="241"/>
        </w:trPr>
        <w:tc>
          <w:tcPr>
            <w:tcW w:w="7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80" w:type="dxa"/>
            <w:vAlign w:val="bottom"/>
            <w:gridSpan w:val="4"/>
          </w:tcPr>
          <w:p>
            <w:pPr>
              <w:jc w:val="right"/>
              <w:ind w:right="640"/>
              <w:spacing w:after="0"/>
              <w:rPr>
                <w:sz w:val="20"/>
                <w:szCs w:val="20"/>
                <w:color w:val="auto"/>
              </w:rPr>
            </w:pPr>
            <w:r>
              <w:rPr>
                <w:rFonts w:ascii="Times New Roman" w:cs="Times New Roman" w:eastAsia="Times New Roman" w:hAnsi="Times New Roman"/>
                <w:sz w:val="18"/>
                <w:szCs w:val="18"/>
                <w:color w:val="auto"/>
              </w:rPr>
              <w:t>December 31,</w:t>
            </w:r>
          </w:p>
        </w:tc>
      </w:tr>
      <w:tr>
        <w:trPr>
          <w:trHeight w:val="223"/>
        </w:trPr>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2020</w:t>
            </w:r>
          </w:p>
        </w:tc>
        <w:tc>
          <w:tcPr>
            <w:tcW w:w="200" w:type="dxa"/>
            <w:vAlign w:val="bottom"/>
            <w:tcBorders>
              <w:top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19"/>
                <w:szCs w:val="19"/>
                <w:color w:val="auto"/>
              </w:rPr>
            </w:pP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beginning of the year</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40,966</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100" w:type="dxa"/>
            <w:vAlign w:val="bottom"/>
            <w:shd w:val="clear" w:color="auto" w:fill="CCEEFF"/>
          </w:tcPr>
          <w:p>
            <w:pPr>
              <w:spacing w:after="0"/>
              <w:rPr>
                <w:sz w:val="18"/>
                <w:szCs w:val="18"/>
                <w:color w:val="auto"/>
              </w:rPr>
            </w:pPr>
          </w:p>
        </w:tc>
      </w:tr>
      <w:tr>
        <w:trPr>
          <w:trHeight w:val="216"/>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32,322</w:t>
            </w:r>
          </w:p>
        </w:tc>
        <w:tc>
          <w:tcPr>
            <w:tcW w:w="2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6,716</w:t>
            </w: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 or maturity</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(51,498)</w:t>
            </w:r>
          </w:p>
        </w:tc>
        <w:tc>
          <w:tcPr>
            <w:tcW w:w="10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(26,784)</w:t>
            </w:r>
          </w:p>
        </w:tc>
      </w:tr>
      <w:tr>
        <w:trPr>
          <w:trHeight w:val="223"/>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Changes in fair value during the year</w:t>
            </w:r>
          </w:p>
        </w:tc>
        <w:tc>
          <w:tcPr>
            <w:tcW w:w="20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(138)</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r>
      <w:tr>
        <w:trPr>
          <w:trHeight w:val="257"/>
        </w:trPr>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end of the year</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December 31, 2021, all the Company’s debt securities are due within one year.</w:t>
      </w:r>
    </w:p>
    <w:p>
      <w:pPr>
        <w:spacing w:after="0" w:line="185"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18"/>
          <w:szCs w:val="18"/>
          <w:color w:val="auto"/>
        </w:rPr>
        <w:t>F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00"/>
          </w:cols>
          <w:pgMar w:left="320" w:top="333" w:right="579" w:bottom="1440" w:gutter="0" w:footer="0" w:header="0"/>
        </w:sectPr>
      </w:pPr>
    </w:p>
    <w:bookmarkStart w:id="54" w:name="page55"/>
    <w:bookmarkEnd w:id="54"/>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0" w:type="dxa"/>
            <w:vAlign w:val="bottom"/>
          </w:tcPr>
          <w:p>
            <w:pPr>
              <w:spacing w:after="0"/>
              <w:rPr>
                <w:sz w:val="20"/>
                <w:szCs w:val="20"/>
                <w:color w:val="auto"/>
              </w:rPr>
            </w:pPr>
          </w:p>
        </w:tc>
        <w:tc>
          <w:tcPr>
            <w:tcW w:w="3120" w:type="dxa"/>
            <w:vAlign w:val="bottom"/>
          </w:tcPr>
          <w:p>
            <w:pPr>
              <w:spacing w:after="0"/>
              <w:rPr>
                <w:sz w:val="20"/>
                <w:szCs w:val="20"/>
                <w:color w:val="auto"/>
              </w:rPr>
            </w:pPr>
          </w:p>
        </w:tc>
        <w:tc>
          <w:tcPr>
            <w:tcW w:w="4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9"/>
              </w:rPr>
              <w:t>(U.S. dollars in thousands, except share and per share amounts)</w:t>
            </w: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3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w w:val="99"/>
              </w:rPr>
              <w:t>NOTE 4 — PROPERTY AND EQUIPMENT</w:t>
            </w:r>
          </w:p>
        </w:tc>
        <w:tc>
          <w:tcPr>
            <w:tcW w:w="4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38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80" w:type="dxa"/>
            <w:vAlign w:val="bottom"/>
            <w:gridSpan w:val="6"/>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3120" w:type="dxa"/>
            <w:vAlign w:val="bottom"/>
          </w:tcPr>
          <w:p>
            <w:pPr>
              <w:spacing w:after="0"/>
              <w:rPr>
                <w:sz w:val="19"/>
                <w:szCs w:val="19"/>
                <w:color w:val="auto"/>
              </w:rPr>
            </w:pPr>
          </w:p>
        </w:tc>
        <w:tc>
          <w:tcPr>
            <w:tcW w:w="44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0" w:type="dxa"/>
            <w:vAlign w:val="bottom"/>
            <w:vMerge w:val="restart"/>
          </w:tcPr>
          <w:p>
            <w:pPr>
              <w:spacing w:after="0"/>
              <w:rPr>
                <w:sz w:val="18"/>
                <w:szCs w:val="18"/>
                <w:color w:val="auto"/>
              </w:rPr>
            </w:pPr>
          </w:p>
        </w:tc>
        <w:tc>
          <w:tcPr>
            <w:tcW w:w="3120" w:type="dxa"/>
            <w:vAlign w:val="bottom"/>
          </w:tcPr>
          <w:p>
            <w:pPr>
              <w:spacing w:after="0"/>
              <w:rPr>
                <w:sz w:val="18"/>
                <w:szCs w:val="18"/>
                <w:color w:val="auto"/>
              </w:rPr>
            </w:pP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vMerge w:val="continue"/>
          </w:tcPr>
          <w:p>
            <w:pPr>
              <w:spacing w:after="0"/>
              <w:rPr>
                <w:sz w:val="18"/>
                <w:szCs w:val="18"/>
                <w:color w:val="auto"/>
              </w:rPr>
            </w:pPr>
          </w:p>
        </w:tc>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Laboratory equipment</w:t>
            </w:r>
          </w:p>
        </w:tc>
        <w:tc>
          <w:tcPr>
            <w:tcW w:w="4660" w:type="dxa"/>
            <w:vAlign w:val="bottom"/>
            <w:gridSpan w:val="2"/>
          </w:tcPr>
          <w:p>
            <w:pPr>
              <w:jc w:val="right"/>
              <w:ind w:right="76"/>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3,644</w:t>
            </w:r>
          </w:p>
        </w:tc>
        <w:tc>
          <w:tcPr>
            <w:tcW w:w="120" w:type="dxa"/>
            <w:vAlign w:val="bottom"/>
          </w:tcPr>
          <w:p>
            <w:pPr>
              <w:spacing w:after="0"/>
              <w:rPr>
                <w:sz w:val="18"/>
                <w:szCs w:val="18"/>
                <w:color w:val="auto"/>
              </w:rPr>
            </w:pPr>
          </w:p>
        </w:tc>
        <w:tc>
          <w:tcPr>
            <w:tcW w:w="26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Office equipment and furniture</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Computers and software</w:t>
            </w: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31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Leasehold improvements</w:t>
            </w:r>
          </w:p>
        </w:tc>
        <w:tc>
          <w:tcPr>
            <w:tcW w:w="44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1,953</w:t>
            </w:r>
          </w:p>
        </w:tc>
        <w:tc>
          <w:tcPr>
            <w:tcW w:w="12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1,993</w:t>
            </w:r>
          </w:p>
        </w:tc>
        <w:tc>
          <w:tcPr>
            <w:tcW w:w="8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6,392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77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Accumulated depreciation and amortization</w:t>
            </w: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(4,575)</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(5,152)</w:t>
            </w:r>
          </w:p>
        </w:tc>
        <w:tc>
          <w:tcPr>
            <w:tcW w:w="0" w:type="dxa"/>
            <w:vAlign w:val="bottom"/>
          </w:tcPr>
          <w:p>
            <w:pPr>
              <w:spacing w:after="0"/>
              <w:rPr>
                <w:sz w:val="1"/>
                <w:szCs w:val="1"/>
                <w:color w:val="auto"/>
              </w:rPr>
            </w:pPr>
          </w:p>
        </w:tc>
      </w:tr>
      <w:tr>
        <w:trPr>
          <w:trHeight w:val="257"/>
        </w:trPr>
        <w:tc>
          <w:tcPr>
            <w:tcW w:w="380" w:type="dxa"/>
            <w:vAlign w:val="bottom"/>
          </w:tcPr>
          <w:p>
            <w:pPr>
              <w:spacing w:after="0"/>
              <w:rPr>
                <w:sz w:val="22"/>
                <w:szCs w:val="22"/>
                <w:color w:val="auto"/>
              </w:rPr>
            </w:pPr>
          </w:p>
        </w:tc>
        <w:tc>
          <w:tcPr>
            <w:tcW w:w="31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44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1,817</w:t>
            </w:r>
          </w:p>
        </w:tc>
        <w:tc>
          <w:tcPr>
            <w:tcW w:w="12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w:t>
            </w:r>
          </w:p>
        </w:tc>
        <w:tc>
          <w:tcPr>
            <w:tcW w:w="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Depreciation and amortization expense totaled $887, $946 and $880 for the years ended December 31, 2019, 2020 and 2021,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5 — EMPLOYEE SEVERANCE BENEFITS</w:t>
      </w:r>
    </w:p>
    <w:p>
      <w:pPr>
        <w:spacing w:after="0" w:line="229" w:lineRule="exact"/>
        <w:rPr>
          <w:sz w:val="20"/>
          <w:szCs w:val="20"/>
          <w:color w:val="auto"/>
        </w:rPr>
      </w:pPr>
    </w:p>
    <w:p>
      <w:pPr>
        <w:ind w:left="360" w:right="160"/>
        <w:spacing w:after="0" w:line="261" w:lineRule="auto"/>
        <w:rPr>
          <w:sz w:val="20"/>
          <w:szCs w:val="20"/>
          <w:color w:val="auto"/>
        </w:rPr>
      </w:pPr>
      <w:r>
        <w:rPr>
          <w:rFonts w:ascii="Times New Roman" w:cs="Times New Roman" w:eastAsia="Times New Roman" w:hAnsi="Times New Roman"/>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was payable at each balance sheet date on an undiscounted basis.</w:t>
      </w:r>
    </w:p>
    <w:p>
      <w:pPr>
        <w:spacing w:after="0" w:line="180" w:lineRule="exact"/>
        <w:rPr>
          <w:sz w:val="20"/>
          <w:szCs w:val="20"/>
          <w:color w:val="auto"/>
        </w:rPr>
      </w:pPr>
    </w:p>
    <w:p>
      <w:pPr>
        <w:ind w:left="360"/>
        <w:spacing w:after="0" w:line="254" w:lineRule="auto"/>
        <w:rPr>
          <w:sz w:val="20"/>
          <w:szCs w:val="20"/>
          <w:color w:val="auto"/>
        </w:rPr>
      </w:pPr>
      <w:r>
        <w:rPr>
          <w:rFonts w:ascii="Times New Roman" w:cs="Times New Roman" w:eastAsia="Times New Roman" w:hAnsi="Times New Roman"/>
          <w:sz w:val="18"/>
          <w:szCs w:val="18"/>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w:t>
      </w:r>
    </w:p>
    <w:p>
      <w:pPr>
        <w:spacing w:after="0" w:line="3" w:lineRule="exact"/>
        <w:rPr>
          <w:sz w:val="20"/>
          <w:szCs w:val="20"/>
          <w:color w:val="auto"/>
        </w:rPr>
      </w:pPr>
    </w:p>
    <w:p>
      <w:pPr>
        <w:ind w:left="360" w:right="300"/>
        <w:spacing w:after="0" w:line="260" w:lineRule="auto"/>
        <w:rPr>
          <w:sz w:val="20"/>
          <w:szCs w:val="20"/>
          <w:color w:val="auto"/>
        </w:rPr>
      </w:pPr>
      <w:r>
        <w:rPr>
          <w:rFonts w:ascii="Times New Roman" w:cs="Times New Roman" w:eastAsia="Times New Roman" w:hAnsi="Times New Roman"/>
          <w:sz w:val="18"/>
          <w:szCs w:val="18"/>
          <w:color w:val="auto"/>
        </w:rPr>
        <w:t>funded are not under the control and management of the Company and the pension or severance pay risks have been irrevocably transferred to the applicable insurance companies (the “Contribution Plan”).</w:t>
      </w:r>
    </w:p>
    <w:p>
      <w:pPr>
        <w:spacing w:after="0" w:line="181" w:lineRule="exact"/>
        <w:rPr>
          <w:sz w:val="20"/>
          <w:szCs w:val="20"/>
          <w:color w:val="auto"/>
        </w:rPr>
      </w:pPr>
    </w:p>
    <w:p>
      <w:pPr>
        <w:ind w:left="360"/>
        <w:spacing w:after="0" w:line="266" w:lineRule="auto"/>
        <w:rPr>
          <w:sz w:val="20"/>
          <w:szCs w:val="20"/>
          <w:color w:val="auto"/>
        </w:rPr>
      </w:pPr>
      <w:r>
        <w:rPr>
          <w:rFonts w:ascii="Times New Roman" w:cs="Times New Roman" w:eastAsia="Times New Roman" w:hAnsi="Times New Roman"/>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76" w:lineRule="exact"/>
        <w:rPr>
          <w:sz w:val="20"/>
          <w:szCs w:val="20"/>
          <w:color w:val="auto"/>
        </w:rPr>
      </w:pPr>
    </w:p>
    <w:p>
      <w:pPr>
        <w:ind w:left="360" w:right="380"/>
        <w:spacing w:after="0" w:line="282" w:lineRule="auto"/>
        <w:rPr>
          <w:sz w:val="20"/>
          <w:szCs w:val="20"/>
          <w:color w:val="auto"/>
        </w:rPr>
      </w:pPr>
      <w:r>
        <w:rPr>
          <w:rFonts w:ascii="Times New Roman" w:cs="Times New Roman" w:eastAsia="Times New Roman" w:hAnsi="Times New Roman"/>
          <w:sz w:val="18"/>
          <w:szCs w:val="18"/>
          <w:color w:val="auto"/>
        </w:rPr>
        <w:t>The amounts of severance payment expenses were $402, $428 and $445 for the years ended December 31, 2019, 2020 and 2021, respectively, of which $363, $408 and $404 in the years ended December 2019, 2020 and 2021, respectively, were in respect of the Contribution Plan.</w:t>
      </w:r>
    </w:p>
    <w:p>
      <w:pPr>
        <w:spacing w:after="0" w:line="162" w:lineRule="exact"/>
        <w:rPr>
          <w:sz w:val="20"/>
          <w:szCs w:val="20"/>
          <w:color w:val="auto"/>
        </w:rPr>
      </w:pPr>
    </w:p>
    <w:p>
      <w:pPr>
        <w:ind w:left="360" w:right="620"/>
        <w:spacing w:after="0" w:line="282" w:lineRule="auto"/>
        <w:rPr>
          <w:sz w:val="20"/>
          <w:szCs w:val="20"/>
          <w:color w:val="auto"/>
        </w:rPr>
      </w:pPr>
      <w:r>
        <w:rPr>
          <w:rFonts w:ascii="Times New Roman" w:cs="Times New Roman" w:eastAsia="Times New Roman" w:hAnsi="Times New Roman"/>
          <w:sz w:val="18"/>
          <w:szCs w:val="18"/>
          <w:color w:val="auto"/>
        </w:rPr>
        <w:t>The Company expects to contribute approximately $404 in the year ending December 31, 2022 to insurance companies in connection with its expected severance liabilities for that year.</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3" w:right="399" w:bottom="1440" w:gutter="0" w:footer="0" w:header="0"/>
        </w:sectPr>
      </w:pPr>
    </w:p>
    <w:bookmarkStart w:id="55" w:name="page56"/>
    <w:bookmarkEnd w:id="5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6 — COMMITMENTS :</w:t>
      </w:r>
    </w:p>
    <w:p>
      <w:pPr>
        <w:spacing w:after="0" w:line="225" w:lineRule="exact"/>
        <w:rPr>
          <w:sz w:val="20"/>
          <w:szCs w:val="20"/>
          <w:color w:val="auto"/>
        </w:rPr>
      </w:pPr>
    </w:p>
    <w:p>
      <w:pPr>
        <w:ind w:left="680" w:hanging="321"/>
        <w:spacing w:after="0"/>
        <w:tabs>
          <w:tab w:leader="none" w:pos="6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Royalty Commitments:</w:t>
      </w:r>
    </w:p>
    <w:p>
      <w:pPr>
        <w:spacing w:after="0" w:line="229" w:lineRule="exact"/>
        <w:rPr>
          <w:rFonts w:ascii="Times New Roman" w:cs="Times New Roman" w:eastAsia="Times New Roman" w:hAnsi="Times New Roman"/>
          <w:sz w:val="18"/>
          <w:szCs w:val="18"/>
          <w:color w:val="auto"/>
        </w:rPr>
      </w:pPr>
    </w:p>
    <w:p>
      <w:pPr>
        <w:ind w:left="1000" w:right="580" w:hanging="317"/>
        <w:spacing w:after="0" w:line="282" w:lineRule="auto"/>
        <w:tabs>
          <w:tab w:leader="none" w:pos="1000" w:val="left"/>
        </w:tabs>
        <w:numPr>
          <w:ilvl w:val="1"/>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obligated to pay royalties to the IIA on proceeds from the sale of products developed from research and development activities that were funded, partially, by grants from the IIA.</w:t>
      </w:r>
    </w:p>
    <w:p>
      <w:pPr>
        <w:spacing w:after="0" w:line="161" w:lineRule="exact"/>
        <w:rPr>
          <w:rFonts w:ascii="Times New Roman" w:cs="Times New Roman" w:eastAsia="Times New Roman" w:hAnsi="Times New Roman"/>
          <w:sz w:val="18"/>
          <w:szCs w:val="18"/>
          <w:color w:val="auto"/>
        </w:rPr>
      </w:pPr>
    </w:p>
    <w:p>
      <w:pPr>
        <w:ind w:left="1020" w:right="24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the specific terms of the funding arrangements with the IIA, royalties of 3.5% to 25% are payable on the sale of products developed with funding received from the IIA, which payments shall not exceed, in the aggregate, 300% of the amount of the grant received (dollar linked), plus interest at annual rate based on LIBOR.</w:t>
      </w:r>
    </w:p>
    <w:p>
      <w:pPr>
        <w:spacing w:after="0" w:line="175" w:lineRule="exact"/>
        <w:rPr>
          <w:rFonts w:ascii="Times New Roman" w:cs="Times New Roman" w:eastAsia="Times New Roman" w:hAnsi="Times New Roman"/>
          <w:sz w:val="18"/>
          <w:szCs w:val="18"/>
          <w:color w:val="auto"/>
        </w:rPr>
      </w:pPr>
    </w:p>
    <w:p>
      <w:pPr>
        <w:ind w:left="1020" w:right="1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 to December 31, 2021, the Company had recognized and received grants from the IIA in the aggregate amount of $1,430 (no grants were received in the years ended December 31, 2019, 2020 and 2021). Through December 31, 2021, the Company recorded an accumulated royalty expense of $2,109 as royalties to the IIA with respect to revenue recognized through December 31, 2021($32, $25 and $23 were recorded in 2019, 2020 and 2021 accordingly, as an expense in the consolidated statements of operations).</w:t>
      </w:r>
    </w:p>
    <w:p>
      <w:pPr>
        <w:spacing w:after="0" w:line="180" w:lineRule="exact"/>
        <w:rPr>
          <w:sz w:val="20"/>
          <w:szCs w:val="20"/>
          <w:color w:val="auto"/>
        </w:rPr>
      </w:pPr>
    </w:p>
    <w:p>
      <w:pPr>
        <w:ind w:left="980" w:hanging="324"/>
        <w:spacing w:after="0" w:line="282" w:lineRule="auto"/>
        <w:tabs>
          <w:tab w:leader="none" w:pos="9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an agreement, that was amended several times (hereafter — the agreements) with Yissum Research Development Company (hereafter — “Yissum”), the technology-licensing arm of the Hebrew University of Jerusalem.</w:t>
      </w:r>
    </w:p>
    <w:p>
      <w:pPr>
        <w:spacing w:after="0" w:line="162" w:lineRule="exact"/>
        <w:rPr>
          <w:sz w:val="20"/>
          <w:szCs w:val="20"/>
          <w:color w:val="auto"/>
        </w:rPr>
      </w:pPr>
    </w:p>
    <w:p>
      <w:pPr>
        <w:ind w:left="1020" w:right="380"/>
        <w:spacing w:after="0" w:line="261" w:lineRule="auto"/>
        <w:rPr>
          <w:sz w:val="20"/>
          <w:szCs w:val="20"/>
          <w:color w:val="auto"/>
        </w:rPr>
      </w:pPr>
      <w:r>
        <w:rPr>
          <w:rFonts w:ascii="Times New Roman" w:cs="Times New Roman" w:eastAsia="Times New Roman" w:hAnsi="Times New Roman"/>
          <w:sz w:val="18"/>
          <w:szCs w:val="18"/>
          <w:color w:val="auto"/>
        </w:rPr>
        <w:t>According to the agreements, the Company received from Yissum an exclusive and a non-exclusive license for the commercialization of certain Yissum patents. According to the agreements the Company shall pay Yissum:</w:t>
      </w:r>
    </w:p>
    <w:p>
      <w:pPr>
        <w:ind w:left="1020" w:right="320"/>
        <w:spacing w:after="0" w:line="260" w:lineRule="auto"/>
        <w:rPr>
          <w:sz w:val="20"/>
          <w:szCs w:val="20"/>
          <w:color w:val="auto"/>
        </w:rPr>
      </w:pPr>
      <w:r>
        <w:rPr>
          <w:rFonts w:ascii="Times New Roman" w:cs="Times New Roman" w:eastAsia="Times New Roman" w:hAnsi="Times New Roman"/>
          <w:sz w:val="18"/>
          <w:szCs w:val="18"/>
          <w:color w:val="auto"/>
        </w:rPr>
        <w:t>Royalties of 1.5% of net sales related to certain patents. 1.5% – 8% of proceeds received by the Company for the sub-license or license of certain patents.</w:t>
      </w:r>
    </w:p>
    <w:p>
      <w:pPr>
        <w:spacing w:after="0" w:line="18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Royalty expenses in immaterial amounts were recorded in 2019, 2020 and 2021 in respect of these agreements.</w:t>
      </w:r>
    </w:p>
    <w:p>
      <w:pPr>
        <w:spacing w:after="0" w:line="225" w:lineRule="exact"/>
        <w:rPr>
          <w:sz w:val="20"/>
          <w:szCs w:val="20"/>
          <w:color w:val="auto"/>
        </w:rPr>
      </w:pPr>
    </w:p>
    <w:p>
      <w:pPr>
        <w:ind w:left="1020" w:right="280"/>
        <w:spacing w:after="0" w:line="282" w:lineRule="auto"/>
        <w:rPr>
          <w:sz w:val="20"/>
          <w:szCs w:val="20"/>
          <w:color w:val="auto"/>
        </w:rPr>
      </w:pPr>
      <w:r>
        <w:rPr>
          <w:rFonts w:ascii="Times New Roman" w:cs="Times New Roman" w:eastAsia="Times New Roman" w:hAnsi="Times New Roman"/>
          <w:sz w:val="18"/>
          <w:szCs w:val="18"/>
          <w:color w:val="auto"/>
        </w:rPr>
        <w:t>According to the agreements, the Company may continue commercial use of certain Yissum’s patents in connection with the products and subject to the obligation to pay Yissum the royalties and the sub-license fees.</w:t>
      </w:r>
    </w:p>
    <w:p>
      <w:pPr>
        <w:spacing w:after="0" w:line="162"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Company granted rights to a third party for use and commercialization of certain Yissum patents.</w:t>
      </w:r>
    </w:p>
    <w:p>
      <w:pPr>
        <w:spacing w:after="0" w:line="221" w:lineRule="exact"/>
        <w:rPr>
          <w:sz w:val="20"/>
          <w:szCs w:val="20"/>
          <w:color w:val="auto"/>
        </w:rPr>
      </w:pPr>
    </w:p>
    <w:p>
      <w:pPr>
        <w:ind w:left="680" w:hanging="321"/>
        <w:spacing w:after="0"/>
        <w:tabs>
          <w:tab w:leader="none" w:pos="68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Lease Agreements</w:t>
      </w:r>
    </w:p>
    <w:p>
      <w:pPr>
        <w:spacing w:after="0" w:line="229" w:lineRule="exact"/>
        <w:rPr>
          <w:rFonts w:ascii="Times New Roman" w:cs="Times New Roman" w:eastAsia="Times New Roman" w:hAnsi="Times New Roman"/>
          <w:sz w:val="18"/>
          <w:szCs w:val="18"/>
          <w:color w:val="auto"/>
        </w:rPr>
      </w:pPr>
    </w:p>
    <w:p>
      <w:pPr>
        <w:ind w:left="70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leases offices and vehicles under operating leases. For leases with terms greater than 12 months, the Company records right of use assets and lease liabilities at the present value of lease payments over the leases term.</w:t>
      </w:r>
    </w:p>
    <w:p>
      <w:pPr>
        <w:spacing w:after="0" w:line="161"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Offices</w:t>
      </w:r>
    </w:p>
    <w:p>
      <w:pPr>
        <w:spacing w:after="0" w:line="27" w:lineRule="exact"/>
        <w:rPr>
          <w:rFonts w:ascii="Times New Roman" w:cs="Times New Roman" w:eastAsia="Times New Roman" w:hAnsi="Times New Roman"/>
          <w:sz w:val="18"/>
          <w:szCs w:val="18"/>
          <w:color w:val="auto"/>
        </w:rPr>
      </w:pPr>
    </w:p>
    <w:p>
      <w:pPr>
        <w:ind w:left="700" w:right="16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leases office spaces and research and development facilities under several agreements. These agreements are linked to the change in the Israeli consumer price index and expire in December 2023. These agreements are classified as operating leases and presented under operating lease right-of-use assets and operating leases liabilities. A restricted deposit of $136 has been deposited in order to secure the agreement.</w:t>
      </w:r>
    </w:p>
    <w:p>
      <w:pPr>
        <w:spacing w:after="0" w:line="1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56" w:name="page57"/>
    <w:bookmarkEnd w:id="56"/>
    <w:p>
      <w:pPr>
        <w:jc w:val="center"/>
        <w:ind w:right="-7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6 — COMMITMENTS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u w:val="single" w:color="auto"/>
          <w:color w:val="auto"/>
        </w:rPr>
        <w:t>Vehicles</w:t>
      </w:r>
    </w:p>
    <w:p>
      <w:pPr>
        <w:spacing w:after="0" w:line="27" w:lineRule="exact"/>
        <w:rPr>
          <w:sz w:val="20"/>
          <w:szCs w:val="20"/>
          <w:color w:val="auto"/>
        </w:rPr>
      </w:pPr>
    </w:p>
    <w:p>
      <w:pPr>
        <w:ind w:left="700"/>
        <w:spacing w:after="0" w:line="260" w:lineRule="auto"/>
        <w:rPr>
          <w:sz w:val="20"/>
          <w:szCs w:val="20"/>
          <w:color w:val="auto"/>
        </w:rPr>
      </w:pPr>
      <w:r>
        <w:rPr>
          <w:rFonts w:ascii="Times New Roman" w:cs="Times New Roman" w:eastAsia="Times New Roman" w:hAnsi="Times New Roman"/>
          <w:sz w:val="18"/>
          <w:szCs w:val="18"/>
          <w:color w:val="auto"/>
        </w:rPr>
        <w:t>The Company has entered into operating lease agreements for vehicles used by its employees for a period of 3 years. These contracts are classified as operating leases and presented under operating lease right-of-use assets and operating leases liabilities.</w:t>
      </w:r>
    </w:p>
    <w:p>
      <w:pPr>
        <w:spacing w:after="0" w:line="1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u w:val="single" w:color="auto"/>
          <w:color w:val="auto"/>
        </w:rPr>
        <w:t>Lease Position</w:t>
      </w:r>
    </w:p>
    <w:p>
      <w:pPr>
        <w:spacing w:after="0" w:line="22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table below presents the lease-related assets and liabilities recorded on the consolidated balance sheet:</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4"/>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45"/>
        </w:trPr>
        <w:tc>
          <w:tcPr>
            <w:tcW w:w="7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120" w:type="dxa"/>
            <w:vAlign w:val="bottom"/>
            <w:gridSpan w:val="6"/>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720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Pr>
          <w:p>
            <w:pPr>
              <w:spacing w:after="0"/>
              <w:rPr>
                <w:sz w:val="19"/>
                <w:szCs w:val="19"/>
                <w:color w:val="auto"/>
              </w:rPr>
            </w:pP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Leases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1,896</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1,501</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673</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781</w:t>
            </w: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Non-current operating leases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1,299</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810</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Remaining Lease Term</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1.29</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0.87</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Discount Rate</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6.25%</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6.13%</w:t>
            </w: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u w:val="single" w:color="auto"/>
          <w:color w:val="auto"/>
        </w:rPr>
        <w:t>Lease Costs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certain information related to lease costs of operating leases for the year ended December 31, 2021:</w:t>
      </w:r>
    </w:p>
    <w:p>
      <w:pPr>
        <w:spacing w:after="0" w:line="221"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Year</w:t>
      </w:r>
    </w:p>
    <w:p>
      <w:pPr>
        <w:spacing w:after="0" w:line="31"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Ended</w:t>
      </w:r>
    </w:p>
    <w:p>
      <w:pPr>
        <w:spacing w:after="0" w:line="9"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5080000</wp:posOffset>
            </wp:positionH>
            <wp:positionV relativeFrom="paragraph">
              <wp:posOffset>5715</wp:posOffset>
            </wp:positionV>
            <wp:extent cx="1320165"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8">
                      <a:extLst>
                        <a:ext uri="{28A0092B-C50C-407E-A947-70E740481C1C}"/>
                      </a:extLst>
                    </a:blip>
                    <a:srcRect/>
                    <a:stretch>
                      <a:fillRect/>
                    </a:stretch>
                  </pic:blipFill>
                  <pic:spPr bwMode="auto">
                    <a:xfrm>
                      <a:off x="0" y="0"/>
                      <a:ext cx="1320165" cy="17145"/>
                    </a:xfrm>
                    <a:prstGeom prst="rect">
                      <a:avLst/>
                    </a:prstGeom>
                    <a:noFill/>
                  </pic:spPr>
                </pic:pic>
              </a:graphicData>
            </a:graphic>
          </wp:anchor>
        </w:drawing>
      </w:r>
    </w:p>
    <w:p>
      <w:pPr>
        <w:ind w:left="8300"/>
        <w:spacing w:after="0"/>
        <w:tabs>
          <w:tab w:leader="none" w:pos="9400" w:val="left"/>
        </w:tabs>
        <w:rPr>
          <w:sz w:val="20"/>
          <w:szCs w:val="20"/>
          <w:color w:val="auto"/>
        </w:rPr>
      </w:pPr>
      <w:r>
        <w:rPr>
          <w:rFonts w:ascii="Times New Roman" w:cs="Times New Roman" w:eastAsia="Times New Roman" w:hAnsi="Times New Roman"/>
          <w:sz w:val="18"/>
          <w:szCs w:val="18"/>
          <w:b w:val="1"/>
          <w:bCs w:val="1"/>
          <w:color w:val="auto"/>
        </w:rPr>
        <w:t>2020</w:t>
      </w:r>
      <w:r>
        <w:rPr>
          <w:sz w:val="20"/>
          <w:szCs w:val="20"/>
          <w:color w:val="auto"/>
        </w:rPr>
        <w:tab/>
      </w:r>
      <w:r>
        <w:rPr>
          <w:rFonts w:ascii="Times New Roman" w:cs="Times New Roman" w:eastAsia="Times New Roman" w:hAnsi="Times New Roman"/>
          <w:sz w:val="18"/>
          <w:szCs w:val="18"/>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5080000</wp:posOffset>
            </wp:positionH>
            <wp:positionV relativeFrom="paragraph">
              <wp:posOffset>19685</wp:posOffset>
            </wp:positionV>
            <wp:extent cx="1320165"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a:extLst>
                        <a:ext uri="{28A0092B-C50C-407E-A947-70E740481C1C}"/>
                      </a:extLst>
                    </a:blip>
                    <a:srcRect/>
                    <a:stretch>
                      <a:fillRect/>
                    </a:stretch>
                  </pic:blipFill>
                  <pic:spPr bwMode="auto">
                    <a:xfrm>
                      <a:off x="0" y="0"/>
                      <a:ext cx="1320165" cy="17145"/>
                    </a:xfrm>
                    <a:prstGeom prst="rect">
                      <a:avLst/>
                    </a:prstGeom>
                    <a:noFill/>
                  </pic:spPr>
                </pic:pic>
              </a:graphicData>
            </a:graphic>
          </wp:anchor>
        </w:drawing>
      </w:r>
    </w:p>
    <w:p>
      <w:pPr>
        <w:spacing w:after="0" w:line="236" w:lineRule="exact"/>
        <w:rPr>
          <w:sz w:val="20"/>
          <w:szCs w:val="20"/>
          <w:color w:val="auto"/>
        </w:rPr>
      </w:pPr>
    </w:p>
    <w:p>
      <w:pPr>
        <w:ind w:left="660"/>
        <w:spacing w:after="0"/>
        <w:tabs>
          <w:tab w:leader="none" w:pos="7980" w:val="left"/>
          <w:tab w:leader="none" w:pos="8660" w:val="left"/>
          <w:tab w:leader="none" w:pos="9120" w:val="left"/>
          <w:tab w:leader="none" w:pos="9780" w:val="left"/>
        </w:tabs>
        <w:rPr>
          <w:sz w:val="20"/>
          <w:szCs w:val="20"/>
          <w:color w:val="auto"/>
        </w:rPr>
      </w:pPr>
      <w:r>
        <w:rPr>
          <w:rFonts w:ascii="Times New Roman" w:cs="Times New Roman" w:eastAsia="Times New Roman" w:hAnsi="Times New Roman"/>
          <w:sz w:val="18"/>
          <w:szCs w:val="18"/>
          <w:color w:val="auto"/>
        </w:rPr>
        <w:t>Operating lease cost:</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685</w:t>
        <w:tab/>
        <w:t>$</w:t>
      </w:r>
      <w:r>
        <w:rPr>
          <w:sz w:val="20"/>
          <w:szCs w:val="20"/>
          <w:color w:val="auto"/>
        </w:rPr>
        <w:tab/>
      </w:r>
      <w:r>
        <w:rPr>
          <w:rFonts w:ascii="Times New Roman" w:cs="Times New Roman" w:eastAsia="Times New Roman" w:hAnsi="Times New Roman"/>
          <w:sz w:val="18"/>
          <w:szCs w:val="18"/>
          <w:color w:val="auto"/>
        </w:rPr>
        <w:t>872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6043295" cy="17145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a:extLst>
                        <a:ext uri="{28A0092B-C50C-407E-A947-70E740481C1C}"/>
                      </a:extLst>
                    </a:blip>
                    <a:srcRect/>
                    <a:stretch>
                      <a:fillRect/>
                    </a:stretch>
                  </pic:blipFill>
                  <pic:spPr bwMode="auto">
                    <a:xfrm>
                      <a:off x="0" y="0"/>
                      <a:ext cx="6043295" cy="17145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18"/>
          <w:szCs w:val="18"/>
          <w:color w:val="auto"/>
        </w:rPr>
        <w:t>F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20"/>
          </w:cols>
          <w:pgMar w:left="320" w:top="333" w:right="1059" w:bottom="1440" w:gutter="0" w:footer="0" w:header="0"/>
        </w:sectPr>
      </w:pPr>
    </w:p>
    <w:bookmarkStart w:id="57" w:name="page58"/>
    <w:bookmarkEnd w:id="5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6 — COMMITMENTS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supplemental cash flow information related to leases for the year ended December 31, 2021:</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80" w:type="dxa"/>
            <w:vAlign w:val="bottom"/>
            <w:gridSpan w:val="5"/>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Year Ended</w:t>
            </w:r>
          </w:p>
        </w:tc>
      </w:tr>
      <w:tr>
        <w:trPr>
          <w:trHeight w:val="245"/>
        </w:trPr>
        <w:tc>
          <w:tcPr>
            <w:tcW w:w="7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980" w:type="dxa"/>
            <w:vAlign w:val="bottom"/>
            <w:gridSpan w:val="5"/>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23"/>
        </w:trPr>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leases liabilities: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4"/>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Operating cash flows from operating leases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735</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843</w:t>
            </w:r>
          </w:p>
        </w:tc>
      </w:tr>
    </w:tbl>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u w:val="single" w:color="auto"/>
          <w:color w:val="auto"/>
        </w:rPr>
        <w:t>Undiscounted Cash Flows</w:t>
      </w:r>
    </w:p>
    <w:p>
      <w:pPr>
        <w:spacing w:after="0" w:line="225" w:lineRule="exact"/>
        <w:rPr>
          <w:sz w:val="20"/>
          <w:szCs w:val="20"/>
          <w:color w:val="auto"/>
        </w:rPr>
      </w:pPr>
    </w:p>
    <w:p>
      <w:pPr>
        <w:ind w:left="660" w:right="500"/>
        <w:spacing w:after="0" w:line="282" w:lineRule="auto"/>
        <w:rPr>
          <w:sz w:val="20"/>
          <w:szCs w:val="20"/>
          <w:color w:val="auto"/>
        </w:rPr>
      </w:pPr>
      <w:r>
        <w:rPr>
          <w:rFonts w:ascii="Times New Roman" w:cs="Times New Roman" w:eastAsia="Times New Roman" w:hAnsi="Times New Roman"/>
          <w:sz w:val="18"/>
          <w:szCs w:val="18"/>
          <w:color w:val="auto"/>
        </w:rPr>
        <w:t>The table below reconciles the undiscounted cash flows for each of the first five years and total of the remaining years to the operating lease liabilities recorded on the consolidated balance sheet:</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848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Operating</w:t>
            </w:r>
          </w:p>
        </w:tc>
      </w:tr>
      <w:tr>
        <w:trPr>
          <w:trHeight w:val="245"/>
        </w:trPr>
        <w:tc>
          <w:tcPr>
            <w:tcW w:w="84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Leases</w:t>
            </w:r>
          </w:p>
        </w:tc>
      </w:tr>
      <w:tr>
        <w:trPr>
          <w:trHeight w:val="216"/>
        </w:trPr>
        <w:tc>
          <w:tcPr>
            <w:tcW w:w="84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 the year ending December 31, 2021</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4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2022</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858</w:t>
            </w:r>
          </w:p>
        </w:tc>
        <w:tc>
          <w:tcPr>
            <w:tcW w:w="100" w:type="dxa"/>
            <w:vAlign w:val="bottom"/>
          </w:tcPr>
          <w:p>
            <w:pPr>
              <w:spacing w:after="0"/>
              <w:rPr>
                <w:sz w:val="18"/>
                <w:szCs w:val="18"/>
                <w:color w:val="auto"/>
              </w:rPr>
            </w:pPr>
          </w:p>
        </w:tc>
      </w:tr>
      <w:tr>
        <w:trPr>
          <w:trHeight w:val="216"/>
        </w:trPr>
        <w:tc>
          <w:tcPr>
            <w:tcW w:w="84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2023</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789</w:t>
            </w:r>
          </w:p>
        </w:tc>
        <w:tc>
          <w:tcPr>
            <w:tcW w:w="100" w:type="dxa"/>
            <w:vAlign w:val="bottom"/>
            <w:shd w:val="clear" w:color="auto" w:fill="CCEEFF"/>
          </w:tcPr>
          <w:p>
            <w:pPr>
              <w:spacing w:after="0"/>
              <w:rPr>
                <w:sz w:val="18"/>
                <w:szCs w:val="18"/>
                <w:color w:val="auto"/>
              </w:rPr>
            </w:pPr>
          </w:p>
        </w:tc>
      </w:tr>
      <w:tr>
        <w:trPr>
          <w:trHeight w:val="223"/>
        </w:trPr>
        <w:tc>
          <w:tcPr>
            <w:tcW w:w="84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2024</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Pr>
          <w:p>
            <w:pPr>
              <w:spacing w:after="0"/>
              <w:rPr>
                <w:sz w:val="19"/>
                <w:szCs w:val="19"/>
                <w:color w:val="auto"/>
              </w:rPr>
            </w:pPr>
          </w:p>
        </w:tc>
      </w:tr>
      <w:tr>
        <w:trPr>
          <w:trHeight w:val="216"/>
        </w:trPr>
        <w:tc>
          <w:tcPr>
            <w:tcW w:w="8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minimum lease payments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1,677</w:t>
            </w:r>
          </w:p>
        </w:tc>
        <w:tc>
          <w:tcPr>
            <w:tcW w:w="100" w:type="dxa"/>
            <w:vAlign w:val="bottom"/>
            <w:shd w:val="clear" w:color="auto" w:fill="CCEEFF"/>
          </w:tcPr>
          <w:p>
            <w:pPr>
              <w:spacing w:after="0"/>
              <w:rPr>
                <w:sz w:val="18"/>
                <w:szCs w:val="18"/>
                <w:color w:val="auto"/>
              </w:rPr>
            </w:pPr>
          </w:p>
        </w:tc>
      </w:tr>
      <w:tr>
        <w:trPr>
          <w:trHeight w:val="223"/>
        </w:trPr>
        <w:tc>
          <w:tcPr>
            <w:tcW w:w="8480" w:type="dxa"/>
            <w:vAlign w:val="bottom"/>
          </w:tcPr>
          <w:p>
            <w:pPr>
              <w:spacing w:after="0"/>
              <w:rPr>
                <w:sz w:val="20"/>
                <w:szCs w:val="20"/>
                <w:color w:val="auto"/>
              </w:rPr>
            </w:pPr>
            <w:r>
              <w:rPr>
                <w:rFonts w:ascii="Times New Roman" w:cs="Times New Roman" w:eastAsia="Times New Roman" w:hAnsi="Times New Roman"/>
                <w:sz w:val="18"/>
                <w:szCs w:val="18"/>
                <w:color w:val="auto"/>
              </w:rPr>
              <w:t>Less: amount of lease payments representing interest</w:t>
            </w:r>
          </w:p>
        </w:tc>
        <w:tc>
          <w:tcPr>
            <w:tcW w:w="14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(86)</w:t>
            </w:r>
          </w:p>
        </w:tc>
      </w:tr>
      <w:tr>
        <w:trPr>
          <w:trHeight w:val="223"/>
        </w:trPr>
        <w:tc>
          <w:tcPr>
            <w:tcW w:w="8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Present value of future minimum lease payments</w:t>
            </w:r>
          </w:p>
        </w:tc>
        <w:tc>
          <w:tcPr>
            <w:tcW w:w="140" w:type="dxa"/>
            <w:vAlign w:val="bottom"/>
            <w:tcBorders>
              <w:top w:val="single" w:sz="8" w:color="auto"/>
              <w:bottom w:val="single" w:sz="8" w:color="auto"/>
            </w:tcBorders>
            <w:shd w:val="clear" w:color="auto" w:fill="CCEEFF"/>
          </w:tcPr>
          <w:p>
            <w:pPr>
              <w:spacing w:after="0"/>
              <w:rPr>
                <w:sz w:val="19"/>
                <w:szCs w:val="19"/>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48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maturities of operating leases</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100" w:type="dxa"/>
            <w:vAlign w:val="bottom"/>
          </w:tcPr>
          <w:p>
            <w:pPr>
              <w:spacing w:after="0"/>
              <w:rPr>
                <w:sz w:val="19"/>
                <w:szCs w:val="19"/>
                <w:color w:val="auto"/>
              </w:rPr>
            </w:pPr>
          </w:p>
        </w:tc>
      </w:tr>
      <w:tr>
        <w:trPr>
          <w:trHeight w:val="223"/>
        </w:trPr>
        <w:tc>
          <w:tcPr>
            <w:tcW w:w="8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Long-term operating leases liabilities</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48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1,591</w:t>
            </w:r>
          </w:p>
        </w:tc>
        <w:tc>
          <w:tcPr>
            <w:tcW w:w="100" w:type="dxa"/>
            <w:vAlign w:val="bottom"/>
          </w:tcPr>
          <w:p>
            <w:pPr>
              <w:spacing w:after="0"/>
              <w:rPr>
                <w:sz w:val="19"/>
                <w:szCs w:val="19"/>
                <w:color w:val="auto"/>
              </w:rPr>
            </w:pPr>
          </w:p>
        </w:tc>
      </w:tr>
    </w:tbl>
    <w:p>
      <w:pPr>
        <w:spacing w:after="0" w:line="198" w:lineRule="exact"/>
        <w:rPr>
          <w:sz w:val="20"/>
          <w:szCs w:val="20"/>
          <w:color w:val="auto"/>
        </w:rPr>
      </w:pPr>
    </w:p>
    <w:p>
      <w:pPr>
        <w:ind w:left="680" w:hanging="321"/>
        <w:spacing w:after="0" w:line="258" w:lineRule="auto"/>
        <w:tabs>
          <w:tab w:leader="none" w:pos="6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June 2008, the Company entered into a Master Clinical Trial Services Agreement with a third party, which was later amended in April 2017, to retain its services as a clinical research organization for certain product candidate subject to task work orders to be issued by the Company. During 2018, the Company entered into six additional task orders. As consideration for its services the Company will pay a total amount of approximately $14,425 during the term of the engagement and based on achievement of certain milestones, out of which $12,710 were recognized as an expense until December 31, 2021.</w:t>
      </w:r>
    </w:p>
    <w:p>
      <w:pPr>
        <w:spacing w:after="0" w:line="183" w:lineRule="exact"/>
        <w:rPr>
          <w:rFonts w:ascii="Times New Roman" w:cs="Times New Roman" w:eastAsia="Times New Roman" w:hAnsi="Times New Roman"/>
          <w:sz w:val="18"/>
          <w:szCs w:val="18"/>
          <w:color w:val="auto"/>
        </w:rPr>
      </w:pPr>
    </w:p>
    <w:p>
      <w:pPr>
        <w:ind w:left="680" w:right="60" w:hanging="321"/>
        <w:spacing w:after="0" w:line="256" w:lineRule="auto"/>
        <w:tabs>
          <w:tab w:leader="none" w:pos="6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2016 through 2020, the Company entered into several collaboration agreements mainly with one third party (the "Partner") for the development, manufacturing and commercialization of several product candidates (including an agreement assumed by the Company in August 2018, following the transfer of an in-process research and development product candidate from a related party). In November 2021, the Company entered into a new agreement (the "New Agreement") with the Partner, to sell its rights to the Partner in relation to ten generic collaborative agreements between the parties. Under the New Agreement, the Company has retained collaboration rights to two generic programs related to four generic drug candidates. See detailed information in note 7b.</w:t>
      </w:r>
    </w:p>
    <w:p>
      <w:pPr>
        <w:spacing w:after="0" w:line="119" w:lineRule="exact"/>
        <w:rPr>
          <w:rFonts w:ascii="Times New Roman" w:cs="Times New Roman" w:eastAsia="Times New Roman" w:hAnsi="Times New Roman"/>
          <w:sz w:val="18"/>
          <w:szCs w:val="18"/>
          <w:color w:val="auto"/>
        </w:rPr>
      </w:pPr>
    </w:p>
    <w:p>
      <w:pPr>
        <w:ind w:left="680" w:right="100" w:hanging="321"/>
        <w:spacing w:after="0" w:line="261" w:lineRule="auto"/>
        <w:tabs>
          <w:tab w:leader="none" w:pos="68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October 2017, the Company entered into a Clinical Development Master Services Agreement with a third party, to retain it as clinical research organization for certain product candidate, subject to task work orders to be issued by the Company. As consideration for its services the Company will pay a total amount of approximately $13,955 during the term of the engagement and based on achievement of certain milestones, out of which $13,430 were recognized as an expense until December 31, 2021.</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58" w:name="page59"/>
    <w:bookmarkEnd w:id="5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7 — COLLABORATION AGREEMENTS</w:t>
      </w:r>
    </w:p>
    <w:p>
      <w:pPr>
        <w:spacing w:after="0" w:line="229" w:lineRule="exact"/>
        <w:rPr>
          <w:sz w:val="20"/>
          <w:szCs w:val="20"/>
          <w:color w:val="auto"/>
        </w:rPr>
      </w:pPr>
    </w:p>
    <w:p>
      <w:pPr>
        <w:ind w:left="1300" w:right="700" w:hanging="334"/>
        <w:spacing w:after="0" w:line="312" w:lineRule="auto"/>
        <w:tabs>
          <w:tab w:leader="none" w:pos="1300" w:val="left"/>
        </w:tabs>
        <w:numPr>
          <w:ilvl w:val="0"/>
          <w:numId w:val="4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39" w:lineRule="exact"/>
        <w:rPr>
          <w:rFonts w:ascii="Times New Roman" w:cs="Times New Roman" w:eastAsia="Times New Roman" w:hAnsi="Times New Roman"/>
          <w:sz w:val="17"/>
          <w:szCs w:val="17"/>
          <w:color w:val="auto"/>
        </w:rPr>
      </w:pPr>
    </w:p>
    <w:p>
      <w:pPr>
        <w:ind w:left="1300" w:hanging="334"/>
        <w:spacing w:after="0" w:line="258" w:lineRule="auto"/>
        <w:tabs>
          <w:tab w:leader="none" w:pos="130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2016 through 2020, the Company entered into several collaboration agreements mainly with one Partner for the development, manufacturing and commercialization of several generic product candidates. Under the agreements, the Partner is obligated to conduct regulatory, scientific, clinical and technical activities necessary to develop the product and prepare and file ANDA, with the FDA and gain regulatory approval. The Company participates in the development of the product candidates, including participation in joint steering committees and is obligated for sourcing the active pharmaceutical ingredient (API) during the development phase.</w:t>
      </w:r>
    </w:p>
    <w:p>
      <w:pPr>
        <w:spacing w:after="0" w:line="183" w:lineRule="exact"/>
        <w:rPr>
          <w:rFonts w:ascii="Times New Roman" w:cs="Times New Roman" w:eastAsia="Times New Roman" w:hAnsi="Times New Roman"/>
          <w:sz w:val="18"/>
          <w:szCs w:val="18"/>
          <w:color w:val="auto"/>
        </w:rPr>
      </w:pPr>
    </w:p>
    <w:p>
      <w:pPr>
        <w:ind w:left="1300" w:right="12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FDA approval, the Partner has exclusive rights and is required to use diligent efforts to commercialize these products in territories defined under the agreements, including all required sales, marketing and distributing activities associated with the agreements. The Company is entitled to a share of the Partner's gross profits related to the sale of the products, as such term is defined in each of the agreements.</w:t>
      </w:r>
    </w:p>
    <w:p>
      <w:pPr>
        <w:spacing w:after="0" w:line="179" w:lineRule="exact"/>
        <w:rPr>
          <w:rFonts w:ascii="Times New Roman" w:cs="Times New Roman" w:eastAsia="Times New Roman" w:hAnsi="Times New Roman"/>
          <w:sz w:val="18"/>
          <w:szCs w:val="18"/>
          <w:color w:val="auto"/>
        </w:rPr>
      </w:pPr>
    </w:p>
    <w:p>
      <w:pPr>
        <w:ind w:left="130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years ended December 31, 2019, 2020 and 2021, the Company recognized collaboration revenues related to sales of products in the U.S. under these agreements in the amounts of $22,775, $8,673 and $3,303, respectively.</w:t>
      </w:r>
    </w:p>
    <w:p>
      <w:pPr>
        <w:spacing w:after="0" w:line="161" w:lineRule="exact"/>
        <w:rPr>
          <w:rFonts w:ascii="Times New Roman" w:cs="Times New Roman" w:eastAsia="Times New Roman" w:hAnsi="Times New Roman"/>
          <w:sz w:val="18"/>
          <w:szCs w:val="18"/>
          <w:color w:val="auto"/>
        </w:rPr>
      </w:pPr>
    </w:p>
    <w:p>
      <w:pPr>
        <w:ind w:left="1280" w:right="2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Agreements are considered to be within the scope of ASC 808, as the parties are active participants and exposed to the risks and rewards of the collaborative activity. The Company recognizes collaboration revenues when the related sales occur.</w:t>
      </w:r>
    </w:p>
    <w:p>
      <w:pPr>
        <w:spacing w:after="0" w:line="161" w:lineRule="exact"/>
        <w:rPr>
          <w:rFonts w:ascii="Times New Roman" w:cs="Times New Roman" w:eastAsia="Times New Roman" w:hAnsi="Times New Roman"/>
          <w:sz w:val="18"/>
          <w:szCs w:val="18"/>
          <w:color w:val="auto"/>
        </w:rPr>
      </w:pPr>
    </w:p>
    <w:p>
      <w:pPr>
        <w:ind w:left="1280" w:right="80" w:firstLine="2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November 2021, the Company entered into a New Agreement with the Partner, to sell its rights in relation to ten generic collaborative agreements between the parties, including the agreements for two approved generic drug products. Under the New Agreement, the Company has retained collaboration rights to two generic programs related to four generic drug candidates. Following the signing of the New Agreement, the Company is no longer entitled to receive its share in profit as detailed above.</w:t>
      </w:r>
    </w:p>
    <w:p>
      <w:pPr>
        <w:spacing w:after="0" w:line="179" w:lineRule="exact"/>
        <w:rPr>
          <w:rFonts w:ascii="Times New Roman" w:cs="Times New Roman" w:eastAsia="Times New Roman" w:hAnsi="Times New Roman"/>
          <w:sz w:val="18"/>
          <w:szCs w:val="18"/>
          <w:color w:val="auto"/>
        </w:rPr>
      </w:pPr>
    </w:p>
    <w:p>
      <w:pPr>
        <w:ind w:left="1280" w:right="80" w:firstLine="20"/>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the terms of the New Agreement, effective as of November 1, 2021, the Company will unconditionally receive $21.5 million over 24 months, in lieu of its share in future gross profits for the two approved generic drug products and its potential gross profits for eight unapproved generic programs. The Company received $1,250 as an upfront payment and $20,250 in eight equal quarterly instalments. The New Agreement also provides that effective as of November 1, 2021, the Company will cease paying any outstanding and future operational costs related to these collaborative agreements.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8 – LICENSE AGREEMENTS:</w:t>
      </w:r>
    </w:p>
    <w:p>
      <w:pPr>
        <w:spacing w:after="0" w:line="229" w:lineRule="exact"/>
        <w:rPr>
          <w:sz w:val="20"/>
          <w:szCs w:val="20"/>
          <w:color w:val="auto"/>
        </w:rPr>
      </w:pPr>
    </w:p>
    <w:p>
      <w:pPr>
        <w:ind w:left="660" w:right="80"/>
        <w:spacing w:after="0" w:line="258" w:lineRule="auto"/>
        <w:rPr>
          <w:sz w:val="20"/>
          <w:szCs w:val="20"/>
          <w:color w:val="auto"/>
        </w:rPr>
      </w:pPr>
      <w:r>
        <w:rPr>
          <w:rFonts w:ascii="Times New Roman" w:cs="Times New Roman" w:eastAsia="Times New Roman" w:hAnsi="Times New Roman"/>
          <w:sz w:val="18"/>
          <w:szCs w:val="18"/>
          <w:color w:val="auto"/>
        </w:rPr>
        <w:t>In June 2021, the Company entered into two exclusive license agreements with Galderma for the commercialization of two of the Company most advanced investigational drug products (Twyneo® and Epsolay®) in the United States. The Company is entitled to up to $7.5 million per product in upfront payments and regulatory approval milestone payments assuming 2021 approval of each respective product. The Company is also eligible to receive tiered double-digit royalties ranging from mid-teen to high-teen percentage of net sales as well as up to $9 million in sales milestone payments.</w:t>
      </w:r>
    </w:p>
    <w:p>
      <w:pPr>
        <w:spacing w:after="0" w:line="1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59" w:name="page60"/>
    <w:bookmarkEnd w:id="59"/>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8 – LICENSE AGREEMENTS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40" w:right="60"/>
        <w:spacing w:after="0" w:line="256" w:lineRule="auto"/>
        <w:rPr>
          <w:sz w:val="20"/>
          <w:szCs w:val="20"/>
          <w:color w:val="auto"/>
        </w:rPr>
      </w:pPr>
      <w:r>
        <w:rPr>
          <w:rFonts w:ascii="Times New Roman" w:cs="Times New Roman" w:eastAsia="Times New Roman" w:hAnsi="Times New Roman"/>
          <w:sz w:val="18"/>
          <w:szCs w:val="18"/>
          <w:color w:val="auto"/>
        </w:rPr>
        <w:t>According to the agreement, the Company has an option to regain commercialization rights five years following first commercialization. In the third quarter of 2021, the Company received $7.5 million for Twyneo® and $4 million for Epsolay® of upfront payments, which are refundable if FDA approval for each respective product is not received by December 31, 2021. On July 27, 2021, the Company announced that the FDA approved the Company’s first proprietary drug product, Twyneo®. See note 1. Since FDA approval for Epsolay® had not been received as of December 31, 2021, the Company is required to refund the $4 million upfront payment, which is recorded under " Other accounts payable" in the Company’s balance sheet. In March 2022, the Company has refunded the $4 million upfront payment to Galderma.</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SHARE CAPITAL</w:t>
      </w:r>
    </w:p>
    <w:p>
      <w:pPr>
        <w:spacing w:after="0" w:line="225" w:lineRule="exact"/>
        <w:rPr>
          <w:sz w:val="20"/>
          <w:szCs w:val="20"/>
          <w:color w:val="auto"/>
        </w:rPr>
      </w:pPr>
    </w:p>
    <w:p>
      <w:pPr>
        <w:ind w:left="640" w:hanging="632"/>
        <w:spacing w:after="0"/>
        <w:tabs>
          <w:tab w:leader="none" w:pos="640" w:val="left"/>
        </w:tabs>
        <w:numPr>
          <w:ilvl w:val="0"/>
          <w:numId w:val="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Ordinary shares</w:t>
      </w:r>
    </w:p>
    <w:p>
      <w:pPr>
        <w:spacing w:after="0" w:line="22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b w:val="1"/>
          <w:bCs w:val="1"/>
          <w:color w:val="auto"/>
        </w:rPr>
        <w:t>Rights of the Company’s ordinary shares</w:t>
      </w:r>
    </w:p>
    <w:p>
      <w:pPr>
        <w:spacing w:after="0" w:line="229" w:lineRule="exact"/>
        <w:rPr>
          <w:sz w:val="20"/>
          <w:szCs w:val="20"/>
          <w:color w:val="auto"/>
        </w:rPr>
      </w:pPr>
    </w:p>
    <w:p>
      <w:pPr>
        <w:ind w:left="700" w:right="440"/>
        <w:spacing w:after="0" w:line="282" w:lineRule="auto"/>
        <w:rPr>
          <w:sz w:val="20"/>
          <w:szCs w:val="20"/>
          <w:color w:val="auto"/>
        </w:rPr>
      </w:pPr>
      <w:r>
        <w:rPr>
          <w:rFonts w:ascii="Times New Roman" w:cs="Times New Roman" w:eastAsia="Times New Roman" w:hAnsi="Times New Roman"/>
          <w:sz w:val="18"/>
          <w:szCs w:val="18"/>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62" w:lineRule="exact"/>
        <w:rPr>
          <w:sz w:val="20"/>
          <w:szCs w:val="20"/>
          <w:color w:val="auto"/>
        </w:rPr>
      </w:pPr>
    </w:p>
    <w:p>
      <w:pPr>
        <w:ind w:left="680" w:right="20" w:hanging="321"/>
        <w:spacing w:after="0" w:line="257" w:lineRule="auto"/>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August 12, 2019, the Company completed an underwritten follow-on public offering, in which it issued 1,437,500 ordinary shares, including the full exercise by the underwriters of their option to purchase 187,500 additional ordinary shares, at a public offering price of $8.00 per ordinary share.</w:t>
      </w:r>
    </w:p>
    <w:p>
      <w:pPr>
        <w:spacing w:after="0" w:line="1" w:lineRule="exact"/>
        <w:rPr>
          <w:rFonts w:ascii="Times New Roman" w:cs="Times New Roman" w:eastAsia="Times New Roman" w:hAnsi="Times New Roman"/>
          <w:sz w:val="18"/>
          <w:szCs w:val="18"/>
          <w:color w:val="auto"/>
        </w:rPr>
      </w:pPr>
    </w:p>
    <w:p>
      <w:pPr>
        <w:ind w:left="6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proceeds received from the offering, net of issuance costs, were approximately $10,613.</w:t>
      </w:r>
    </w:p>
    <w:p>
      <w:pPr>
        <w:spacing w:after="0" w:line="206" w:lineRule="exact"/>
        <w:rPr>
          <w:rFonts w:ascii="Times New Roman" w:cs="Times New Roman" w:eastAsia="Times New Roman" w:hAnsi="Times New Roman"/>
          <w:sz w:val="18"/>
          <w:szCs w:val="18"/>
          <w:color w:val="auto"/>
        </w:rPr>
      </w:pPr>
    </w:p>
    <w:p>
      <w:pPr>
        <w:ind w:left="680" w:right="60" w:hanging="321"/>
        <w:spacing w:after="0" w:line="261" w:lineRule="auto"/>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February 19, 2020, the Company completed an underwritten public offering, in which it issued 2,091,907 ordinary shares and 2,091,907 warrants to purchase up to 1,673,525 ordinary shares, at a public offering price of $11.00 per ordinary shares. The warrants are exercisable over a three-year period from the date of issuance at a per share exercise price of $14, subject to certain adjustments as defined in the agreement. The total proceeds received from the offering, net of issuance costs, were approximately $21,306.</w:t>
      </w:r>
    </w:p>
    <w:p>
      <w:pPr>
        <w:spacing w:after="0" w:line="179" w:lineRule="exact"/>
        <w:rPr>
          <w:rFonts w:ascii="Times New Roman" w:cs="Times New Roman" w:eastAsia="Times New Roman" w:hAnsi="Times New Roman"/>
          <w:sz w:val="18"/>
          <w:szCs w:val="18"/>
          <w:color w:val="auto"/>
        </w:rPr>
      </w:pPr>
    </w:p>
    <w:p>
      <w:pPr>
        <w:ind w:left="7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and in parallel to the public offering, the Company signed an agreement for a private placement with its controlling shareholder for an additional investment of approximately $5,000 in consideration of 454,628 ordinary shares and 454,628 warrants to purchase up to 363,702 ordinary shares, at the same terms of the underwritten public offering mentioned above. The private placement agreement was contingent on certain conditions and was approved by the company’s shareholders on April 8, 2020. The total proceeds of $5,000 were received in April 2020.</w:t>
      </w:r>
    </w:p>
    <w:p>
      <w:pPr>
        <w:spacing w:after="0" w:line="179" w:lineRule="exact"/>
        <w:rPr>
          <w:rFonts w:ascii="Times New Roman" w:cs="Times New Roman" w:eastAsia="Times New Roman" w:hAnsi="Times New Roman"/>
          <w:sz w:val="18"/>
          <w:szCs w:val="18"/>
          <w:color w:val="auto"/>
        </w:rPr>
      </w:pPr>
    </w:p>
    <w:p>
      <w:pPr>
        <w:ind w:left="680" w:right="160" w:hanging="321"/>
        <w:spacing w:after="0" w:line="261" w:lineRule="auto"/>
        <w:tabs>
          <w:tab w:leader="none" w:pos="6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July 2021, the Company entered into an ATM sales agreement with Jefferies LLC ("Jefferies"), pursuant to which the Company is entitled, at its sole discretion, to offer and sell through Jefferies, acting as sales agent, Shares having an aggregate offering price of up to $25.0 million throughout the period during which the ATM facility remains in effect. The Company agreed to pay Jefferies a commission of 3.0% of the gross proceeds from the sale of shares under the facility.</w:t>
      </w:r>
    </w:p>
    <w:p>
      <w:pPr>
        <w:spacing w:after="0" w:line="179" w:lineRule="exact"/>
        <w:rPr>
          <w:rFonts w:ascii="Times New Roman" w:cs="Times New Roman" w:eastAsia="Times New Roman" w:hAnsi="Times New Roman"/>
          <w:sz w:val="18"/>
          <w:szCs w:val="18"/>
          <w:color w:val="auto"/>
        </w:rPr>
      </w:pPr>
    </w:p>
    <w:p>
      <w:pPr>
        <w:ind w:left="700" w:right="14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effective date of the agreement through the issuance date of this report, 41,154 shares were sold under the program for total gross proceeds of approximately $0.5 million, leaving an available balance under the facility of approximately $24.5 million as of the issuance date of this report.</w:t>
      </w:r>
    </w:p>
    <w:p>
      <w:pPr>
        <w:spacing w:after="0" w:line="35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60" w:name="page61"/>
    <w:bookmarkEnd w:id="60"/>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SHARE CAPITAL (</w:t>
      </w:r>
      <w:r>
        <w:rPr>
          <w:rFonts w:ascii="Times New Roman" w:cs="Times New Roman" w:eastAsia="Times New Roman" w:hAnsi="Times New Roman"/>
          <w:sz w:val="18"/>
          <w:szCs w:val="18"/>
          <w:color w:val="auto"/>
        </w:rPr>
        <w:t>continued):</w:t>
      </w:r>
    </w:p>
    <w:p>
      <w:pPr>
        <w:spacing w:after="0" w:line="225"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18"/>
          <w:szCs w:val="18"/>
          <w:b w:val="1"/>
          <w:bCs w:val="1"/>
          <w:color w:val="auto"/>
        </w:rPr>
        <w:t>b.</w:t>
      </w:r>
      <w:r>
        <w:rPr>
          <w:sz w:val="20"/>
          <w:szCs w:val="20"/>
          <w:color w:val="auto"/>
        </w:rPr>
        <w:tab/>
      </w:r>
      <w:r>
        <w:rPr>
          <w:rFonts w:ascii="Times New Roman" w:cs="Times New Roman" w:eastAsia="Times New Roman" w:hAnsi="Times New Roman"/>
          <w:sz w:val="17"/>
          <w:szCs w:val="17"/>
          <w:b w:val="1"/>
          <w:bCs w:val="1"/>
          <w:color w:val="auto"/>
        </w:rPr>
        <w:t>Share-based compensation:</w:t>
      </w:r>
    </w:p>
    <w:p>
      <w:pPr>
        <w:spacing w:after="0" w:line="225" w:lineRule="exact"/>
        <w:rPr>
          <w:sz w:val="20"/>
          <w:szCs w:val="20"/>
          <w:color w:val="auto"/>
        </w:rPr>
      </w:pPr>
    </w:p>
    <w:p>
      <w:pPr>
        <w:ind w:left="680" w:hanging="321"/>
        <w:spacing w:after="0"/>
        <w:tabs>
          <w:tab w:leader="none" w:pos="6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Option plan</w:t>
      </w:r>
    </w:p>
    <w:p>
      <w:pPr>
        <w:spacing w:after="0" w:line="229" w:lineRule="exact"/>
        <w:rPr>
          <w:sz w:val="20"/>
          <w:szCs w:val="20"/>
          <w:color w:val="auto"/>
        </w:rPr>
      </w:pPr>
    </w:p>
    <w:p>
      <w:pPr>
        <w:ind w:left="360" w:right="180"/>
        <w:spacing w:after="0" w:line="261" w:lineRule="auto"/>
        <w:rPr>
          <w:sz w:val="20"/>
          <w:szCs w:val="20"/>
          <w:color w:val="auto"/>
        </w:rPr>
      </w:pPr>
      <w:r>
        <w:rPr>
          <w:rFonts w:ascii="Times New Roman" w:cs="Times New Roman" w:eastAsia="Times New Roman" w:hAnsi="Times New Roman"/>
          <w:sz w:val="18"/>
          <w:szCs w:val="18"/>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Company's employees, consultants, directors and other service providers.</w:t>
      </w:r>
    </w:p>
    <w:p>
      <w:pPr>
        <w:spacing w:after="0" w:line="180" w:lineRule="exact"/>
        <w:rPr>
          <w:sz w:val="20"/>
          <w:szCs w:val="20"/>
          <w:color w:val="auto"/>
        </w:rPr>
      </w:pPr>
    </w:p>
    <w:p>
      <w:pPr>
        <w:jc w:val="both"/>
        <w:ind w:left="360" w:right="100"/>
        <w:spacing w:after="0" w:line="266" w:lineRule="auto"/>
        <w:rPr>
          <w:sz w:val="20"/>
          <w:szCs w:val="20"/>
          <w:color w:val="auto"/>
        </w:rPr>
      </w:pPr>
      <w:r>
        <w:rPr>
          <w:rFonts w:ascii="Times New Roman" w:cs="Times New Roman" w:eastAsia="Times New Roman" w:hAnsi="Times New Roman"/>
          <w:sz w:val="18"/>
          <w:szCs w:val="18"/>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 and under Internal revenue Code Section 422.</w:t>
      </w:r>
    </w:p>
    <w:p>
      <w:pPr>
        <w:spacing w:after="0" w:line="176" w:lineRule="exact"/>
        <w:rPr>
          <w:sz w:val="20"/>
          <w:szCs w:val="20"/>
          <w:color w:val="auto"/>
        </w:rPr>
      </w:pPr>
    </w:p>
    <w:p>
      <w:pPr>
        <w:ind w:left="360"/>
        <w:spacing w:after="0" w:line="266" w:lineRule="auto"/>
        <w:rPr>
          <w:sz w:val="20"/>
          <w:szCs w:val="20"/>
          <w:color w:val="auto"/>
        </w:rPr>
      </w:pPr>
      <w:r>
        <w:rPr>
          <w:rFonts w:ascii="Times New Roman" w:cs="Times New Roman" w:eastAsia="Times New Roman" w:hAnsi="Times New Roman"/>
          <w:sz w:val="18"/>
          <w:szCs w:val="18"/>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the company and of comparable peer companies.</w:t>
      </w:r>
    </w:p>
    <w:p>
      <w:pPr>
        <w:spacing w:after="0" w:line="176" w:lineRule="exact"/>
        <w:rPr>
          <w:sz w:val="20"/>
          <w:szCs w:val="20"/>
          <w:color w:val="auto"/>
        </w:rPr>
      </w:pPr>
    </w:p>
    <w:p>
      <w:pPr>
        <w:ind w:left="360" w:right="80"/>
        <w:spacing w:after="0" w:line="266" w:lineRule="auto"/>
        <w:rPr>
          <w:sz w:val="20"/>
          <w:szCs w:val="20"/>
          <w:color w:val="auto"/>
        </w:rPr>
      </w:pPr>
      <w:r>
        <w:rPr>
          <w:rFonts w:ascii="Times New Roman" w:cs="Times New Roman" w:eastAsia="Times New Roman" w:hAnsi="Times New Roman"/>
          <w:sz w:val="18"/>
          <w:szCs w:val="18"/>
          <w:color w:val="auto"/>
        </w:rPr>
        <w:t>The risk-free interest rate assumption is based on observed interest rates appropriate for the expected term of the options granted in dollar terms. The expected term of the options is estimated based on the simplified method, as its historical experience for options grants as a public company is insufficient.</w:t>
      </w:r>
    </w:p>
    <w:p>
      <w:pPr>
        <w:spacing w:after="0" w:line="176" w:lineRule="exact"/>
        <w:rPr>
          <w:sz w:val="20"/>
          <w:szCs w:val="20"/>
          <w:color w:val="auto"/>
        </w:rPr>
      </w:pPr>
    </w:p>
    <w:p>
      <w:pPr>
        <w:ind w:left="360" w:right="160"/>
        <w:spacing w:after="0" w:line="261" w:lineRule="auto"/>
        <w:rPr>
          <w:sz w:val="20"/>
          <w:szCs w:val="20"/>
          <w:color w:val="auto"/>
        </w:rPr>
      </w:pPr>
      <w:r>
        <w:rPr>
          <w:rFonts w:ascii="Times New Roman" w:cs="Times New Roman" w:eastAsia="Times New Roman" w:hAnsi="Times New Roman"/>
          <w:sz w:val="18"/>
          <w:szCs w:val="18"/>
          <w:color w:val="auto"/>
        </w:rPr>
        <w:t>In December 2019, the Company’s Board of Directors approved an increase of the ordinary shares that may be issued under the Company’s Plan by reserving an additional amount of 912,230 ordinary shares.</w:t>
      </w:r>
    </w:p>
    <w:p>
      <w:pPr>
        <w:ind w:left="360"/>
        <w:spacing w:after="0"/>
        <w:rPr>
          <w:sz w:val="20"/>
          <w:szCs w:val="20"/>
          <w:color w:val="auto"/>
        </w:rPr>
      </w:pPr>
      <w:r>
        <w:rPr>
          <w:rFonts w:ascii="Times New Roman" w:cs="Times New Roman" w:eastAsia="Times New Roman" w:hAnsi="Times New Roman"/>
          <w:sz w:val="18"/>
          <w:szCs w:val="18"/>
          <w:color w:val="auto"/>
        </w:rPr>
        <w:t>As of December 31, 2021, 753,578 ordinary shares remain available for future grants under the Plan.</w:t>
      </w:r>
    </w:p>
    <w:p>
      <w:pPr>
        <w:spacing w:after="0" w:line="203" w:lineRule="exact"/>
        <w:rPr>
          <w:sz w:val="20"/>
          <w:szCs w:val="20"/>
          <w:color w:val="auto"/>
        </w:rPr>
      </w:pPr>
    </w:p>
    <w:p>
      <w:pPr>
        <w:ind w:left="680" w:hanging="321"/>
        <w:spacing w:after="0"/>
        <w:tabs>
          <w:tab w:leader="none" w:pos="68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Options grants</w:t>
      </w:r>
    </w:p>
    <w:p>
      <w:pPr>
        <w:spacing w:after="0" w:line="229" w:lineRule="exact"/>
        <w:rPr>
          <w:sz w:val="20"/>
          <w:szCs w:val="20"/>
          <w:color w:val="auto"/>
        </w:rPr>
      </w:pPr>
    </w:p>
    <w:p>
      <w:pPr>
        <w:ind w:left="1340" w:hanging="333"/>
        <w:spacing w:after="0"/>
        <w:tabs>
          <w:tab w:leader="none" w:pos="134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Option granted to employees and directors</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During the twelve months ended December 31, 2021, the Company granted 248,600 options to employees and directors:</w:t>
      </w:r>
    </w:p>
    <w:p>
      <w:pPr>
        <w:spacing w:after="0" w:line="225" w:lineRule="exact"/>
        <w:rPr>
          <w:sz w:val="20"/>
          <w:szCs w:val="20"/>
          <w:color w:val="auto"/>
        </w:rPr>
      </w:pPr>
    </w:p>
    <w:p>
      <w:pPr>
        <w:ind w:left="1260" w:right="20" w:hanging="172"/>
        <w:spacing w:after="0" w:line="282" w:lineRule="auto"/>
        <w:tabs>
          <w:tab w:leader="none" w:pos="12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January 2021 and March 2021, the Company granted a total of 20,000 options and 3,600 options, respectively, to several employees to purchase ordinary shares at an exercise price of $10.44 and $9.93 per share, respectively.</w:t>
      </w:r>
    </w:p>
    <w:p>
      <w:pPr>
        <w:spacing w:after="0" w:line="161" w:lineRule="exact"/>
        <w:rPr>
          <w:rFonts w:ascii="Times New Roman" w:cs="Times New Roman" w:eastAsia="Times New Roman" w:hAnsi="Times New Roman"/>
          <w:sz w:val="18"/>
          <w:szCs w:val="18"/>
          <w:color w:val="auto"/>
        </w:rPr>
      </w:pPr>
    </w:p>
    <w:p>
      <w:pPr>
        <w:ind w:left="1260" w:right="18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4 years; one quarter of the options vest on the first anniversary of the vesting commencement date (as described in each agreement) and the rest vest quarterly over the following three years. The options expire on the tenth anniversary of their grant date.</w:t>
      </w:r>
    </w:p>
    <w:p>
      <w:pPr>
        <w:spacing w:after="0" w:line="175" w:lineRule="exact"/>
        <w:rPr>
          <w:rFonts w:ascii="Times New Roman" w:cs="Times New Roman" w:eastAsia="Times New Roman" w:hAnsi="Times New Roman"/>
          <w:sz w:val="18"/>
          <w:szCs w:val="18"/>
          <w:color w:val="auto"/>
        </w:rPr>
      </w:pPr>
    </w:p>
    <w:p>
      <w:pPr>
        <w:ind w:left="1260" w:right="80" w:hanging="172"/>
        <w:spacing w:after="0" w:line="282" w:lineRule="auto"/>
        <w:tabs>
          <w:tab w:leader="none" w:pos="12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February 2021, the Company granted a total of 225,000 options to several directors to purchase ordinary shares at an exercise price of $10.02 per share.</w:t>
      </w:r>
    </w:p>
    <w:p>
      <w:pPr>
        <w:spacing w:after="0" w:line="161" w:lineRule="exact"/>
        <w:rPr>
          <w:rFonts w:ascii="Times New Roman" w:cs="Times New Roman" w:eastAsia="Times New Roman" w:hAnsi="Times New Roman"/>
          <w:sz w:val="18"/>
          <w:szCs w:val="18"/>
          <w:color w:val="auto"/>
        </w:rPr>
      </w:pPr>
    </w:p>
    <w:p>
      <w:pPr>
        <w:ind w:left="126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3 years; one third of the options vest on the first anniversary of the vesting commencement date (as described in each agreement) and the rest vest quarterly over the following two years. The options expire on the tenth anniversary of their grant date.</w:t>
      </w:r>
    </w:p>
    <w:p>
      <w:pPr>
        <w:spacing w:after="0" w:line="35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33" w:right="419" w:bottom="1440" w:gutter="0" w:footer="0" w:header="0"/>
        </w:sectPr>
      </w:pPr>
    </w:p>
    <w:bookmarkStart w:id="61" w:name="page62"/>
    <w:bookmarkEnd w:id="61"/>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 SHARE CAPITAL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The fair value of options granted in 2019 and 2021 was $485 and $1,061, respectively. No options were granted in 2020. The underlying data used for computing the fair value of the options are as follows: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45"/>
        </w:trPr>
        <w:tc>
          <w:tcPr>
            <w:tcW w:w="6880" w:type="dxa"/>
            <w:vAlign w:val="bottom"/>
          </w:tcPr>
          <w:p>
            <w:pPr>
              <w:spacing w:after="0"/>
              <w:rPr>
                <w:sz w:val="21"/>
                <w:szCs w:val="21"/>
                <w:color w:val="auto"/>
              </w:rPr>
            </w:pPr>
          </w:p>
        </w:tc>
        <w:tc>
          <w:tcPr>
            <w:tcW w:w="1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180" w:type="dxa"/>
            <w:vAlign w:val="bottom"/>
          </w:tcPr>
          <w:p>
            <w:pPr>
              <w:spacing w:after="0"/>
              <w:rPr>
                <w:sz w:val="21"/>
                <w:szCs w:val="21"/>
                <w:color w:val="auto"/>
              </w:rPr>
            </w:pPr>
          </w:p>
        </w:tc>
        <w:tc>
          <w:tcPr>
            <w:tcW w:w="1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1"/>
                <w:szCs w:val="21"/>
                <w:color w:val="auto"/>
              </w:rPr>
            </w:pPr>
          </w:p>
        </w:tc>
      </w:tr>
      <w:tr>
        <w:trPr>
          <w:trHeight w:val="216"/>
        </w:trPr>
        <w:tc>
          <w:tcPr>
            <w:tcW w:w="68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36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r>
      <w:tr>
        <w:trPr>
          <w:trHeight w:val="257"/>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Value of one ordinary share</w:t>
            </w: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$6.08-$8.59</w:t>
            </w: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$9.56-$10.44</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6880" w:type="dxa"/>
            <w:vAlign w:val="bottom"/>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w:t>
            </w:r>
          </w:p>
        </w:tc>
        <w:tc>
          <w:tcPr>
            <w:tcW w:w="1360" w:type="dxa"/>
            <w:vAlign w:val="bottom"/>
            <w:gridSpan w:val="2"/>
          </w:tcPr>
          <w:p>
            <w:pPr>
              <w:jc w:val="center"/>
              <w:ind w:left="110"/>
              <w:spacing w:after="0"/>
              <w:rPr>
                <w:sz w:val="20"/>
                <w:szCs w:val="20"/>
                <w:color w:val="auto"/>
              </w:rPr>
            </w:pPr>
            <w:r>
              <w:rPr>
                <w:rFonts w:ascii="Times New Roman" w:cs="Times New Roman" w:eastAsia="Times New Roman" w:hAnsi="Times New Roman"/>
                <w:sz w:val="18"/>
                <w:szCs w:val="18"/>
                <w:color w:val="auto"/>
                <w:w w:val="99"/>
              </w:rPr>
              <w:t>0%</w:t>
            </w:r>
          </w:p>
        </w:tc>
        <w:tc>
          <w:tcPr>
            <w:tcW w:w="100" w:type="dxa"/>
            <w:vAlign w:val="bottom"/>
          </w:tcPr>
          <w:p>
            <w:pPr>
              <w:spacing w:after="0"/>
              <w:rPr>
                <w:sz w:val="18"/>
                <w:szCs w:val="18"/>
                <w:color w:val="auto"/>
              </w:rPr>
            </w:pPr>
          </w:p>
        </w:tc>
      </w:tr>
      <w:tr>
        <w:trPr>
          <w:trHeight w:val="20"/>
        </w:trPr>
        <w:tc>
          <w:tcPr>
            <w:tcW w:w="68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74.87%-77.83%</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59.52%-70.48%</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10"/>
        </w:trPr>
        <w:tc>
          <w:tcPr>
            <w:tcW w:w="688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1.82%-2.75%</w:t>
            </w:r>
          </w:p>
        </w:tc>
        <w:tc>
          <w:tcPr>
            <w:tcW w:w="136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8"/>
              </w:rPr>
              <w:t>0.55%-1.14%</w:t>
            </w:r>
          </w:p>
        </w:tc>
        <w:tc>
          <w:tcPr>
            <w:tcW w:w="100" w:type="dxa"/>
            <w:vAlign w:val="bottom"/>
          </w:tcPr>
          <w:p>
            <w:pPr>
              <w:spacing w:after="0"/>
              <w:rPr>
                <w:sz w:val="18"/>
                <w:szCs w:val="18"/>
                <w:color w:val="auto"/>
              </w:rPr>
            </w:pPr>
          </w:p>
        </w:tc>
      </w:tr>
      <w:tr>
        <w:trPr>
          <w:trHeight w:val="20"/>
        </w:trPr>
        <w:tc>
          <w:tcPr>
            <w:tcW w:w="68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term</w:t>
            </w:r>
          </w:p>
        </w:tc>
        <w:tc>
          <w:tcPr>
            <w:tcW w:w="1180" w:type="dxa"/>
            <w:vAlign w:val="bottom"/>
            <w:tcBorders>
              <w:bottom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6.11 years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3.25-7 years</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ind w:left="640"/>
        <w:spacing w:after="0" w:line="282" w:lineRule="auto"/>
        <w:rPr>
          <w:sz w:val="20"/>
          <w:szCs w:val="20"/>
          <w:color w:val="auto"/>
        </w:rPr>
      </w:pPr>
      <w:r>
        <w:rPr>
          <w:rFonts w:ascii="Times New Roman" w:cs="Times New Roman" w:eastAsia="Times New Roman" w:hAnsi="Times New Roman"/>
          <w:sz w:val="18"/>
          <w:szCs w:val="18"/>
          <w:color w:val="auto"/>
        </w:rPr>
        <w:t>The total unrecognized compensation cost of employee options at December 31, 2021 is $376, which is expected to be recognized over a period of 3.17 years.</w:t>
      </w:r>
    </w:p>
    <w:p>
      <w:pPr>
        <w:spacing w:after="0" w:line="162" w:lineRule="exact"/>
        <w:rPr>
          <w:sz w:val="20"/>
          <w:szCs w:val="20"/>
          <w:color w:val="auto"/>
        </w:rPr>
      </w:pPr>
    </w:p>
    <w:p>
      <w:pPr>
        <w:ind w:left="640" w:right="24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number of options granted to employees under the Plan for the year ended December 31, 2021, and related information:</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45"/>
        </w:trPr>
        <w:tc>
          <w:tcPr>
            <w:tcW w:w="6200" w:type="dxa"/>
            <w:vAlign w:val="bottom"/>
          </w:tcPr>
          <w:p>
            <w:pPr>
              <w:spacing w:after="0"/>
              <w:rPr>
                <w:sz w:val="21"/>
                <w:szCs w:val="21"/>
                <w:color w:val="auto"/>
              </w:rPr>
            </w:pPr>
          </w:p>
        </w:tc>
        <w:tc>
          <w:tcPr>
            <w:tcW w:w="3320" w:type="dxa"/>
            <w:vAlign w:val="bottom"/>
            <w:gridSpan w:val="7"/>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Year ended December 31</w:t>
            </w:r>
          </w:p>
        </w:tc>
      </w:tr>
      <w:tr>
        <w:trPr>
          <w:trHeight w:val="223"/>
        </w:trPr>
        <w:tc>
          <w:tcPr>
            <w:tcW w:w="6200" w:type="dxa"/>
            <w:vAlign w:val="bottom"/>
          </w:tcPr>
          <w:p>
            <w:pPr>
              <w:spacing w:after="0"/>
              <w:rPr>
                <w:sz w:val="19"/>
                <w:szCs w:val="19"/>
                <w:color w:val="auto"/>
              </w:rPr>
            </w:pPr>
          </w:p>
        </w:tc>
        <w:tc>
          <w:tcPr>
            <w:tcW w:w="98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4"/>
        </w:trPr>
        <w:tc>
          <w:tcPr>
            <w:tcW w:w="62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9"/>
              </w:rPr>
              <w:t>Weighted</w:t>
            </w:r>
          </w:p>
        </w:tc>
        <w:tc>
          <w:tcPr>
            <w:tcW w:w="100" w:type="dxa"/>
            <w:vAlign w:val="bottom"/>
          </w:tcPr>
          <w:p>
            <w:pPr>
              <w:spacing w:after="0"/>
              <w:rPr>
                <w:sz w:val="16"/>
                <w:szCs w:val="16"/>
                <w:color w:val="auto"/>
              </w:rPr>
            </w:pP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Weighted</w:t>
            </w: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average</w:t>
            </w: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10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remaining</w:t>
            </w:r>
          </w:p>
        </w:tc>
      </w:tr>
      <w:tr>
        <w:trPr>
          <w:trHeight w:val="216"/>
        </w:trPr>
        <w:tc>
          <w:tcPr>
            <w:tcW w:w="620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00" w:type="dxa"/>
            <w:vAlign w:val="bottom"/>
          </w:tcPr>
          <w:p>
            <w:pPr>
              <w:spacing w:after="0"/>
              <w:rPr>
                <w:sz w:val="18"/>
                <w:szCs w:val="18"/>
                <w:color w:val="auto"/>
              </w:rPr>
            </w:pPr>
          </w:p>
        </w:tc>
        <w:tc>
          <w:tcPr>
            <w:tcW w:w="104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exercise</w:t>
            </w: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contractual</w:t>
            </w:r>
          </w:p>
        </w:tc>
      </w:tr>
      <w:tr>
        <w:trPr>
          <w:trHeight w:val="245"/>
        </w:trPr>
        <w:tc>
          <w:tcPr>
            <w:tcW w:w="6200" w:type="dxa"/>
            <w:vAlign w:val="bottom"/>
          </w:tcPr>
          <w:p>
            <w:pPr>
              <w:spacing w:after="0"/>
              <w:rPr>
                <w:sz w:val="21"/>
                <w:szCs w:val="21"/>
                <w:color w:val="auto"/>
              </w:rPr>
            </w:pPr>
          </w:p>
        </w:tc>
        <w:tc>
          <w:tcPr>
            <w:tcW w:w="98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options</w:t>
            </w:r>
          </w:p>
        </w:tc>
        <w:tc>
          <w:tcPr>
            <w:tcW w:w="16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7"/>
              </w:rPr>
              <w:t>price</w:t>
            </w:r>
          </w:p>
        </w:tc>
        <w:tc>
          <w:tcPr>
            <w:tcW w:w="200" w:type="dxa"/>
            <w:vAlign w:val="bottom"/>
          </w:tcPr>
          <w:p>
            <w:pPr>
              <w:spacing w:after="0"/>
              <w:rPr>
                <w:sz w:val="21"/>
                <w:szCs w:val="21"/>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w:t>
            </w:r>
          </w:p>
        </w:tc>
        <w:tc>
          <w:tcPr>
            <w:tcW w:w="100" w:type="dxa"/>
            <w:vAlign w:val="bottom"/>
          </w:tcPr>
          <w:p>
            <w:pPr>
              <w:spacing w:after="0"/>
              <w:rPr>
                <w:sz w:val="21"/>
                <w:szCs w:val="21"/>
                <w:color w:val="auto"/>
              </w:rPr>
            </w:pP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spacing w:after="0"/>
              <w:rPr>
                <w:sz w:val="18"/>
                <w:szCs w:val="18"/>
                <w:color w:val="auto"/>
              </w:rPr>
            </w:pPr>
          </w:p>
        </w:tc>
        <w:tc>
          <w:tcPr>
            <w:tcW w:w="1040" w:type="dxa"/>
            <w:vAlign w:val="bottom"/>
            <w:gridSpan w:val="2"/>
          </w:tcPr>
          <w:p>
            <w:pPr>
              <w:spacing w:after="0"/>
              <w:rPr>
                <w:sz w:val="18"/>
                <w:szCs w:val="18"/>
                <w:color w:val="auto"/>
              </w:rPr>
            </w:pP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beginning of the year</w:t>
            </w:r>
          </w:p>
        </w:tc>
        <w:tc>
          <w:tcPr>
            <w:tcW w:w="9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1,000,894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4.63</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6.05</w:t>
            </w: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Granted</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248,600</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10.05</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Exercised</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(65,702)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5.05</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Expired</w:t>
            </w: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(1,350)</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5.57</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Forfeited</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(51,413)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7.73</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6200" w:type="dxa"/>
            <w:vAlign w:val="bottom"/>
            <w:shd w:val="clear" w:color="auto" w:fill="CCEEFF"/>
          </w:tcPr>
          <w:p>
            <w:pPr>
              <w:spacing w:after="0"/>
              <w:rPr>
                <w:sz w:val="2"/>
                <w:szCs w:val="2"/>
                <w:color w:val="auto"/>
              </w:rPr>
            </w:pPr>
          </w:p>
        </w:tc>
        <w:tc>
          <w:tcPr>
            <w:tcW w:w="980" w:type="dxa"/>
            <w:vAlign w:val="bottom"/>
            <w:tcBorders>
              <w:right w:val="single" w:sz="8" w:color="CCEEFF"/>
            </w:tcBorders>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Options outstanding at the end of the year</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1,131,029</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5.64</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5.73</w:t>
            </w:r>
          </w:p>
        </w:tc>
      </w:tr>
      <w:tr>
        <w:trPr>
          <w:trHeight w:val="21"/>
        </w:trPr>
        <w:tc>
          <w:tcPr>
            <w:tcW w:w="620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2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exercisable at the end of the year</w:t>
            </w:r>
          </w:p>
        </w:tc>
        <w:tc>
          <w:tcPr>
            <w:tcW w:w="98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1,030,267</w:t>
            </w: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ind w:left="980" w:hanging="324"/>
        <w:spacing w:after="0"/>
        <w:tabs>
          <w:tab w:leader="none" w:pos="98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Option granted to non-employees</w:t>
      </w:r>
    </w:p>
    <w:p>
      <w:pPr>
        <w:spacing w:after="0" w:line="225" w:lineRule="exact"/>
        <w:rPr>
          <w:rFonts w:ascii="Times New Roman" w:cs="Times New Roman" w:eastAsia="Times New Roman" w:hAnsi="Times New Roman"/>
          <w:sz w:val="18"/>
          <w:szCs w:val="18"/>
          <w:color w:val="auto"/>
        </w:rPr>
      </w:pPr>
    </w:p>
    <w:p>
      <w:pPr>
        <w:ind w:left="98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unrecognized compensation cost of non-employees' options at December 31, 2021 is $1, which is expected to be recognized over a period of 0.23 years.</w:t>
      </w:r>
    </w:p>
    <w:p>
      <w:pPr>
        <w:spacing w:after="0" w:line="33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62" w:name="page63"/>
    <w:bookmarkEnd w:id="62"/>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9— SHARE CAPITAL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1280" w:right="16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number of options granted to non-employees under the Plan for the year ended December 31, 2021, and related information:</w:t>
      </w:r>
    </w:p>
    <w:p>
      <w:pPr>
        <w:spacing w:after="0" w:line="158" w:lineRule="exact"/>
        <w:rPr>
          <w:sz w:val="20"/>
          <w:szCs w:val="20"/>
          <w:color w:val="auto"/>
        </w:rPr>
      </w:pPr>
    </w:p>
    <w:tbl>
      <w:tblPr>
        <w:tblLayout w:type="fixed"/>
        <w:tblInd w:w="1300" w:type="dxa"/>
        <w:tblCellMar>
          <w:top w:w="0" w:type="dxa"/>
          <w:left w:w="0" w:type="dxa"/>
          <w:bottom w:w="0" w:type="dxa"/>
          <w:right w:w="0" w:type="dxa"/>
        </w:tblCellMar>
      </w:tblPr>
      <w:tr>
        <w:trPr>
          <w:trHeight w:val="245"/>
        </w:trPr>
        <w:tc>
          <w:tcPr>
            <w:tcW w:w="5820" w:type="dxa"/>
            <w:vAlign w:val="bottom"/>
          </w:tcPr>
          <w:p>
            <w:pPr>
              <w:spacing w:after="0"/>
              <w:rPr>
                <w:sz w:val="21"/>
                <w:szCs w:val="21"/>
                <w:color w:val="auto"/>
              </w:rPr>
            </w:pPr>
          </w:p>
        </w:tc>
        <w:tc>
          <w:tcPr>
            <w:tcW w:w="3120" w:type="dxa"/>
            <w:vAlign w:val="bottom"/>
            <w:gridSpan w:val="8"/>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r>
      <w:tr>
        <w:trPr>
          <w:trHeight w:val="237"/>
        </w:trPr>
        <w:tc>
          <w:tcPr>
            <w:tcW w:w="5820" w:type="dxa"/>
            <w:vAlign w:val="bottom"/>
          </w:tcPr>
          <w:p>
            <w:pPr>
              <w:spacing w:after="0"/>
              <w:rPr>
                <w:sz w:val="20"/>
                <w:szCs w:val="20"/>
                <w:color w:val="auto"/>
              </w:rPr>
            </w:pPr>
          </w:p>
        </w:tc>
        <w:tc>
          <w:tcPr>
            <w:tcW w:w="900" w:type="dxa"/>
            <w:vAlign w:val="bottom"/>
            <w:tcBorders>
              <w:top w:val="single" w:sz="8" w:color="auto"/>
              <w:bottom w:val="single" w:sz="8" w:color="auto"/>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Borders>
              <w:top w:val="single" w:sz="8" w:color="auto"/>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194"/>
        </w:trPr>
        <w:tc>
          <w:tcPr>
            <w:tcW w:w="5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7"/>
              </w:rPr>
              <w:t>Weighted</w:t>
            </w:r>
          </w:p>
        </w:tc>
        <w:tc>
          <w:tcPr>
            <w:tcW w:w="80" w:type="dxa"/>
            <w:vAlign w:val="bottom"/>
          </w:tcPr>
          <w:p>
            <w:pPr>
              <w:spacing w:after="0"/>
              <w:rPr>
                <w:sz w:val="16"/>
                <w:szCs w:val="16"/>
                <w:color w:val="auto"/>
              </w:rPr>
            </w:pP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Weighted</w:t>
            </w:r>
          </w:p>
        </w:tc>
        <w:tc>
          <w:tcPr>
            <w:tcW w:w="80" w:type="dxa"/>
            <w:vAlign w:val="bottom"/>
          </w:tcPr>
          <w:p>
            <w:pPr>
              <w:spacing w:after="0"/>
              <w:rPr>
                <w:sz w:val="18"/>
                <w:szCs w:val="18"/>
                <w:color w:val="auto"/>
              </w:rPr>
            </w:pPr>
          </w:p>
        </w:tc>
        <w:tc>
          <w:tcPr>
            <w:tcW w:w="9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average</w:t>
            </w: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80" w:type="dxa"/>
            <w:vAlign w:val="bottom"/>
          </w:tcPr>
          <w:p>
            <w:pPr>
              <w:spacing w:after="0"/>
              <w:rPr>
                <w:sz w:val="18"/>
                <w:szCs w:val="18"/>
                <w:color w:val="auto"/>
              </w:rPr>
            </w:pPr>
          </w:p>
        </w:tc>
        <w:tc>
          <w:tcPr>
            <w:tcW w:w="9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remaining</w:t>
            </w:r>
          </w:p>
        </w:tc>
      </w:tr>
      <w:tr>
        <w:trPr>
          <w:trHeight w:val="216"/>
        </w:trPr>
        <w:tc>
          <w:tcPr>
            <w:tcW w:w="5820" w:type="dxa"/>
            <w:vAlign w:val="bottom"/>
          </w:tcPr>
          <w:p>
            <w:pPr>
              <w:spacing w:after="0"/>
              <w:rPr>
                <w:sz w:val="18"/>
                <w:szCs w:val="18"/>
                <w:color w:val="auto"/>
              </w:rPr>
            </w:pPr>
          </w:p>
        </w:tc>
        <w:tc>
          <w:tcPr>
            <w:tcW w:w="11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20" w:type="dxa"/>
            <w:vAlign w:val="bottom"/>
          </w:tcPr>
          <w:p>
            <w:pPr>
              <w:spacing w:after="0"/>
              <w:rPr>
                <w:sz w:val="18"/>
                <w:szCs w:val="18"/>
                <w:color w:val="auto"/>
              </w:rPr>
            </w:pPr>
          </w:p>
        </w:tc>
        <w:tc>
          <w:tcPr>
            <w:tcW w:w="86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exercise</w:t>
            </w:r>
          </w:p>
        </w:tc>
        <w:tc>
          <w:tcPr>
            <w:tcW w:w="104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contractual</w:t>
            </w:r>
          </w:p>
        </w:tc>
      </w:tr>
      <w:tr>
        <w:trPr>
          <w:trHeight w:val="259"/>
        </w:trPr>
        <w:tc>
          <w:tcPr>
            <w:tcW w:w="5820" w:type="dxa"/>
            <w:vAlign w:val="bottom"/>
          </w:tcPr>
          <w:p>
            <w:pPr>
              <w:spacing w:after="0"/>
              <w:rPr>
                <w:sz w:val="22"/>
                <w:szCs w:val="22"/>
                <w:color w:val="auto"/>
              </w:rPr>
            </w:pPr>
          </w:p>
        </w:tc>
        <w:tc>
          <w:tcPr>
            <w:tcW w:w="9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options</w:t>
            </w:r>
          </w:p>
        </w:tc>
        <w:tc>
          <w:tcPr>
            <w:tcW w:w="2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7"/>
              </w:rPr>
              <w:t>price</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w:t>
            </w:r>
          </w:p>
        </w:tc>
        <w:tc>
          <w:tcPr>
            <w:tcW w:w="80" w:type="dxa"/>
            <w:vAlign w:val="bottom"/>
          </w:tcPr>
          <w:p>
            <w:pPr>
              <w:spacing w:after="0"/>
              <w:rPr>
                <w:sz w:val="22"/>
                <w:szCs w:val="22"/>
                <w:color w:val="auto"/>
              </w:rPr>
            </w:pP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c>
          <w:tcPr>
            <w:tcW w:w="1040" w:type="dxa"/>
            <w:vAlign w:val="bottom"/>
            <w:gridSpan w:val="3"/>
          </w:tcPr>
          <w:p>
            <w:pPr>
              <w:spacing w:after="0"/>
              <w:rPr>
                <w:sz w:val="18"/>
                <w:szCs w:val="18"/>
                <w:color w:val="auto"/>
              </w:rPr>
            </w:pPr>
          </w:p>
        </w:tc>
      </w:tr>
      <w:tr>
        <w:trPr>
          <w:trHeight w:val="223"/>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beginning of the year</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198,575</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7.70</w:t>
            </w:r>
          </w:p>
        </w:tc>
        <w:tc>
          <w:tcPr>
            <w:tcW w:w="10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6.84</w:t>
            </w:r>
          </w:p>
        </w:tc>
      </w:tr>
      <w:tr>
        <w:trPr>
          <w:trHeight w:val="216"/>
        </w:trPr>
        <w:tc>
          <w:tcPr>
            <w:tcW w:w="582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Granted</w:t>
            </w:r>
          </w:p>
        </w:tc>
        <w:tc>
          <w:tcPr>
            <w:tcW w:w="90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6"/>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end of the year</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198,575</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7.70</w:t>
            </w:r>
          </w:p>
        </w:tc>
        <w:tc>
          <w:tcPr>
            <w:tcW w:w="10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5.84</w:t>
            </w:r>
          </w:p>
        </w:tc>
      </w:tr>
      <w:tr>
        <w:trPr>
          <w:trHeight w:val="20"/>
        </w:trPr>
        <w:tc>
          <w:tcPr>
            <w:tcW w:w="58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0"/>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Options exercisable at the end of the year</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173,465</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7.60</w:t>
            </w:r>
          </w:p>
        </w:tc>
        <w:tc>
          <w:tcPr>
            <w:tcW w:w="10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5.83</w:t>
            </w:r>
          </w:p>
        </w:tc>
      </w:tr>
      <w:tr>
        <w:trPr>
          <w:trHeight w:val="20"/>
        </w:trPr>
        <w:tc>
          <w:tcPr>
            <w:tcW w:w="58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left="1340" w:right="160" w:hanging="320"/>
        <w:spacing w:after="0" w:line="282" w:lineRule="auto"/>
        <w:tabs>
          <w:tab w:leader="none" w:pos="13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intrinsic value of the total outstanding and of total exercisable options as of December 31, 2021 is approximately $3,313 and $3,312, respectively.</w:t>
      </w:r>
    </w:p>
    <w:p>
      <w:pPr>
        <w:spacing w:after="0" w:line="161" w:lineRule="exact"/>
        <w:rPr>
          <w:rFonts w:ascii="Times New Roman" w:cs="Times New Roman" w:eastAsia="Times New Roman" w:hAnsi="Times New Roman"/>
          <w:sz w:val="18"/>
          <w:szCs w:val="18"/>
          <w:color w:val="auto"/>
        </w:rPr>
      </w:pPr>
    </w:p>
    <w:p>
      <w:pPr>
        <w:ind w:left="1340" w:hanging="320"/>
        <w:spacing w:after="0"/>
        <w:tabs>
          <w:tab w:leader="none" w:pos="13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Restricted Share Units (RSUs) granted to Directors</w:t>
      </w:r>
    </w:p>
    <w:p>
      <w:pPr>
        <w:spacing w:after="0" w:line="225" w:lineRule="exact"/>
        <w:rPr>
          <w:rFonts w:ascii="Times New Roman" w:cs="Times New Roman" w:eastAsia="Times New Roman" w:hAnsi="Times New Roman"/>
          <w:sz w:val="18"/>
          <w:szCs w:val="18"/>
          <w:color w:val="auto"/>
        </w:rPr>
      </w:pPr>
    </w:p>
    <w:p>
      <w:pPr>
        <w:ind w:left="1340" w:right="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February 2018 and September 2018, the board of directors approved and recommended the Company shareholders to approve a total grant of 46,000 and 11,500 RSUs, respectively, to its independent and external directors that vest annually in equal portions over a three-year period. The fair value of shares as of the date of grant was $495 and $105 respectively. As of December 31, 2021, 57,500 RSUs were vested.</w:t>
      </w:r>
    </w:p>
    <w:p>
      <w:pPr>
        <w:spacing w:after="0" w:line="179" w:lineRule="exact"/>
        <w:rPr>
          <w:rFonts w:ascii="Times New Roman" w:cs="Times New Roman" w:eastAsia="Times New Roman" w:hAnsi="Times New Roman"/>
          <w:sz w:val="18"/>
          <w:szCs w:val="18"/>
          <w:color w:val="auto"/>
        </w:rPr>
      </w:pPr>
    </w:p>
    <w:p>
      <w:pPr>
        <w:ind w:left="1340" w:hanging="320"/>
        <w:spacing w:after="0"/>
        <w:tabs>
          <w:tab w:leader="none" w:pos="134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table illustrates the effect of share-based compensation on the statements of operations: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20" w:type="dxa"/>
            <w:vAlign w:val="bottom"/>
            <w:gridSpan w:val="4"/>
          </w:tcPr>
          <w:p>
            <w:pPr>
              <w:ind w:left="160"/>
              <w:spacing w:after="0"/>
              <w:rPr>
                <w:sz w:val="20"/>
                <w:szCs w:val="20"/>
                <w:color w:val="auto"/>
              </w:rPr>
            </w:pPr>
            <w:r>
              <w:rPr>
                <w:rFonts w:ascii="Times New Roman" w:cs="Times New Roman" w:eastAsia="Times New Roman" w:hAnsi="Times New Roman"/>
                <w:sz w:val="18"/>
                <w:szCs w:val="18"/>
                <w:b w:val="1"/>
                <w:bCs w:val="1"/>
                <w:color w:val="auto"/>
              </w:rPr>
              <w:t>Year ended</w:t>
            </w: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45"/>
        </w:trPr>
        <w:tc>
          <w:tcPr>
            <w:tcW w:w="1300" w:type="dxa"/>
            <w:vAlign w:val="bottom"/>
          </w:tcPr>
          <w:p>
            <w:pPr>
              <w:spacing w:after="0"/>
              <w:rPr>
                <w:sz w:val="21"/>
                <w:szCs w:val="21"/>
                <w:color w:val="auto"/>
              </w:rPr>
            </w:pPr>
          </w:p>
        </w:tc>
        <w:tc>
          <w:tcPr>
            <w:tcW w:w="3380" w:type="dxa"/>
            <w:vAlign w:val="bottom"/>
          </w:tcPr>
          <w:p>
            <w:pPr>
              <w:spacing w:after="0"/>
              <w:rPr>
                <w:sz w:val="21"/>
                <w:szCs w:val="21"/>
                <w:color w:val="auto"/>
              </w:rPr>
            </w:pPr>
          </w:p>
        </w:tc>
        <w:tc>
          <w:tcPr>
            <w:tcW w:w="24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8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23"/>
        </w:trPr>
        <w:tc>
          <w:tcPr>
            <w:tcW w:w="1300" w:type="dxa"/>
            <w:vAlign w:val="bottom"/>
          </w:tcPr>
          <w:p>
            <w:pPr>
              <w:spacing w:after="0"/>
              <w:rPr>
                <w:sz w:val="19"/>
                <w:szCs w:val="19"/>
                <w:color w:val="auto"/>
              </w:rPr>
            </w:pPr>
          </w:p>
        </w:tc>
        <w:tc>
          <w:tcPr>
            <w:tcW w:w="33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216"/>
        </w:trPr>
        <w:tc>
          <w:tcPr>
            <w:tcW w:w="13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86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spacing w:after="0"/>
              <w:rPr>
                <w:sz w:val="18"/>
                <w:szCs w:val="18"/>
                <w:color w:val="auto"/>
              </w:rPr>
            </w:pPr>
          </w:p>
        </w:tc>
        <w:tc>
          <w:tcPr>
            <w:tcW w:w="100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26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1,028</w:t>
            </w:r>
          </w:p>
        </w:tc>
        <w:tc>
          <w:tcPr>
            <w:tcW w:w="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431</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33</w:t>
            </w:r>
          </w:p>
        </w:tc>
        <w:tc>
          <w:tcPr>
            <w:tcW w:w="1000" w:type="dxa"/>
            <w:vAlign w:val="bottom"/>
          </w:tcPr>
          <w:p>
            <w:pPr>
              <w:spacing w:after="0"/>
              <w:rPr>
                <w:sz w:val="18"/>
                <w:szCs w:val="18"/>
                <w:color w:val="auto"/>
              </w:rPr>
            </w:pPr>
          </w:p>
        </w:tc>
      </w:tr>
      <w:tr>
        <w:trPr>
          <w:trHeight w:val="223"/>
        </w:trPr>
        <w:tc>
          <w:tcPr>
            <w:tcW w:w="130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1,524</w:t>
            </w:r>
          </w:p>
        </w:tc>
        <w:tc>
          <w:tcPr>
            <w:tcW w:w="3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786</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654</w:t>
            </w:r>
          </w:p>
        </w:tc>
        <w:tc>
          <w:tcPr>
            <w:tcW w:w="1000" w:type="dxa"/>
            <w:vAlign w:val="bottom"/>
          </w:tcPr>
          <w:p>
            <w:pPr>
              <w:spacing w:after="0"/>
              <w:rPr>
                <w:sz w:val="19"/>
                <w:szCs w:val="19"/>
                <w:color w:val="auto"/>
              </w:rPr>
            </w:pPr>
          </w:p>
        </w:tc>
      </w:tr>
      <w:tr>
        <w:trPr>
          <w:trHeight w:val="257"/>
        </w:trPr>
        <w:tc>
          <w:tcPr>
            <w:tcW w:w="1300" w:type="dxa"/>
            <w:vAlign w:val="bottom"/>
          </w:tcPr>
          <w:p>
            <w:pPr>
              <w:spacing w:after="0"/>
              <w:rPr>
                <w:sz w:val="22"/>
                <w:szCs w:val="22"/>
                <w:color w:val="auto"/>
              </w:rPr>
            </w:pPr>
          </w:p>
        </w:tc>
        <w:tc>
          <w:tcPr>
            <w:tcW w:w="3380" w:type="dxa"/>
            <w:vAlign w:val="bottom"/>
            <w:tcBorders>
              <w:bottom w:val="single" w:sz="8" w:color="CCEEFF"/>
            </w:tcBorders>
            <w:shd w:val="clear" w:color="auto" w:fill="CCEEFF"/>
          </w:tcPr>
          <w:p>
            <w:pPr>
              <w:spacing w:after="0"/>
              <w:rPr>
                <w:sz w:val="22"/>
                <w:szCs w:val="22"/>
                <w:color w:val="auto"/>
              </w:rPr>
            </w:pPr>
          </w:p>
        </w:tc>
        <w:tc>
          <w:tcPr>
            <w:tcW w:w="24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2,552</w:t>
            </w:r>
          </w:p>
        </w:tc>
        <w:tc>
          <w:tcPr>
            <w:tcW w:w="18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1,217</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80" w:type="dxa"/>
            <w:vAlign w:val="bottom"/>
            <w:tcBorders>
              <w:bottom w:val="single" w:sz="8" w:color="CCEEFF"/>
            </w:tcBorders>
            <w:shd w:val="clear" w:color="auto" w:fill="CCEEFF"/>
          </w:tcPr>
          <w:p>
            <w:pPr>
              <w:spacing w:after="0"/>
              <w:rPr>
                <w:sz w:val="22"/>
                <w:szCs w:val="22"/>
                <w:color w:val="auto"/>
              </w:rPr>
            </w:pPr>
          </w:p>
        </w:tc>
        <w:tc>
          <w:tcPr>
            <w:tcW w:w="1000" w:type="dxa"/>
            <w:vAlign w:val="bottom"/>
          </w:tcPr>
          <w:p>
            <w:pPr>
              <w:spacing w:after="0"/>
              <w:rPr>
                <w:sz w:val="22"/>
                <w:szCs w:val="22"/>
                <w:color w:val="auto"/>
              </w:rPr>
            </w:pPr>
          </w:p>
        </w:tc>
      </w:tr>
      <w:tr>
        <w:trPr>
          <w:trHeight w:val="601"/>
        </w:trPr>
        <w:tc>
          <w:tcPr>
            <w:tcW w:w="130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620" w:type="dxa"/>
            <w:vAlign w:val="bottom"/>
            <w:gridSpan w:val="2"/>
          </w:tcPr>
          <w:p>
            <w:pPr>
              <w:jc w:val="right"/>
              <w:ind w:right="1370"/>
              <w:spacing w:after="0"/>
              <w:rPr>
                <w:sz w:val="20"/>
                <w:szCs w:val="20"/>
                <w:color w:val="auto"/>
              </w:rPr>
            </w:pPr>
            <w:r>
              <w:rPr>
                <w:rFonts w:ascii="Times New Roman" w:cs="Times New Roman" w:eastAsia="Times New Roman" w:hAnsi="Times New Roman"/>
                <w:sz w:val="18"/>
                <w:szCs w:val="18"/>
                <w:color w:val="auto"/>
              </w:rPr>
              <w:t>F - 24</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61"/>
        </w:trPr>
        <w:tc>
          <w:tcPr>
            <w:tcW w:w="1300" w:type="dxa"/>
            <w:vAlign w:val="bottom"/>
            <w:tcBorders>
              <w:bottom w:val="single" w:sz="8" w:color="auto"/>
            </w:tcBorders>
          </w:tcPr>
          <w:p>
            <w:pPr>
              <w:spacing w:after="0"/>
              <w:rPr>
                <w:sz w:val="5"/>
                <w:szCs w:val="5"/>
                <w:color w:val="auto"/>
              </w:rPr>
            </w:pPr>
          </w:p>
        </w:tc>
        <w:tc>
          <w:tcPr>
            <w:tcW w:w="3380" w:type="dxa"/>
            <w:vAlign w:val="bottom"/>
            <w:tcBorders>
              <w:bottom w:val="single" w:sz="8" w:color="auto"/>
            </w:tcBorders>
          </w:tcPr>
          <w:p>
            <w:pPr>
              <w:spacing w:after="0"/>
              <w:rPr>
                <w:sz w:val="5"/>
                <w:szCs w:val="5"/>
                <w:color w:val="auto"/>
              </w:rPr>
            </w:pPr>
          </w:p>
        </w:tc>
        <w:tc>
          <w:tcPr>
            <w:tcW w:w="24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33" w:right="339" w:bottom="1440" w:gutter="0" w:footer="0" w:header="0"/>
        </w:sectPr>
      </w:pPr>
    </w:p>
    <w:bookmarkStart w:id="63" w:name="page64"/>
    <w:bookmarkEnd w:id="6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 TAXES ON INCOME</w:t>
      </w:r>
    </w:p>
    <w:p>
      <w:pPr>
        <w:spacing w:after="0" w:line="225" w:lineRule="exact"/>
        <w:rPr>
          <w:sz w:val="20"/>
          <w:szCs w:val="20"/>
          <w:color w:val="auto"/>
        </w:rPr>
      </w:pPr>
    </w:p>
    <w:p>
      <w:pPr>
        <w:ind w:left="360" w:hanging="352"/>
        <w:spacing w:after="0"/>
        <w:tabs>
          <w:tab w:leader="none" w:pos="360" w:val="left"/>
        </w:tabs>
        <w:numPr>
          <w:ilvl w:val="0"/>
          <w:numId w:val="4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rates in Israel</w:t>
      </w:r>
    </w:p>
    <w:p>
      <w:pPr>
        <w:spacing w:after="0" w:line="229"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is taxed in accordance with Israeli tax laws. The corporate tax rates applicable to 2019, 2020 and 2021 is 23%. Capital gain is subject to capital gain tax according to the corporate tax rate in the year the assets are sold.</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4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rates for the U.S Subsidiary</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subsidiary is taxed according to U.S. tax laws. The Company’s income is taxed in the United States at the federal rate of 21%.</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4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benefits under the Law for the Encouragement of Capital Investments, 1959 (the “Investment Law”)</w:t>
      </w:r>
    </w:p>
    <w:p>
      <w:pPr>
        <w:spacing w:after="0" w:line="229" w:lineRule="exact"/>
        <w:rPr>
          <w:rFonts w:ascii="Times New Roman" w:cs="Times New Roman" w:eastAsia="Times New Roman" w:hAnsi="Times New Roman"/>
          <w:sz w:val="18"/>
          <w:szCs w:val="18"/>
          <w:b w:val="1"/>
          <w:bCs w:val="1"/>
          <w:color w:val="auto"/>
        </w:rPr>
      </w:pPr>
    </w:p>
    <w:p>
      <w:pPr>
        <w:ind w:left="360" w:right="70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161" w:lineRule="exact"/>
        <w:rPr>
          <w:rFonts w:ascii="Times New Roman" w:cs="Times New Roman" w:eastAsia="Times New Roman" w:hAnsi="Times New Roman"/>
          <w:sz w:val="18"/>
          <w:szCs w:val="18"/>
          <w:b w:val="1"/>
          <w:bCs w:val="1"/>
          <w:color w:val="auto"/>
        </w:rPr>
      </w:pPr>
    </w:p>
    <w:p>
      <w:pPr>
        <w:jc w:val="both"/>
        <w:ind w:left="360" w:right="400"/>
        <w:spacing w:after="0" w:line="289"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7"/>
          <w:szCs w:val="17"/>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157" w:lineRule="exact"/>
        <w:rPr>
          <w:rFonts w:ascii="Times New Roman" w:cs="Times New Roman" w:eastAsia="Times New Roman" w:hAnsi="Times New Roman"/>
          <w:sz w:val="18"/>
          <w:szCs w:val="18"/>
          <w:b w:val="1"/>
          <w:bCs w:val="1"/>
          <w:color w:val="auto"/>
        </w:rPr>
      </w:pPr>
    </w:p>
    <w:p>
      <w:pPr>
        <w:ind w:left="360" w:right="5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period of tax benefits, as described above, is limited to 12 years from the beginning of the Benefited Enterprise election year (2012). As of December 31, 2021, the period of benefits has not yet commenced.</w:t>
      </w:r>
    </w:p>
    <w:p>
      <w:pPr>
        <w:spacing w:after="0" w:line="161" w:lineRule="exact"/>
        <w:rPr>
          <w:rFonts w:ascii="Times New Roman" w:cs="Times New Roman" w:eastAsia="Times New Roman" w:hAnsi="Times New Roman"/>
          <w:sz w:val="18"/>
          <w:szCs w:val="18"/>
          <w:b w:val="1"/>
          <w:bCs w:val="1"/>
          <w:color w:val="auto"/>
        </w:rPr>
      </w:pPr>
    </w:p>
    <w:p>
      <w:pPr>
        <w:ind w:left="36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175" w:lineRule="exact"/>
        <w:rPr>
          <w:rFonts w:ascii="Times New Roman" w:cs="Times New Roman" w:eastAsia="Times New Roman" w:hAnsi="Times New Roman"/>
          <w:sz w:val="18"/>
          <w:szCs w:val="18"/>
          <w:b w:val="1"/>
          <w:bCs w:val="1"/>
          <w:color w:val="auto"/>
        </w:rPr>
      </w:pPr>
    </w:p>
    <w:p>
      <w:pPr>
        <w:ind w:left="360" w:right="6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Entitlement to the above benefits is conditioned upon the Company fulfilling the conditions stipulated by the Investment Law and regulations published thereunder.</w:t>
      </w:r>
    </w:p>
    <w:p>
      <w:pPr>
        <w:spacing w:after="0" w:line="161" w:lineRule="exact"/>
        <w:rPr>
          <w:rFonts w:ascii="Times New Roman" w:cs="Times New Roman" w:eastAsia="Times New Roman" w:hAnsi="Times New Roman"/>
          <w:sz w:val="18"/>
          <w:szCs w:val="18"/>
          <w:b w:val="1"/>
          <w:bCs w:val="1"/>
          <w:color w:val="auto"/>
        </w:rPr>
      </w:pPr>
    </w:p>
    <w:p>
      <w:pPr>
        <w:ind w:left="360" w:right="2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161" w:lineRule="exact"/>
        <w:rPr>
          <w:rFonts w:ascii="Times New Roman" w:cs="Times New Roman" w:eastAsia="Times New Roman" w:hAnsi="Times New Roman"/>
          <w:sz w:val="18"/>
          <w:szCs w:val="18"/>
          <w:b w:val="1"/>
          <w:bCs w:val="1"/>
          <w:color w:val="auto"/>
        </w:rPr>
      </w:pPr>
    </w:p>
    <w:p>
      <w:pPr>
        <w:ind w:left="360" w:right="3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Investment Law was amended as part of the Economic Policy Law for the years 2011 – 2012 (the “Amendment”), which became effective on January 1, 2011 and was further amended in August 2013 and January 2017.</w:t>
      </w:r>
    </w:p>
    <w:p>
      <w:pPr>
        <w:spacing w:after="0" w:line="161" w:lineRule="exact"/>
        <w:rPr>
          <w:rFonts w:ascii="Times New Roman" w:cs="Times New Roman" w:eastAsia="Times New Roman" w:hAnsi="Times New Roman"/>
          <w:sz w:val="18"/>
          <w:szCs w:val="18"/>
          <w:b w:val="1"/>
          <w:bCs w:val="1"/>
          <w:color w:val="auto"/>
        </w:rPr>
      </w:pPr>
    </w:p>
    <w:p>
      <w:pPr>
        <w:ind w:left="360" w:right="80"/>
        <w:spacing w:after="0" w:line="254"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Under the 2017 Amendment, and provided the conditions stipulated therein are met, income derived by Preferred Companies from ‘Preferred Technological Enterprises’ (“PTE”) (as defined in the 2017 Amendment), would be subject to reduced corporate tax rates of 7.5% in Development Zone “A” and 12% elsewhere, or 6% in case of a ‘Special Preferred Technological Enterprise’ (“SPTE”) as defined in the 2017 Amendment) regardless of the company’s geographical location within Israel. A Preferred Company distributing dividends from income derived from its PTE or SPTE, would subject the recipient to a 20% tax (or lower, if so provided under an applicable tax treaty). The 2017 Amendment further provides that, in certain circumstances, a dividend distributed to a corporate shareholder who is not an Israeli resident for tax purposes would be subject to a 4% tax (inter alia, if the amount of foreign investors in the distributing company exceeds 90%). Such taxes would generally be withheld at source by the distributing company.</w:t>
      </w:r>
    </w:p>
    <w:p>
      <w:pPr>
        <w:spacing w:after="0" w:line="1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64" w:name="page65"/>
    <w:bookmarkEnd w:id="64"/>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TAXES ON INCOME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360" w:right="20"/>
        <w:spacing w:after="0" w:line="252" w:lineRule="auto"/>
        <w:rPr>
          <w:sz w:val="20"/>
          <w:szCs w:val="20"/>
          <w:color w:val="auto"/>
        </w:rPr>
      </w:pPr>
      <w:r>
        <w:rPr>
          <w:rFonts w:ascii="Times New Roman" w:cs="Times New Roman" w:eastAsia="Times New Roman" w:hAnsi="Times New Roman"/>
          <w:sz w:val="18"/>
          <w:szCs w:val="18"/>
          <w:color w:val="auto"/>
        </w:rPr>
        <w:t>On June 14, 2017, the Encouragement of Capital Investments Regulations (Preferred Technology Income and Capital Profits for a Technological Enterprise), 2017 (the “Regulations”) were published, which adopted Action 5 under the base erosion and profit shifting (“BEPS”) regulations. The Regulations describe, inter alia, the mechanism used to determine the calculation of the benefits under the PTE and under the SPTE Regime and determine certain requirements relating to documentation of intellectual property for the purpose of the PTE. According to these provisions, a company that complies with the terms under the PTE regime may be entitled to certain tax benefits with respect to income generated during the company’s regular course of business and derived from the preferred intangible asset (as determined in the Investments Law), excluding income derived from intangible assets used for marketing and income attributed to production activity. In the event that intangible assets used for marketing purposes generate over 10% of the PTE’s income, the relevant portion, calculated using a transfer pricing study, would be subject to regular corporate income tax. If such income does not exceed 10%, the PTE will not be required to exclude the marketing income from the PTE’s total income. The Regulations set a presumption of direct production expenses plus 10% with respect to income related to production, which can be countered by the results of a supporting transfer pricing study. Tax rates applicable to such production income expenses will be similar to the tax rates under the Preferred Enterprise regime, to the extent such income would be considered as eligible. In order to calculate the preferred income, the PTE is required to take into account the income and the research and development expenses that are attributed to each single preferred intangible asset. Nevertheless, it should be noted that the transitional provisions allow companies to take into account the income and research and development expenses attributed to all of the preferred intangible assets they have.</w:t>
      </w:r>
    </w:p>
    <w:p>
      <w:pPr>
        <w:spacing w:after="0" w:line="196" w:lineRule="exact"/>
        <w:rPr>
          <w:sz w:val="20"/>
          <w:szCs w:val="20"/>
          <w:color w:val="auto"/>
        </w:rPr>
      </w:pPr>
    </w:p>
    <w:p>
      <w:pPr>
        <w:ind w:left="360"/>
        <w:spacing w:after="0" w:line="261" w:lineRule="auto"/>
        <w:rPr>
          <w:sz w:val="20"/>
          <w:szCs w:val="20"/>
          <w:color w:val="auto"/>
        </w:rPr>
      </w:pPr>
      <w:r>
        <w:rPr>
          <w:rFonts w:ascii="Times New Roman" w:cs="Times New Roman" w:eastAsia="Times New Roman" w:hAnsi="Times New Roman"/>
          <w:sz w:val="18"/>
          <w:szCs w:val="18"/>
          <w:color w:val="auto"/>
        </w:rPr>
        <w:t>Under the transitional provisions of the law, a company is allowed to continue to enjoy the tax benefits available under the law prior to its amendment until the end of the period of benefits, as defined in the law. In each year during the period of benefits as a Benefited Enterprise, the Company will be able to opt for application of the amendment, thereby making available the tax rates discussed above. The Company’s election to apply the amendment is irrecoverable.</w:t>
      </w:r>
    </w:p>
    <w:p>
      <w:pPr>
        <w:spacing w:after="0" w:line="18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As of December 31, 2021, the Company’s management decided not to adopt the application of the Amendment.</w:t>
      </w:r>
    </w:p>
    <w:p>
      <w:pPr>
        <w:spacing w:after="0" w:line="225" w:lineRule="exact"/>
        <w:rPr>
          <w:sz w:val="20"/>
          <w:szCs w:val="20"/>
          <w:color w:val="auto"/>
        </w:rPr>
      </w:pPr>
    </w:p>
    <w:p>
      <w:pPr>
        <w:ind w:left="360" w:right="280"/>
        <w:spacing w:after="0" w:line="282" w:lineRule="auto"/>
        <w:rPr>
          <w:sz w:val="20"/>
          <w:szCs w:val="20"/>
          <w:color w:val="auto"/>
        </w:rPr>
      </w:pPr>
      <w:r>
        <w:rPr>
          <w:rFonts w:ascii="Times New Roman" w:cs="Times New Roman" w:eastAsia="Times New Roman" w:hAnsi="Times New Roman"/>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158" w:lineRule="exact"/>
        <w:rPr>
          <w:sz w:val="20"/>
          <w:szCs w:val="20"/>
          <w:color w:val="auto"/>
        </w:rPr>
      </w:pPr>
    </w:p>
    <w:p>
      <w:pPr>
        <w:ind w:left="360" w:hanging="352"/>
        <w:spacing w:after="0"/>
        <w:tabs>
          <w:tab w:leader="none" w:pos="360" w:val="left"/>
        </w:tabs>
        <w:numPr>
          <w:ilvl w:val="0"/>
          <w:numId w:val="5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assessments</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Tax assessments filed by the Company through the year 2016 are considered to be final.</w:t>
      </w:r>
    </w:p>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65" w:name="page66"/>
    <w:bookmarkEnd w:id="65"/>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 TAXES ON INCOME (</w:t>
      </w:r>
      <w:r>
        <w:rPr>
          <w:rFonts w:ascii="Times New Roman" w:cs="Times New Roman" w:eastAsia="Times New Roman" w:hAnsi="Times New Roman"/>
          <w:sz w:val="18"/>
          <w:szCs w:val="18"/>
          <w:color w:val="auto"/>
        </w:rPr>
        <w:t>continued)</w:t>
      </w:r>
    </w:p>
    <w:p>
      <w:pPr>
        <w:spacing w:after="0" w:line="225" w:lineRule="exact"/>
        <w:rPr>
          <w:sz w:val="20"/>
          <w:szCs w:val="20"/>
          <w:color w:val="auto"/>
        </w:rPr>
      </w:pPr>
    </w:p>
    <w:p>
      <w:pPr>
        <w:ind w:left="360" w:hanging="352"/>
        <w:spacing w:after="0"/>
        <w:tabs>
          <w:tab w:leader="none" w:pos="360"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Losses for tax purposes carried forward to future years</w:t>
      </w:r>
    </w:p>
    <w:p>
      <w:pPr>
        <w:spacing w:after="0" w:line="229"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2021, the Company had approximately $170.8 million of net carry forward tax losses which are available to reduce future taxable income with no limited period of use.</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Deferred income taxes:</w:t>
      </w:r>
    </w:p>
    <w:p>
      <w:pPr>
        <w:spacing w:after="0" w:line="225" w:lineRule="exact"/>
        <w:rPr>
          <w:sz w:val="20"/>
          <w:szCs w:val="20"/>
          <w:color w:val="auto"/>
        </w:rPr>
      </w:pPr>
    </w:p>
    <w:tbl>
      <w:tblPr>
        <w:tblLayout w:type="fixed"/>
        <w:tblInd w:w="500" w:type="dxa"/>
        <w:tblCellMar>
          <w:top w:w="0" w:type="dxa"/>
          <w:left w:w="0" w:type="dxa"/>
          <w:bottom w:w="0" w:type="dxa"/>
          <w:right w:w="0" w:type="dxa"/>
        </w:tblCellMar>
      </w:tblPr>
      <w:tr>
        <w:trPr>
          <w:trHeight w:val="245"/>
        </w:trPr>
        <w:tc>
          <w:tcPr>
            <w:tcW w:w="74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00" w:type="dxa"/>
            <w:vAlign w:val="bottom"/>
            <w:gridSpan w:val="5"/>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74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8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 respect of:</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Net operating loss carry forward</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34,835</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39,280</w:t>
            </w: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7,133</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5,153</w:t>
            </w: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1,085</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875</w:t>
            </w: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 valuation allowance</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(43,053)</w:t>
            </w:r>
          </w:p>
        </w:tc>
        <w:tc>
          <w:tcPr>
            <w:tcW w:w="2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(45,308)</w:t>
            </w:r>
          </w:p>
        </w:tc>
      </w:tr>
      <w:tr>
        <w:trPr>
          <w:trHeight w:val="27"/>
        </w:trPr>
        <w:tc>
          <w:tcPr>
            <w:tcW w:w="746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Net deferred tax assets</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
        </w:trPr>
        <w:tc>
          <w:tcPr>
            <w:tcW w:w="74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ind w:left="360" w:hanging="352"/>
        <w:spacing w:after="0"/>
        <w:tabs>
          <w:tab w:leader="none" w:pos="360"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Reconciliation of theoretical tax expenses to actual expenses</w:t>
      </w:r>
    </w:p>
    <w:p>
      <w:pPr>
        <w:spacing w:after="0" w:line="229" w:lineRule="exact"/>
        <w:rPr>
          <w:rFonts w:ascii="Times New Roman" w:cs="Times New Roman" w:eastAsia="Times New Roman" w:hAnsi="Times New Roman"/>
          <w:sz w:val="18"/>
          <w:szCs w:val="18"/>
          <w:b w:val="1"/>
          <w:bCs w:val="1"/>
          <w:color w:val="auto"/>
        </w:rPr>
      </w:pPr>
    </w:p>
    <w:p>
      <w:pPr>
        <w:ind w:left="360" w:right="5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Actual tax expenses are in respect of the U.S. subsidiary. The primary reconciling items between the statutory tax rate of the Company and the effective rate are the full valuation allowance of deferred tax assets and nondeductible expenses in relation to the operations in Israel.</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5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Roll forward of valuation allowance</w:t>
      </w:r>
    </w:p>
    <w:p>
      <w:pPr>
        <w:spacing w:after="0" w:line="247" w:lineRule="exact"/>
        <w:rPr>
          <w:sz w:val="20"/>
          <w:szCs w:val="20"/>
          <w:color w:val="auto"/>
        </w:rPr>
      </w:pPr>
    </w:p>
    <w:tbl>
      <w:tblPr>
        <w:tblLayout w:type="fixed"/>
        <w:tblInd w:w="500" w:type="dxa"/>
        <w:tblCellMar>
          <w:top w:w="0" w:type="dxa"/>
          <w:left w:w="0" w:type="dxa"/>
          <w:bottom w:w="0" w:type="dxa"/>
          <w:right w:w="0" w:type="dxa"/>
        </w:tblCellMar>
      </w:tblPr>
      <w:tr>
        <w:trPr>
          <w:trHeight w:val="216"/>
        </w:trPr>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January 1, 2019</w:t>
            </w:r>
          </w:p>
        </w:tc>
        <w:tc>
          <w:tcPr>
            <w:tcW w:w="2420" w:type="dxa"/>
            <w:vAlign w:val="bottom"/>
            <w:gridSpan w:val="2"/>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26,166</w:t>
            </w:r>
          </w:p>
        </w:tc>
      </w:tr>
      <w:tr>
        <w:trPr>
          <w:trHeight w:val="223"/>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8,781</w:t>
            </w:r>
          </w:p>
        </w:tc>
        <w:tc>
          <w:tcPr>
            <w:tcW w:w="80" w:type="dxa"/>
            <w:vAlign w:val="bottom"/>
          </w:tcPr>
          <w:p>
            <w:pPr>
              <w:spacing w:after="0"/>
              <w:rPr>
                <w:sz w:val="19"/>
                <w:szCs w:val="19"/>
                <w:color w:val="auto"/>
              </w:rPr>
            </w:pPr>
          </w:p>
        </w:tc>
      </w:tr>
      <w:tr>
        <w:trPr>
          <w:trHeight w:val="223"/>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2019</w:t>
            </w:r>
          </w:p>
        </w:tc>
        <w:tc>
          <w:tcPr>
            <w:tcW w:w="224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34,947</w:t>
            </w:r>
          </w:p>
        </w:tc>
        <w:tc>
          <w:tcPr>
            <w:tcW w:w="80" w:type="dxa"/>
            <w:vAlign w:val="bottom"/>
            <w:tcBorders>
              <w:bottom w:val="single" w:sz="8" w:color="CCEEFF"/>
            </w:tcBorders>
            <w:shd w:val="clear" w:color="auto" w:fill="CCEEFF"/>
          </w:tcPr>
          <w:p>
            <w:pPr>
              <w:spacing w:after="0"/>
              <w:rPr>
                <w:sz w:val="19"/>
                <w:szCs w:val="19"/>
                <w:color w:val="auto"/>
              </w:rPr>
            </w:pPr>
          </w:p>
        </w:tc>
      </w:tr>
      <w:tr>
        <w:trPr>
          <w:trHeight w:val="223"/>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8,106</w:t>
            </w:r>
          </w:p>
        </w:tc>
        <w:tc>
          <w:tcPr>
            <w:tcW w:w="80" w:type="dxa"/>
            <w:vAlign w:val="bottom"/>
          </w:tcPr>
          <w:p>
            <w:pPr>
              <w:spacing w:after="0"/>
              <w:rPr>
                <w:sz w:val="19"/>
                <w:szCs w:val="19"/>
                <w:color w:val="auto"/>
              </w:rPr>
            </w:pPr>
          </w:p>
        </w:tc>
      </w:tr>
      <w:tr>
        <w:trPr>
          <w:trHeight w:val="257"/>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2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43,053</w:t>
            </w:r>
          </w:p>
        </w:tc>
        <w:tc>
          <w:tcPr>
            <w:tcW w:w="80" w:type="dxa"/>
            <w:vAlign w:val="bottom"/>
            <w:tcBorders>
              <w:bottom w:val="single" w:sz="8" w:color="CCEEFF"/>
            </w:tcBorders>
            <w:shd w:val="clear" w:color="auto" w:fill="CCEEFF"/>
          </w:tcPr>
          <w:p>
            <w:pPr>
              <w:spacing w:after="0"/>
              <w:rPr>
                <w:sz w:val="22"/>
                <w:szCs w:val="22"/>
                <w:color w:val="auto"/>
              </w:rPr>
            </w:pPr>
          </w:p>
        </w:tc>
      </w:tr>
      <w:tr>
        <w:trPr>
          <w:trHeight w:val="216"/>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2,255</w:t>
            </w:r>
          </w:p>
        </w:tc>
        <w:tc>
          <w:tcPr>
            <w:tcW w:w="80" w:type="dxa"/>
            <w:vAlign w:val="bottom"/>
          </w:tcPr>
          <w:p>
            <w:pPr>
              <w:spacing w:after="0"/>
              <w:rPr>
                <w:sz w:val="18"/>
                <w:szCs w:val="18"/>
                <w:color w:val="auto"/>
              </w:rPr>
            </w:pPr>
          </w:p>
        </w:tc>
      </w:tr>
      <w:tr>
        <w:trPr>
          <w:trHeight w:val="257"/>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2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45,308</w:t>
            </w:r>
          </w:p>
        </w:tc>
        <w:tc>
          <w:tcPr>
            <w:tcW w:w="80" w:type="dxa"/>
            <w:vAlign w:val="bottom"/>
            <w:tcBorders>
              <w:bottom w:val="single" w:sz="8" w:color="CCEEFF"/>
            </w:tcBorders>
            <w:shd w:val="clear" w:color="auto" w:fill="CCEEFF"/>
          </w:tcPr>
          <w:p>
            <w:pPr>
              <w:spacing w:after="0"/>
              <w:rPr>
                <w:sz w:val="22"/>
                <w:szCs w:val="22"/>
                <w:color w:val="auto"/>
              </w:rPr>
            </w:pPr>
          </w:p>
        </w:tc>
      </w:tr>
    </w:tbl>
    <w:p>
      <w:pPr>
        <w:spacing w:after="0" w:line="194" w:lineRule="exact"/>
        <w:rPr>
          <w:sz w:val="20"/>
          <w:szCs w:val="20"/>
          <w:color w:val="auto"/>
        </w:rPr>
      </w:pPr>
    </w:p>
    <w:p>
      <w:pPr>
        <w:ind w:left="360" w:hanging="352"/>
        <w:spacing w:after="0"/>
        <w:tabs>
          <w:tab w:leader="none" w:pos="360"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Provision for uncertain tax positions</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2020, and 2021, the Company does not have a provision for uncertain tax positions.</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66" w:name="page67"/>
    <w:bookmarkEnd w:id="66"/>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NOTE 11 — SUPPLEMENTARY FINANCIAL STATEMENT INFORMATION</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Other accounts payables and accruals</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9"/>
        </w:trPr>
        <w:tc>
          <w:tcPr>
            <w:tcW w:w="660" w:type="dxa"/>
            <w:vAlign w:val="bottom"/>
          </w:tcPr>
          <w:p>
            <w:pPr>
              <w:spacing w:after="0"/>
              <w:rPr>
                <w:sz w:val="24"/>
                <w:szCs w:val="24"/>
                <w:color w:val="auto"/>
              </w:rPr>
            </w:pPr>
          </w:p>
        </w:tc>
        <w:tc>
          <w:tcPr>
            <w:tcW w:w="7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80" w:type="dxa"/>
            <w:vAlign w:val="bottom"/>
            <w:gridSpan w:val="5"/>
          </w:tcPr>
          <w:p>
            <w:pPr>
              <w:ind w:left="32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expenses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1,685</w:t>
            </w: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Employees payables</w:t>
            </w:r>
          </w:p>
        </w:tc>
        <w:tc>
          <w:tcPr>
            <w:tcW w:w="2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812</w:t>
            </w: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754</w:t>
            </w: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Institutions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3,625</w:t>
            </w: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Refundable upfront payment</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4,000</w:t>
            </w:r>
          </w:p>
        </w:tc>
      </w:tr>
      <w:tr>
        <w:trPr>
          <w:trHeight w:val="223"/>
        </w:trPr>
        <w:tc>
          <w:tcPr>
            <w:tcW w:w="660" w:type="dxa"/>
            <w:vAlign w:val="bottom"/>
          </w:tcPr>
          <w:p>
            <w:pPr>
              <w:spacing w:after="0"/>
              <w:rPr>
                <w:sz w:val="19"/>
                <w:szCs w:val="19"/>
                <w:color w:val="auto"/>
              </w:rPr>
            </w:pPr>
          </w:p>
        </w:tc>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4,088</w:t>
            </w:r>
          </w:p>
        </w:tc>
        <w:tc>
          <w:tcPr>
            <w:tcW w:w="200" w:type="dxa"/>
            <w:vAlign w:val="bottom"/>
          </w:tcPr>
          <w:p>
            <w:pPr>
              <w:spacing w:after="0"/>
              <w:rPr>
                <w:sz w:val="18"/>
                <w:szCs w:val="18"/>
                <w:color w:val="auto"/>
              </w:rPr>
            </w:pP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10,145</w:t>
            </w:r>
          </w:p>
        </w:tc>
      </w:tr>
      <w:tr>
        <w:trPr>
          <w:trHeight w:val="21"/>
        </w:trPr>
        <w:tc>
          <w:tcPr>
            <w:tcW w:w="66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12 — RELATED PARTIES</w:t>
      </w:r>
    </w:p>
    <w:p>
      <w:pPr>
        <w:spacing w:after="0" w:line="229" w:lineRule="exact"/>
        <w:rPr>
          <w:sz w:val="20"/>
          <w:szCs w:val="20"/>
          <w:color w:val="auto"/>
        </w:rPr>
      </w:pPr>
    </w:p>
    <w:p>
      <w:pPr>
        <w:ind w:left="620" w:hanging="261"/>
        <w:spacing w:after="0" w:line="282" w:lineRule="auto"/>
        <w:tabs>
          <w:tab w:leader="none" w:pos="620"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Related parties include the Controlling Shareholder and companies under his control, the Board of Directors and the Executive Officers of the Company.</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options and restricted shares granted to directors and executive officers, see note 9d.</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13 — SUBSEQUENT EVENTS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March 2022, the Company has refunded the $4 million upfront payment to Galderma, See detailed information in note 8.</w:t>
      </w:r>
    </w:p>
    <w:p>
      <w:pPr>
        <w:spacing w:after="0" w:line="225"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color w:val="auto"/>
        </w:rPr>
        <w:t>F - 28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13232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171450</wp:posOffset>
            </wp:positionV>
            <wp:extent cx="7132320" cy="342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1">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0840"/>
          </w:cols>
          <w:pgMar w:left="320" w:top="333" w:right="739" w:bottom="1440" w:gutter="0" w:footer="0" w:header="0"/>
        </w:sectPr>
      </w:pPr>
    </w:p>
    <w:bookmarkStart w:id="67" w:name="page68"/>
    <w:bookmarkEnd w:id="67"/>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2">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3">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12.1</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CERTIFICATION BY CHIEF EXECUTIVE OFFICER PURSUANT TO SECTION 302</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 Alon Seri-Levy, certify that:</w:t>
      </w:r>
    </w:p>
    <w:p>
      <w:pPr>
        <w:spacing w:after="0" w:line="283" w:lineRule="exact"/>
        <w:rPr>
          <w:sz w:val="20"/>
          <w:szCs w:val="20"/>
          <w:color w:val="auto"/>
        </w:rPr>
      </w:pPr>
    </w:p>
    <w:p>
      <w:pPr>
        <w:ind w:left="840" w:hanging="333"/>
        <w:spacing w:after="0"/>
        <w:tabs>
          <w:tab w:leader="none" w:pos="8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20-F of Sol-Gel Technologies Ltd.;</w:t>
      </w:r>
    </w:p>
    <w:p>
      <w:pPr>
        <w:spacing w:after="0" w:line="279" w:lineRule="exact"/>
        <w:rPr>
          <w:rFonts w:ascii="Times New Roman" w:cs="Times New Roman" w:eastAsia="Times New Roman" w:hAnsi="Times New Roman"/>
          <w:sz w:val="18"/>
          <w:szCs w:val="18"/>
          <w:color w:val="auto"/>
        </w:rPr>
      </w:pPr>
    </w:p>
    <w:p>
      <w:pPr>
        <w:jc w:val="both"/>
        <w:ind w:left="840" w:hanging="333"/>
        <w:spacing w:after="0" w:line="266" w:lineRule="auto"/>
        <w:tabs>
          <w:tab w:leader="none" w:pos="8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15" w:lineRule="exact"/>
        <w:rPr>
          <w:rFonts w:ascii="Times New Roman" w:cs="Times New Roman" w:eastAsia="Times New Roman" w:hAnsi="Times New Roman"/>
          <w:sz w:val="18"/>
          <w:szCs w:val="18"/>
          <w:color w:val="auto"/>
        </w:rPr>
      </w:pPr>
    </w:p>
    <w:p>
      <w:pPr>
        <w:jc w:val="both"/>
        <w:ind w:left="840" w:hanging="333"/>
        <w:spacing w:after="0" w:line="261" w:lineRule="auto"/>
        <w:tabs>
          <w:tab w:leader="none" w:pos="8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company and have:</w:t>
      </w:r>
    </w:p>
    <w:p>
      <w:pPr>
        <w:spacing w:after="0" w:line="260"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29"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9" w:lineRule="exact"/>
        <w:rPr>
          <w:rFonts w:ascii="Times New Roman" w:cs="Times New Roman" w:eastAsia="Times New Roman" w:hAnsi="Times New Roman"/>
          <w:sz w:val="18"/>
          <w:szCs w:val="18"/>
          <w:color w:val="auto"/>
        </w:rPr>
      </w:pPr>
    </w:p>
    <w:p>
      <w:pPr>
        <w:ind w:left="1340" w:right="20" w:hanging="320"/>
        <w:spacing w:after="0" w:line="282" w:lineRule="auto"/>
        <w:tabs>
          <w:tab w:leader="none" w:pos="134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15"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 April 7,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Alon Seri-Levy</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Alon Seri-Levy</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80645</wp:posOffset>
            </wp:positionV>
            <wp:extent cx="71323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174625</wp:posOffset>
            </wp:positionV>
            <wp:extent cx="7132320" cy="342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5">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68" w:name="page69"/>
    <w:bookmarkEnd w:id="68"/>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6">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7">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12.2</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CERTIFICATION BY CHIEF FINANCIAL OFFICER PURSUANT TO SECTION 302</w:t>
      </w:r>
    </w:p>
    <w:p>
      <w:pPr>
        <w:spacing w:after="0" w:line="33" w:lineRule="exact"/>
        <w:rPr>
          <w:sz w:val="20"/>
          <w:szCs w:val="20"/>
          <w:color w:val="auto"/>
        </w:rPr>
      </w:pPr>
    </w:p>
    <w:p>
      <w:pPr>
        <w:jc w:val="center"/>
        <w:spacing w:after="0" w:line="253" w:lineRule="exact"/>
        <w:rPr>
          <w:sz w:val="20"/>
          <w:szCs w:val="20"/>
          <w:color w:val="auto"/>
        </w:rPr>
      </w:pPr>
      <w:r>
        <w:rPr>
          <w:rFonts w:ascii="Times New Roman" w:cs="Times New Roman" w:eastAsia="Times New Roman" w:hAnsi="Times New Roman"/>
          <w:sz w:val="22"/>
          <w:szCs w:val="22"/>
          <w:b w:val="1"/>
          <w:bCs w:val="1"/>
          <w:color w:val="auto"/>
        </w:rPr>
        <w:t>OF THE SARBANES</w:t>
      </w:r>
      <w:r>
        <w:rPr>
          <w:rFonts w:ascii="MS PGothic" w:cs="MS PGothic" w:eastAsia="MS PGothic" w:hAnsi="MS PGothic"/>
          <w:sz w:val="22"/>
          <w:szCs w:val="22"/>
          <w:color w:val="auto"/>
          <w:strike w:val="1"/>
        </w:rPr>
        <w:t>‑</w:t>
      </w:r>
      <w:r>
        <w:rPr>
          <w:rFonts w:ascii="Times New Roman" w:cs="Times New Roman" w:eastAsia="Times New Roman" w:hAnsi="Times New Roman"/>
          <w:sz w:val="22"/>
          <w:szCs w:val="22"/>
          <w:b w:val="1"/>
          <w:bCs w:val="1"/>
          <w:color w:val="auto"/>
        </w:rPr>
        <w:t>OXLEY ACT OF 2002</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 Gilad Mamlok, certify that:</w:t>
      </w:r>
    </w:p>
    <w:p>
      <w:pPr>
        <w:spacing w:after="0" w:line="283" w:lineRule="exact"/>
        <w:rPr>
          <w:sz w:val="20"/>
          <w:szCs w:val="20"/>
          <w:color w:val="auto"/>
        </w:rPr>
      </w:pPr>
    </w:p>
    <w:p>
      <w:pPr>
        <w:ind w:left="840" w:hanging="333"/>
        <w:spacing w:after="0"/>
        <w:tabs>
          <w:tab w:leader="none" w:pos="84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20-F of Sol-Gel Technologies Ltd.;</w:t>
      </w:r>
    </w:p>
    <w:p>
      <w:pPr>
        <w:spacing w:after="0" w:line="279" w:lineRule="exact"/>
        <w:rPr>
          <w:rFonts w:ascii="Times New Roman" w:cs="Times New Roman" w:eastAsia="Times New Roman" w:hAnsi="Times New Roman"/>
          <w:sz w:val="18"/>
          <w:szCs w:val="18"/>
          <w:color w:val="auto"/>
        </w:rPr>
      </w:pPr>
    </w:p>
    <w:p>
      <w:pPr>
        <w:jc w:val="both"/>
        <w:ind w:left="840" w:hanging="333"/>
        <w:spacing w:after="0" w:line="266" w:lineRule="auto"/>
        <w:tabs>
          <w:tab w:leader="none" w:pos="84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15" w:lineRule="exact"/>
        <w:rPr>
          <w:rFonts w:ascii="Times New Roman" w:cs="Times New Roman" w:eastAsia="Times New Roman" w:hAnsi="Times New Roman"/>
          <w:sz w:val="18"/>
          <w:szCs w:val="18"/>
          <w:color w:val="auto"/>
        </w:rPr>
      </w:pPr>
    </w:p>
    <w:p>
      <w:pPr>
        <w:jc w:val="both"/>
        <w:ind w:left="840" w:hanging="333"/>
        <w:spacing w:after="0" w:line="261" w:lineRule="auto"/>
        <w:tabs>
          <w:tab w:leader="none" w:pos="84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company and have:</w:t>
      </w:r>
    </w:p>
    <w:p>
      <w:pPr>
        <w:spacing w:after="0" w:line="260"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29"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9" w:lineRule="exact"/>
        <w:rPr>
          <w:rFonts w:ascii="Times New Roman" w:cs="Times New Roman" w:eastAsia="Times New Roman" w:hAnsi="Times New Roman"/>
          <w:sz w:val="18"/>
          <w:szCs w:val="18"/>
          <w:color w:val="auto"/>
        </w:rPr>
      </w:pPr>
    </w:p>
    <w:p>
      <w:pPr>
        <w:ind w:left="1340" w:right="20" w:hanging="320"/>
        <w:spacing w:after="0" w:line="282" w:lineRule="auto"/>
        <w:tabs>
          <w:tab w:leader="none" w:pos="1340" w:val="left"/>
        </w:tabs>
        <w:numPr>
          <w:ilvl w:val="1"/>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15"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7, 2022</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auto"/>
        </w:rPr>
        <w:t>/s/ Gilad Mamlok</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Gilad Mamlok</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132320" cy="342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69" w:name="page70"/>
    <w:bookmarkEnd w:id="69"/>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0">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1">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13.1</w:t>
      </w:r>
    </w:p>
    <w:p>
      <w:pPr>
        <w:spacing w:after="0" w:line="287"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2"/>
          <w:szCs w:val="22"/>
          <w:b w:val="1"/>
          <w:bCs w:val="1"/>
          <w:color w:val="auto"/>
        </w:rPr>
        <w:t>CERTIFICATION BY CHIEF EXECUTIVE OFFICER PURSUAN TO SECTION 906</w:t>
      </w:r>
    </w:p>
    <w:p>
      <w:pPr>
        <w:spacing w:after="0" w:line="33"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jc w:val="both"/>
        <w:ind w:right="120"/>
        <w:spacing w:after="0" w:line="265" w:lineRule="auto"/>
        <w:rPr>
          <w:sz w:val="20"/>
          <w:szCs w:val="20"/>
          <w:color w:val="auto"/>
        </w:rPr>
      </w:pPr>
      <w:r>
        <w:rPr>
          <w:rFonts w:ascii="Times New Roman" w:cs="Times New Roman" w:eastAsia="Times New Roman" w:hAnsi="Times New Roman"/>
          <w:sz w:val="22"/>
          <w:szCs w:val="22"/>
          <w:color w:val="auto"/>
        </w:rPr>
        <w:t>In connection with the Annual Report of Sol-Gel Technologies Ltd. (the “Company”) on Form 20-F for the period ended December 31, 2021 as filed with the Securities and Exchange Commission on the date hereof (the “Report”), the undersigned officer of the Company certifies, pursuant to 18 U.S.C. §1350, as adopted pursuant to §906 of the Sarbanes-Oxley Act of 2002, that to such officer's knowledge:</w:t>
      </w:r>
    </w:p>
    <w:p>
      <w:pPr>
        <w:spacing w:after="0" w:line="228" w:lineRule="exact"/>
        <w:rPr>
          <w:sz w:val="20"/>
          <w:szCs w:val="20"/>
          <w:color w:val="auto"/>
        </w:rPr>
      </w:pPr>
    </w:p>
    <w:p>
      <w:pPr>
        <w:ind w:left="660" w:hanging="652"/>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7"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April 7,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Alon Seri-Levy</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Alon Seri-Levy</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252095</wp:posOffset>
            </wp:positionV>
            <wp:extent cx="713232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132320" cy="342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3">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70" w:name="page71"/>
    <w:bookmarkEnd w:id="70"/>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4">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5">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13.2</w:t>
      </w:r>
    </w:p>
    <w:p>
      <w:pPr>
        <w:spacing w:after="0" w:line="200" w:lineRule="exact"/>
        <w:rPr>
          <w:sz w:val="20"/>
          <w:szCs w:val="20"/>
          <w:color w:val="auto"/>
        </w:rPr>
      </w:pPr>
    </w:p>
    <w:p>
      <w:pPr>
        <w:spacing w:after="0" w:line="357"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CERTIFICATION BY CHIEF FINANCIAL OFFICER PURSUAN TO SECTION 906</w:t>
      </w:r>
    </w:p>
    <w:p>
      <w:pPr>
        <w:spacing w:after="0" w:line="33"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jc w:val="both"/>
        <w:ind w:right="120"/>
        <w:spacing w:after="0" w:line="265" w:lineRule="auto"/>
        <w:rPr>
          <w:sz w:val="20"/>
          <w:szCs w:val="20"/>
          <w:color w:val="auto"/>
        </w:rPr>
      </w:pPr>
      <w:r>
        <w:rPr>
          <w:rFonts w:ascii="Times New Roman" w:cs="Times New Roman" w:eastAsia="Times New Roman" w:hAnsi="Times New Roman"/>
          <w:sz w:val="22"/>
          <w:szCs w:val="22"/>
          <w:color w:val="auto"/>
        </w:rPr>
        <w:t>In connection with the Annual Report of Sol-Gel Technologies Ltd. (the “Company”) on Form 20-F for the period ended December 31, 2021 as filed with the Securities and Exchange Commission on the date hereof (the “Report”), the undersigned officer of the Company certifies, pursuant to 18 U.S.C. §1350, as adopted pursuant to §906 of the Sarbanes-Oxley Act of 2002, that to such officer's knowledge:</w:t>
      </w:r>
    </w:p>
    <w:p>
      <w:pPr>
        <w:spacing w:after="0" w:line="228" w:lineRule="exact"/>
        <w:rPr>
          <w:sz w:val="20"/>
          <w:szCs w:val="20"/>
          <w:color w:val="auto"/>
        </w:rPr>
      </w:pPr>
    </w:p>
    <w:p>
      <w:pPr>
        <w:ind w:left="660" w:hanging="652"/>
        <w:spacing w:after="0"/>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7"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April 7,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Gilad Mamlok</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Gilad Mamlok</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252095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132320" cy="342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7">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71" w:name="page72"/>
    <w:bookmarkEnd w:id="71"/>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9">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15.1</w:t>
      </w: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CONSENT OF INDEPENDENT REGISTERED PUBLIC ACCOUNTING FIRM</w:t>
      </w:r>
    </w:p>
    <w:p>
      <w:pPr>
        <w:spacing w:after="0" w:line="29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2"/>
          <w:szCs w:val="22"/>
          <w:color w:val="auto"/>
        </w:rPr>
        <w:t>We hereby consent to the incorporation by reference in the Registration Statements on Form S-8 (No. 333-223915) and Form F-3 (No. 333-230564) of Sol-Gel Technologies Ltd. of our report dated April 4, 2022 relating to the financial statements, which appears in this Amendment No. 1 to Form 20-F.</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Tel-Aviv, Israel</w:t>
            </w: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/s/Kesselman &amp; Kesselman</w:t>
            </w:r>
          </w:p>
        </w:tc>
      </w:tr>
      <w:tr>
        <w:trPr>
          <w:trHeight w:val="216"/>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April 7, 2022</w:t>
            </w: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Certified Public Accountants (Isr.)</w:t>
            </w:r>
          </w:p>
        </w:tc>
      </w:tr>
      <w:tr>
        <w:trPr>
          <w:trHeight w:val="234"/>
        </w:trPr>
        <w:tc>
          <w:tcPr>
            <w:tcW w:w="3380" w:type="dxa"/>
            <w:vAlign w:val="bottom"/>
          </w:tcPr>
          <w:p>
            <w:pPr>
              <w:spacing w:after="0"/>
              <w:rPr>
                <w:sz w:val="20"/>
                <w:szCs w:val="20"/>
                <w:color w:val="auto"/>
              </w:rPr>
            </w:pP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A member firm of PricewaterhouseCoopers International Limited</w:t>
            </w:r>
          </w:p>
        </w:tc>
      </w:tr>
      <w:tr>
        <w:trPr>
          <w:trHeight w:val="378"/>
        </w:trPr>
        <w:tc>
          <w:tcPr>
            <w:tcW w:w="3380" w:type="dxa"/>
            <w:vAlign w:val="bottom"/>
            <w:tcBorders>
              <w:bottom w:val="single" w:sz="8" w:color="auto"/>
            </w:tcBorders>
          </w:tcPr>
          <w:p>
            <w:pPr>
              <w:spacing w:after="0"/>
              <w:rPr>
                <w:sz w:val="24"/>
                <w:szCs w:val="24"/>
                <w:color w:val="auto"/>
              </w:rPr>
            </w:pPr>
          </w:p>
        </w:tc>
        <w:tc>
          <w:tcPr>
            <w:tcW w:w="7860" w:type="dxa"/>
            <w:vAlign w:val="bottom"/>
            <w:tcBorders>
              <w:bottom w:val="single" w:sz="8" w:color="auto"/>
            </w:tcBorders>
          </w:tcPr>
          <w:p>
            <w:pPr>
              <w:spacing w:after="0"/>
              <w:rPr>
                <w:sz w:val="24"/>
                <w:szCs w:val="24"/>
                <w:color w:val="auto"/>
              </w:rPr>
            </w:pPr>
          </w:p>
        </w:tc>
      </w:tr>
      <w:tr>
        <w:trPr>
          <w:trHeight w:val="163"/>
        </w:trPr>
        <w:tc>
          <w:tcPr>
            <w:tcW w:w="3380" w:type="dxa"/>
            <w:vAlign w:val="bottom"/>
            <w:tcBorders>
              <w:bottom w:val="single" w:sz="8" w:color="auto"/>
            </w:tcBorders>
          </w:tcPr>
          <w:p>
            <w:pPr>
              <w:spacing w:after="0"/>
              <w:rPr>
                <w:sz w:val="14"/>
                <w:szCs w:val="14"/>
                <w:color w:val="auto"/>
              </w:rPr>
            </w:pPr>
          </w:p>
        </w:tc>
        <w:tc>
          <w:tcPr>
            <w:tcW w:w="7860" w:type="dxa"/>
            <w:vAlign w:val="bottom"/>
            <w:tcBorders>
              <w:bottom w:val="single" w:sz="8" w:color="auto"/>
            </w:tcBorders>
          </w:tcPr>
          <w:p>
            <w:pPr>
              <w:spacing w:after="0"/>
              <w:rPr>
                <w:sz w:val="14"/>
                <w:szCs w:val="14"/>
                <w:color w:val="auto"/>
              </w:rPr>
            </w:pPr>
          </w:p>
        </w:tc>
      </w:tr>
    </w:tbl>
    <w:p>
      <w:pPr>
        <w:spacing w:after="0" w:line="1" w:lineRule="exact"/>
        <w:rPr>
          <w:sz w:val="20"/>
          <w:szCs w:val="20"/>
          <w:color w:val="auto"/>
        </w:rPr>
      </w:pPr>
    </w:p>
    <w:sectPr>
      <w:pgSz w:w="11900" w:h="16838" w:orient="portrait"/>
      <w:cols w:equalWidth="0" w:num="1">
        <w:col w:w="11240"/>
      </w:cols>
      <w:pgMar w:left="320" w:top="41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138641"/>
    <w:multiLevelType w:val="hybridMultilevel"/>
    <w:lvl w:ilvl="0">
      <w:lvlJc w:val="left"/>
      <w:lvlText w:val="☐"/>
      <w:numFmt w:val="bullet"/>
      <w:start w:val="1"/>
    </w:lvl>
    <w:lvl w:ilvl="1">
      <w:lvlJc w:val="left"/>
      <w:lvlText w:val="☒"/>
      <w:numFmt w:val="bullet"/>
      <w:start w:val="1"/>
    </w:lvl>
  </w:abstractNum>
  <w:abstractNum w:abstractNumId="1">
    <w:nsid w:val="1E7FF521"/>
    <w:multiLevelType w:val="hybridMultilevel"/>
    <w:lvl w:ilvl="0">
      <w:lvlJc w:val="left"/>
      <w:lvlText w:val="☐"/>
      <w:numFmt w:val="bullet"/>
      <w:start w:val="1"/>
    </w:lvl>
  </w:abstractNum>
  <w:abstractNum w:abstractNumId="2">
    <w:nsid w:val="7C3DBD3D"/>
    <w:multiLevelType w:val="hybridMultilevel"/>
    <w:lvl w:ilvl="0">
      <w:lvlJc w:val="left"/>
      <w:lvlText w:val="\endash "/>
      <w:numFmt w:val="bullet"/>
      <w:start w:val="1"/>
    </w:lvl>
  </w:abstractNum>
  <w:abstractNum w:abstractNumId="3">
    <w:nsid w:val="737B8DDC"/>
    <w:multiLevelType w:val="hybridMultilevel"/>
    <w:lvl w:ilvl="0">
      <w:lvlJc w:val="left"/>
      <w:lvlText w:val="%1."/>
      <w:numFmt w:val="upperLetter"/>
      <w:start w:val="1"/>
    </w:lvl>
  </w:abstractNum>
  <w:abstractNum w:abstractNumId="4">
    <w:nsid w:val="6CEAF087"/>
    <w:multiLevelType w:val="hybridMultilevel"/>
    <w:lvl w:ilvl="0">
      <w:lvlJc w:val="left"/>
      <w:lvlText w:val="%1."/>
      <w:numFmt w:val="upperLetter"/>
      <w:start w:val="2"/>
    </w:lvl>
  </w:abstractNum>
  <w:abstractNum w:abstractNumId="5">
    <w:nsid w:val="22221A70"/>
    <w:multiLevelType w:val="hybridMultilevel"/>
    <w:lvl w:ilvl="0">
      <w:lvlJc w:val="left"/>
      <w:lvlText w:val="•"/>
      <w:numFmt w:val="bullet"/>
      <w:start w:val="1"/>
    </w:lvl>
  </w:abstractNum>
  <w:abstractNum w:abstractNumId="6">
    <w:nsid w:val="4516DDE9"/>
    <w:multiLevelType w:val="hybridMultilevel"/>
    <w:lvl w:ilvl="0">
      <w:lvlJc w:val="left"/>
      <w:lvlText w:val="•"/>
      <w:numFmt w:val="bullet"/>
      <w:start w:val="1"/>
    </w:lvl>
  </w:abstractNum>
  <w:abstractNum w:abstractNumId="7">
    <w:nsid w:val="3006C83E"/>
    <w:multiLevelType w:val="hybridMultilevel"/>
    <w:lvl w:ilvl="0">
      <w:lvlJc w:val="left"/>
      <w:lvlText w:val="•"/>
      <w:numFmt w:val="bullet"/>
      <w:start w:val="1"/>
    </w:lvl>
  </w:abstractNum>
  <w:abstractNum w:abstractNumId="8">
    <w:nsid w:val="614FD4A1"/>
    <w:multiLevelType w:val="hybridMultilevel"/>
    <w:lvl w:ilvl="0">
      <w:lvlJc w:val="left"/>
      <w:lvlText w:val="•"/>
      <w:numFmt w:val="bullet"/>
      <w:start w:val="1"/>
    </w:lvl>
  </w:abstractNum>
  <w:abstractNum w:abstractNumId="9">
    <w:nsid w:val="419AC241"/>
    <w:multiLevelType w:val="hybridMultilevel"/>
    <w:lvl w:ilvl="0">
      <w:lvlJc w:val="left"/>
      <w:lvlText w:val="•"/>
      <w:numFmt w:val="bullet"/>
      <w:start w:val="1"/>
    </w:lvl>
  </w:abstractNum>
  <w:abstractNum w:abstractNumId="10">
    <w:nsid w:val="5577F8E1"/>
    <w:multiLevelType w:val="hybridMultilevel"/>
    <w:lvl w:ilvl="0">
      <w:lvlJc w:val="left"/>
      <w:lvlText w:val="•"/>
      <w:numFmt w:val="bullet"/>
      <w:start w:val="1"/>
    </w:lvl>
  </w:abstractNum>
  <w:abstractNum w:abstractNumId="11">
    <w:nsid w:val="440BADFC"/>
    <w:multiLevelType w:val="hybridMultilevel"/>
    <w:lvl w:ilvl="0">
      <w:lvlJc w:val="left"/>
      <w:lvlText w:val="%1."/>
      <w:numFmt w:val="decimal"/>
      <w:start w:val="12"/>
    </w:lvl>
  </w:abstractNum>
  <w:abstractNum w:abstractNumId="12">
    <w:nsid w:val="5072367"/>
    <w:multiLevelType w:val="hybridMultilevel"/>
    <w:lvl w:ilvl="0">
      <w:lvlJc w:val="left"/>
      <w:lvlText w:val="•"/>
      <w:numFmt w:val="bullet"/>
      <w:start w:val="1"/>
    </w:lvl>
  </w:abstractNum>
  <w:abstractNum w:abstractNumId="13">
    <w:nsid w:val="3804823E"/>
    <w:multiLevelType w:val="hybridMultilevel"/>
    <w:lvl w:ilvl="0">
      <w:lvlJc w:val="left"/>
      <w:lvlText w:val="%1."/>
      <w:numFmt w:val="decimal"/>
      <w:start w:val="12"/>
    </w:lvl>
  </w:abstractNum>
  <w:abstractNum w:abstractNumId="14">
    <w:nsid w:val="77465F01"/>
    <w:multiLevelType w:val="hybridMultilevel"/>
    <w:lvl w:ilvl="0">
      <w:lvlJc w:val="left"/>
      <w:lvlText w:val="•"/>
      <w:numFmt w:val="bullet"/>
      <w:start w:val="1"/>
    </w:lvl>
  </w:abstractNum>
  <w:abstractNum w:abstractNumId="15">
    <w:nsid w:val="7724C67E"/>
    <w:multiLevelType w:val="hybridMultilevel"/>
    <w:lvl w:ilvl="0">
      <w:lvlJc w:val="left"/>
      <w:lvlText w:val="•"/>
      <w:numFmt w:val="bullet"/>
      <w:start w:val="1"/>
    </w:lvl>
  </w:abstractNum>
  <w:abstractNum w:abstractNumId="16">
    <w:nsid w:val="5C482A97"/>
    <w:multiLevelType w:val="hybridMultilevel"/>
    <w:lvl w:ilvl="0">
      <w:lvlJc w:val="left"/>
      <w:lvlText w:val="•"/>
      <w:numFmt w:val="bullet"/>
      <w:start w:val="1"/>
    </w:lvl>
  </w:abstractNum>
  <w:abstractNum w:abstractNumId="17">
    <w:nsid w:val="2463B9EA"/>
    <w:multiLevelType w:val="hybridMultilevel"/>
    <w:lvl w:ilvl="0">
      <w:lvlJc w:val="left"/>
      <w:lvlText w:val="•"/>
      <w:numFmt w:val="bullet"/>
      <w:start w:val="1"/>
    </w:lvl>
  </w:abstractNum>
  <w:abstractNum w:abstractNumId="18">
    <w:nsid w:val="5E884ADC"/>
    <w:multiLevelType w:val="hybridMultilevel"/>
    <w:lvl w:ilvl="0">
      <w:lvlJc w:val="left"/>
      <w:lvlText w:val="•"/>
      <w:numFmt w:val="bullet"/>
      <w:start w:val="1"/>
    </w:lvl>
  </w:abstractNum>
  <w:abstractNum w:abstractNumId="19">
    <w:nsid w:val="51EAD36B"/>
    <w:multiLevelType w:val="hybridMultilevel"/>
    <w:lvl w:ilvl="0">
      <w:lvlJc w:val="left"/>
      <w:lvlText w:val="•"/>
      <w:numFmt w:val="bullet"/>
      <w:start w:val="1"/>
    </w:lvl>
  </w:abstractNum>
  <w:abstractNum w:abstractNumId="20">
    <w:nsid w:val="2D517796"/>
    <w:multiLevelType w:val="hybridMultilevel"/>
    <w:lvl w:ilvl="0">
      <w:lvlJc w:val="left"/>
      <w:lvlText w:val="%1."/>
      <w:numFmt w:val="upperLetter"/>
      <w:start w:val="3"/>
    </w:lvl>
  </w:abstractNum>
  <w:abstractNum w:abstractNumId="21">
    <w:nsid w:val="580BD78F"/>
    <w:multiLevelType w:val="hybridMultilevel"/>
    <w:lvl w:ilvl="0">
      <w:lvlJc w:val="left"/>
      <w:lvlText w:val="%1."/>
      <w:numFmt w:val="upperLetter"/>
      <w:start w:val="4"/>
    </w:lvl>
  </w:abstractNum>
  <w:abstractNum w:abstractNumId="22">
    <w:nsid w:val="153EA438"/>
    <w:multiLevelType w:val="hybridMultilevel"/>
    <w:lvl w:ilvl="0">
      <w:lvlJc w:val="left"/>
      <w:lvlText w:val="%1"/>
      <w:numFmt w:val="decimal"/>
      <w:start w:val="101"/>
    </w:lvl>
    <w:lvl w:ilvl="1">
      <w:lvlJc w:val="left"/>
      <w:lvlText w:val="(%2)"/>
      <w:numFmt w:val="lowerRoman"/>
      <w:start w:val="1"/>
    </w:lvl>
  </w:abstractNum>
  <w:abstractNum w:abstractNumId="23">
    <w:nsid w:val="3855585C"/>
    <w:multiLevelType w:val="hybridMultilevel"/>
    <w:lvl w:ilvl="0">
      <w:lvlJc w:val="left"/>
      <w:lvlText w:val="*"/>
      <w:numFmt w:val="bullet"/>
      <w:start w:val="1"/>
    </w:lvl>
  </w:abstractNum>
  <w:abstractNum w:abstractNumId="24">
    <w:nsid w:val="70A64E2A"/>
    <w:multiLevelType w:val="hybridMultilevel"/>
    <w:lvl w:ilvl="0">
      <w:lvlJc w:val="left"/>
      <w:lvlText w:val="**"/>
      <w:numFmt w:val="bullet"/>
      <w:start w:val="1"/>
    </w:lvl>
  </w:abstractNum>
  <w:abstractNum w:abstractNumId="25">
    <w:nsid w:val="6A2342EC"/>
    <w:multiLevelType w:val="hybridMultilevel"/>
    <w:lvl w:ilvl="0">
      <w:lvlJc w:val="left"/>
      <w:lvlText w:val="†"/>
      <w:numFmt w:val="bullet"/>
      <w:start w:val="1"/>
    </w:lvl>
  </w:abstractNum>
  <w:abstractNum w:abstractNumId="26">
    <w:nsid w:val="2A487CB0"/>
    <w:multiLevelType w:val="hybridMultilevel"/>
    <w:lvl w:ilvl="0">
      <w:lvlJc w:val="left"/>
      <w:lvlText w:val="∞"/>
      <w:numFmt w:val="bullet"/>
      <w:start w:val="1"/>
    </w:lvl>
  </w:abstractNum>
  <w:abstractNum w:abstractNumId="27">
    <w:nsid w:val="1D4ED43B"/>
    <w:multiLevelType w:val="hybridMultilevel"/>
    <w:lvl w:ilvl="0">
      <w:lvlJc w:val="left"/>
      <w:lvlText w:val="%1."/>
      <w:numFmt w:val="lowerLetter"/>
      <w:start w:val="1"/>
    </w:lvl>
  </w:abstractNum>
  <w:abstractNum w:abstractNumId="28">
    <w:nsid w:val="725A06FB"/>
    <w:multiLevelType w:val="hybridMultilevel"/>
    <w:lvl w:ilvl="0">
      <w:lvlJc w:val="left"/>
      <w:lvlText w:val="%1."/>
      <w:numFmt w:val="lowerLetter"/>
      <w:start w:val="5"/>
    </w:lvl>
    <w:lvl w:ilvl="1">
      <w:lvlJc w:val="left"/>
      <w:lvlText w:val="%2)"/>
      <w:numFmt w:val="decimal"/>
      <w:start w:val="1"/>
    </w:lvl>
  </w:abstractNum>
  <w:abstractNum w:abstractNumId="29">
    <w:nsid w:val="2CD89A32"/>
    <w:multiLevelType w:val="hybridMultilevel"/>
    <w:lvl w:ilvl="0">
      <w:lvlJc w:val="left"/>
      <w:lvlText w:val="%1."/>
      <w:numFmt w:val="lowerLetter"/>
      <w:start w:val="9"/>
    </w:lvl>
  </w:abstractNum>
  <w:abstractNum w:abstractNumId="30">
    <w:nsid w:val="57E4CCAF"/>
    <w:multiLevelType w:val="hybridMultilevel"/>
    <w:lvl w:ilvl="0">
      <w:lvlJc w:val="left"/>
      <w:lvlText w:val="%1."/>
      <w:numFmt w:val="lowerLetter"/>
      <w:start w:val="12"/>
    </w:lvl>
  </w:abstractNum>
  <w:abstractNum w:abstractNumId="31">
    <w:nsid w:val="7A6D8D3C"/>
    <w:multiLevelType w:val="hybridMultilevel"/>
    <w:lvl w:ilvl="0">
      <w:lvlJc w:val="left"/>
      <w:lvlText w:val="%1."/>
      <w:numFmt w:val="lowerLetter"/>
      <w:start w:val="12"/>
    </w:lvl>
  </w:abstractNum>
  <w:abstractNum w:abstractNumId="32">
    <w:nsid w:val="4B588F54"/>
    <w:multiLevelType w:val="hybridMultilevel"/>
    <w:lvl w:ilvl="0">
      <w:lvlJc w:val="left"/>
      <w:lvlText w:val="%1."/>
      <w:numFmt w:val="lowerLetter"/>
      <w:start w:val="13"/>
    </w:lvl>
    <w:lvl w:ilvl="1">
      <w:lvlJc w:val="left"/>
      <w:lvlText w:val="%2)"/>
      <w:numFmt w:val="decimal"/>
      <w:start w:val="1"/>
    </w:lvl>
  </w:abstractNum>
  <w:abstractNum w:abstractNumId="33">
    <w:nsid w:val="542289EC"/>
    <w:multiLevelType w:val="hybridMultilevel"/>
    <w:lvl w:ilvl="0">
      <w:lvlJc w:val="left"/>
      <w:lvlText w:val="%1."/>
      <w:numFmt w:val="lowerLetter"/>
      <w:start w:val="14"/>
    </w:lvl>
  </w:abstractNum>
  <w:abstractNum w:abstractNumId="34">
    <w:nsid w:val="6DE91B18"/>
    <w:multiLevelType w:val="hybridMultilevel"/>
    <w:lvl w:ilvl="0">
      <w:lvlJc w:val="left"/>
      <w:lvlText w:val="%1."/>
      <w:numFmt w:val="lowerLetter"/>
      <w:start w:val="17"/>
    </w:lvl>
  </w:abstractNum>
  <w:abstractNum w:abstractNumId="35">
    <w:nsid w:val="38437FDB"/>
    <w:multiLevelType w:val="hybridMultilevel"/>
    <w:lvl w:ilvl="0">
      <w:lvlJc w:val="left"/>
      <w:lvlText w:val="%1."/>
      <w:numFmt w:val="lowerLetter"/>
      <w:start w:val="1"/>
    </w:lvl>
    <w:lvl w:ilvl="1">
      <w:lvlJc w:val="left"/>
      <w:lvlText w:val="%2)"/>
      <w:numFmt w:val="decimal"/>
      <w:start w:val="1"/>
    </w:lvl>
  </w:abstractNum>
  <w:abstractNum w:abstractNumId="36">
    <w:nsid w:val="7644A45C"/>
    <w:multiLevelType w:val="hybridMultilevel"/>
    <w:lvl w:ilvl="0">
      <w:lvlJc w:val="left"/>
      <w:lvlText w:val="%1)"/>
      <w:numFmt w:val="decimal"/>
      <w:start w:val="2"/>
    </w:lvl>
  </w:abstractNum>
  <w:abstractNum w:abstractNumId="37">
    <w:nsid w:val="32FFF902"/>
    <w:multiLevelType w:val="hybridMultilevel"/>
    <w:lvl w:ilvl="0">
      <w:lvlJc w:val="left"/>
      <w:lvlText w:val="%1."/>
      <w:numFmt w:val="lowerLetter"/>
      <w:start w:val="2"/>
    </w:lvl>
  </w:abstractNum>
  <w:abstractNum w:abstractNumId="38">
    <w:nsid w:val="684A481A"/>
    <w:multiLevelType w:val="hybridMultilevel"/>
    <w:lvl w:ilvl="0">
      <w:lvlJc w:val="left"/>
      <w:lvlText w:val="%1."/>
      <w:numFmt w:val="lowerLetter"/>
      <w:start w:val="3"/>
    </w:lvl>
  </w:abstractNum>
  <w:abstractNum w:abstractNumId="39">
    <w:nsid w:val="579478FE"/>
    <w:multiLevelType w:val="hybridMultilevel"/>
    <w:lvl w:ilvl="0">
      <w:lvlJc w:val="left"/>
      <w:lvlText w:val="%1."/>
      <w:numFmt w:val="lowerLetter"/>
      <w:start w:val="1"/>
    </w:lvl>
  </w:abstractNum>
  <w:abstractNum w:abstractNumId="40">
    <w:nsid w:val="749ABB43"/>
    <w:multiLevelType w:val="hybridMultilevel"/>
    <w:lvl w:ilvl="0">
      <w:lvlJc w:val="left"/>
      <w:lvlText w:val="%1."/>
      <w:numFmt w:val="lowerLetter"/>
      <w:start w:val="1"/>
    </w:lvl>
  </w:abstractNum>
  <w:abstractNum w:abstractNumId="41">
    <w:nsid w:val="3DC240FB"/>
    <w:multiLevelType w:val="hybridMultilevel"/>
    <w:lvl w:ilvl="0">
      <w:lvlJc w:val="left"/>
      <w:lvlText w:val="%1)"/>
      <w:numFmt w:val="decimal"/>
      <w:start w:val="1"/>
    </w:lvl>
  </w:abstractNum>
  <w:abstractNum w:abstractNumId="42">
    <w:nsid w:val="1BA026FA"/>
    <w:multiLevelType w:val="hybridMultilevel"/>
    <w:lvl w:ilvl="0">
      <w:lvlJc w:val="left"/>
      <w:lvlText w:val="%1)"/>
      <w:numFmt w:val="decimal"/>
      <w:start w:val="1"/>
    </w:lvl>
  </w:abstractNum>
  <w:abstractNum w:abstractNumId="43">
    <w:nsid w:val="79A1DEAA"/>
    <w:multiLevelType w:val="hybridMultilevel"/>
    <w:lvl w:ilvl="0">
      <w:lvlJc w:val="left"/>
      <w:lvlText w:val="%1)"/>
      <w:numFmt w:val="decimal"/>
      <w:start w:val="2"/>
    </w:lvl>
  </w:abstractNum>
  <w:abstractNum w:abstractNumId="44">
    <w:nsid w:val="75C6C33A"/>
    <w:multiLevelType w:val="hybridMultilevel"/>
    <w:lvl w:ilvl="0">
      <w:lvlJc w:val="left"/>
      <w:lvlText w:val="%1."/>
      <w:numFmt w:val="lowerLetter"/>
      <w:start w:val="1"/>
    </w:lvl>
  </w:abstractNum>
  <w:abstractNum w:abstractNumId="45">
    <w:nsid w:val="12E685FB"/>
    <w:multiLevelType w:val="hybridMultilevel"/>
    <w:lvl w:ilvl="0">
      <w:lvlJc w:val="left"/>
      <w:lvlText w:val="%1."/>
      <w:numFmt w:val="lowerRoman"/>
      <w:start w:val="1"/>
    </w:lvl>
  </w:abstractNum>
  <w:abstractNum w:abstractNumId="46">
    <w:nsid w:val="70C6A529"/>
    <w:multiLevelType w:val="hybridMultilevel"/>
    <w:lvl w:ilvl="0">
      <w:lvlJc w:val="left"/>
      <w:lvlText w:val="%1."/>
      <w:numFmt w:val="lowerLetter"/>
      <w:start w:val="2"/>
    </w:lvl>
  </w:abstractNum>
  <w:abstractNum w:abstractNumId="47">
    <w:nsid w:val="520EEDD1"/>
    <w:multiLevelType w:val="hybridMultilevel"/>
    <w:lvl w:ilvl="0">
      <w:lvlJc w:val="left"/>
      <w:lvlText w:val="%1."/>
      <w:numFmt w:val="lowerLetter"/>
      <w:start w:val="3"/>
    </w:lvl>
  </w:abstractNum>
  <w:abstractNum w:abstractNumId="48">
    <w:nsid w:val="374A3FE6"/>
    <w:multiLevelType w:val="hybridMultilevel"/>
    <w:lvl w:ilvl="0">
      <w:lvlJc w:val="left"/>
      <w:lvlText w:val="%1."/>
      <w:numFmt w:val="lowerLetter"/>
      <w:start w:val="1"/>
    </w:lvl>
  </w:abstractNum>
  <w:abstractNum w:abstractNumId="49">
    <w:nsid w:val="4F4EF005"/>
    <w:multiLevelType w:val="hybridMultilevel"/>
    <w:lvl w:ilvl="0">
      <w:lvlJc w:val="left"/>
      <w:lvlText w:val="%1."/>
      <w:numFmt w:val="lowerLetter"/>
      <w:start w:val="4"/>
    </w:lvl>
  </w:abstractNum>
  <w:abstractNum w:abstractNumId="50">
    <w:nsid w:val="23F9C13C"/>
    <w:multiLevelType w:val="hybridMultilevel"/>
    <w:lvl w:ilvl="0">
      <w:lvlJc w:val="left"/>
      <w:lvlText w:val="%1."/>
      <w:numFmt w:val="lowerLetter"/>
      <w:start w:val="5"/>
    </w:lvl>
  </w:abstractNum>
  <w:abstractNum w:abstractNumId="51">
    <w:nsid w:val="649BB77C"/>
    <w:multiLevelType w:val="hybridMultilevel"/>
    <w:lvl w:ilvl="0">
      <w:lvlJc w:val="left"/>
      <w:lvlText w:val="%1."/>
      <w:numFmt w:val="lowerLetter"/>
      <w:start w:val="7"/>
    </w:lvl>
  </w:abstractNum>
  <w:abstractNum w:abstractNumId="52">
    <w:nsid w:val="275AC794"/>
    <w:multiLevelType w:val="hybridMultilevel"/>
    <w:lvl w:ilvl="0">
      <w:lvlJc w:val="left"/>
      <w:lvlText w:val="%1."/>
      <w:numFmt w:val="lowerRoman"/>
      <w:start w:val="1"/>
    </w:lvl>
  </w:abstractNum>
  <w:abstractNum w:abstractNumId="53">
    <w:nsid w:val="39386575"/>
    <w:multiLevelType w:val="hybridMultilevel"/>
    <w:lvl w:ilvl="0">
      <w:lvlJc w:val="left"/>
      <w:lvlText w:val="%1"/>
      <w:numFmt w:val="lowerLetter"/>
      <w:start w:val="1"/>
    </w:lvl>
    <w:lvl w:ilvl="1">
      <w:lvlJc w:val="left"/>
      <w:lvlText w:val="%2."/>
      <w:numFmt w:val="lowerLetter"/>
      <w:start w:val="1"/>
    </w:lvl>
  </w:abstractNum>
  <w:abstractNum w:abstractNumId="54">
    <w:nsid w:val="1CF10FD8"/>
    <w:multiLevelType w:val="hybridMultilevel"/>
    <w:lvl w:ilvl="0">
      <w:lvlJc w:val="left"/>
      <w:lvlText w:val="%1."/>
      <w:numFmt w:val="lowerLetter"/>
      <w:start w:val="2"/>
    </w:lvl>
    <w:lvl w:ilvl="1">
      <w:lvlJc w:val="left"/>
      <w:lvlText w:val="%2"/>
      <w:numFmt w:val="lowerLetter"/>
      <w:start w:val="1"/>
    </w:lvl>
  </w:abstractNum>
  <w:abstractNum w:abstractNumId="55">
    <w:nsid w:val="180115B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56">
    <w:nsid w:val="235BA861"/>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3"/>
    </w:lvl>
  </w:abstractNum>
  <w:abstractNum w:abstractNumId="57">
    <w:nsid w:val="47398C89"/>
    <w:multiLevelType w:val="hybridMultilevel"/>
    <w:lvl w:ilvl="0">
      <w:lvlJc w:val="left"/>
      <w:lvlText w:val="(%1)"/>
      <w:numFmt w:val="decimal"/>
      <w:start w:val="1"/>
    </w:lvl>
  </w:abstractNum>
  <w:abstractNum w:abstractNumId="58">
    <w:nsid w:val="354FE9F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85" Type="http://schemas.openxmlformats.org/officeDocument/2006/relationships/image" Target="media/image51.png"/><Relationship Id="rId86" Type="http://schemas.openxmlformats.org/officeDocument/2006/relationships/image" Target="media/image52.png"/><Relationship Id="rId87" Type="http://schemas.openxmlformats.org/officeDocument/2006/relationships/image" Target="media/image53.png"/><Relationship Id="rId88" Type="http://schemas.openxmlformats.org/officeDocument/2006/relationships/image" Target="media/image54.png"/><Relationship Id="rId89" Type="http://schemas.openxmlformats.org/officeDocument/2006/relationships/image" Target="media/image55.png"/><Relationship Id="rId90" Type="http://schemas.openxmlformats.org/officeDocument/2006/relationships/image" Target="media/image56.png"/><Relationship Id="rId91" Type="http://schemas.openxmlformats.org/officeDocument/2006/relationships/image" Target="media/image57.jpeg"/><Relationship Id="rId92" Type="http://schemas.openxmlformats.org/officeDocument/2006/relationships/image" Target="media/image58.png"/><Relationship Id="rId93" Type="http://schemas.openxmlformats.org/officeDocument/2006/relationships/image" Target="media/image59.png"/><Relationship Id="rId94" Type="http://schemas.openxmlformats.org/officeDocument/2006/relationships/image" Target="media/image60.png"/><Relationship Id="rId95" Type="http://schemas.openxmlformats.org/officeDocument/2006/relationships/image" Target="media/image61.png"/><Relationship Id="rId96" Type="http://schemas.openxmlformats.org/officeDocument/2006/relationships/image" Target="media/image62.png"/><Relationship Id="rId97" Type="http://schemas.openxmlformats.org/officeDocument/2006/relationships/image" Target="media/image63.png"/><Relationship Id="rId98" Type="http://schemas.openxmlformats.org/officeDocument/2006/relationships/image" Target="media/image64.png"/><Relationship Id="rId99" Type="http://schemas.openxmlformats.org/officeDocument/2006/relationships/image" Target="media/image65.png"/><Relationship Id="rId100" Type="http://schemas.openxmlformats.org/officeDocument/2006/relationships/image" Target="media/image66.png"/><Relationship Id="rId101" Type="http://schemas.openxmlformats.org/officeDocument/2006/relationships/image" Target="media/image67.png"/><Relationship Id="rId102" Type="http://schemas.openxmlformats.org/officeDocument/2006/relationships/image" Target="media/image68.png"/><Relationship Id="rId103" Type="http://schemas.openxmlformats.org/officeDocument/2006/relationships/image" Target="media/image69.png"/><Relationship Id="rId104" Type="http://schemas.openxmlformats.org/officeDocument/2006/relationships/image" Target="media/image70.png"/><Relationship Id="rId105" Type="http://schemas.openxmlformats.org/officeDocument/2006/relationships/image" Target="media/image71.png"/><Relationship Id="rId106" Type="http://schemas.openxmlformats.org/officeDocument/2006/relationships/image" Target="media/image72.png"/><Relationship Id="rId107" Type="http://schemas.openxmlformats.org/officeDocument/2006/relationships/image" Target="media/image73.png"/><Relationship Id="rId108" Type="http://schemas.openxmlformats.org/officeDocument/2006/relationships/image" Target="media/image74.png"/><Relationship Id="rId109" Type="http://schemas.openxmlformats.org/officeDocument/2006/relationships/image" Target="media/image75.png"/><Relationship Id="rId110" Type="http://schemas.openxmlformats.org/officeDocument/2006/relationships/image" Target="media/image76.png"/><Relationship Id="rId111" Type="http://schemas.openxmlformats.org/officeDocument/2006/relationships/image" Target="media/image77.png"/><Relationship Id="rId112" Type="http://schemas.openxmlformats.org/officeDocument/2006/relationships/image" Target="media/image78.png"/><Relationship Id="rId113" Type="http://schemas.openxmlformats.org/officeDocument/2006/relationships/image" Target="media/image79.png"/><Relationship Id="rId114" Type="http://schemas.openxmlformats.org/officeDocument/2006/relationships/image" Target="media/image80.png"/><Relationship Id="rId115" Type="http://schemas.openxmlformats.org/officeDocument/2006/relationships/image" Target="media/image81.png"/><Relationship Id="rId116" Type="http://schemas.openxmlformats.org/officeDocument/2006/relationships/image" Target="media/image82.png"/><Relationship Id="rId117" Type="http://schemas.openxmlformats.org/officeDocument/2006/relationships/image" Target="media/image83.png"/><Relationship Id="rId118" Type="http://schemas.openxmlformats.org/officeDocument/2006/relationships/image" Target="media/image84.png"/><Relationship Id="rId119" Type="http://schemas.openxmlformats.org/officeDocument/2006/relationships/image" Target="media/image85.png"/><Relationship Id="rId120" Type="http://schemas.openxmlformats.org/officeDocument/2006/relationships/image" Target="media/image86.png"/><Relationship Id="rId121" Type="http://schemas.openxmlformats.org/officeDocument/2006/relationships/image" Target="media/image87.png"/><Relationship Id="rId122" Type="http://schemas.openxmlformats.org/officeDocument/2006/relationships/image" Target="media/image88.png"/><Relationship Id="rId123" Type="http://schemas.openxmlformats.org/officeDocument/2006/relationships/image" Target="media/image89.png"/><Relationship Id="rId124" Type="http://schemas.openxmlformats.org/officeDocument/2006/relationships/image" Target="media/image90.png"/><Relationship Id="rId125" Type="http://schemas.openxmlformats.org/officeDocument/2006/relationships/image" Target="media/image91.png"/><Relationship Id="rId126" Type="http://schemas.openxmlformats.org/officeDocument/2006/relationships/image" Target="media/image92.png"/><Relationship Id="rId127" Type="http://schemas.openxmlformats.org/officeDocument/2006/relationships/image" Target="media/image93.png"/><Relationship Id="rId128" Type="http://schemas.openxmlformats.org/officeDocument/2006/relationships/image" Target="media/image94.png"/><Relationship Id="rId129" Type="http://schemas.openxmlformats.org/officeDocument/2006/relationships/image" Target="media/image95.png"/><Relationship Id="rId130" Type="http://schemas.openxmlformats.org/officeDocument/2006/relationships/image" Target="media/image96.png"/><Relationship Id="rId131" Type="http://schemas.openxmlformats.org/officeDocument/2006/relationships/image" Target="media/image97.png"/><Relationship Id="rId132" Type="http://schemas.openxmlformats.org/officeDocument/2006/relationships/image" Target="media/image98.png"/><Relationship Id="rId133" Type="http://schemas.openxmlformats.org/officeDocument/2006/relationships/image" Target="media/image99.png"/><Relationship Id="rId134" Type="http://schemas.openxmlformats.org/officeDocument/2006/relationships/image" Target="media/image100.png"/><Relationship Id="rId135" Type="http://schemas.openxmlformats.org/officeDocument/2006/relationships/image" Target="media/image101.png"/><Relationship Id="rId136" Type="http://schemas.openxmlformats.org/officeDocument/2006/relationships/image" Target="media/image102.png"/><Relationship Id="rId137" Type="http://schemas.openxmlformats.org/officeDocument/2006/relationships/image" Target="media/image103.png"/><Relationship Id="rId138" Type="http://schemas.openxmlformats.org/officeDocument/2006/relationships/image" Target="media/image104.png"/><Relationship Id="rId139" Type="http://schemas.openxmlformats.org/officeDocument/2006/relationships/image" Target="media/image105.png"/><Relationship Id="rId58" Type="http://schemas.openxmlformats.org/officeDocument/2006/relationships/hyperlink" Target="https://www.sec.gov/Archives/edgar/data/1684693/000114420418003151/tv482396_ex3-1.htm" TargetMode="External"/><Relationship Id="rId59" Type="http://schemas.openxmlformats.org/officeDocument/2006/relationships/hyperlink" Target="https://www.sec.gov/Archives/edgar/data/1684693/000117891318002424/exhibit_99-1.htm" TargetMode="External"/><Relationship Id="rId60" Type="http://schemas.openxmlformats.org/officeDocument/2006/relationships/hyperlink" Target="https://www.sec.gov/Archives/edgar/data/1684693/000157104917007981/t1702540_ex4-1.htm" TargetMode="External"/><Relationship Id="rId61" Type="http://schemas.openxmlformats.org/officeDocument/2006/relationships/hyperlink" Target="https://www.sec.gov/Archives/edgar/data/1684693/000117891320000911/exhibit_2-2.htm" TargetMode="External"/><Relationship Id="rId62" Type="http://schemas.openxmlformats.org/officeDocument/2006/relationships/hyperlink" Target="https://www.sec.gov/Archives/edgar/data/1684693/000157104917007981/t1702540_ex10-5.htm" TargetMode="External"/><Relationship Id="rId63" Type="http://schemas.openxmlformats.org/officeDocument/2006/relationships/hyperlink" Target="https://www.sec.gov/Archives/edgar/data/1684693/000117891320000911/exhibit_4-4.htm" TargetMode="External"/><Relationship Id="rId64" Type="http://schemas.openxmlformats.org/officeDocument/2006/relationships/hyperlink" Target="https://www.sec.gov/Archives/edgar/data/1684693/000117891322001373/exhibit_4-3.htm" TargetMode="External"/><Relationship Id="rId65" Type="http://schemas.openxmlformats.org/officeDocument/2006/relationships/hyperlink" Target="https://www.sec.gov/Archives/edgar/data/1684693/000114420418005995/tv484898_ex99-2.htm" TargetMode="External"/><Relationship Id="rId66" Type="http://schemas.openxmlformats.org/officeDocument/2006/relationships/hyperlink" Target="https://www.sec.gov/Archives/edgar/data/1684693/000157104917007701/t1702381_ex10-7.htm" TargetMode="External"/><Relationship Id="rId67" Type="http://schemas.openxmlformats.org/officeDocument/2006/relationships/hyperlink" Target="https://www.sec.gov/Archives/edgar/data/1684693/000157104917007701/t1702381_ex10-8.htm" TargetMode="External"/><Relationship Id="rId68" Type="http://schemas.openxmlformats.org/officeDocument/2006/relationships/hyperlink" Target="https://www.sec.gov/Archives/edgar/data/1684693/000157104917007701/t1702381_ex10-9.htm" TargetMode="External"/><Relationship Id="rId69" Type="http://schemas.openxmlformats.org/officeDocument/2006/relationships/hyperlink" Target="https://www.sec.gov/Archives/edgar/data/1684693/000157104917007701/t1702381_ex10-10.htm" TargetMode="External"/><Relationship Id="rId70" Type="http://schemas.openxmlformats.org/officeDocument/2006/relationships/hyperlink" Target="https://www.sec.gov/Archives/edgar/data/1684693/000157104917007701/t1702381_ex10-11.htm" TargetMode="External"/><Relationship Id="rId71" Type="http://schemas.openxmlformats.org/officeDocument/2006/relationships/hyperlink" Target="https://www.sec.gov/Archives/edgar/data/1684693/000117891319000896/exhibit_4-12.htm" TargetMode="External"/><Relationship Id="rId72" Type="http://schemas.openxmlformats.org/officeDocument/2006/relationships/hyperlink" Target="https://www.sec.gov/Archives/edgar/data/1684693/000117891319000896/exhibit_4-13.htm" TargetMode="External"/><Relationship Id="rId73" Type="http://schemas.openxmlformats.org/officeDocument/2006/relationships/hyperlink" Target="https://www.sec.gov/Archives/edgar/data/1684693/000117891319000896/exhibit_4-14.htm" TargetMode="External"/><Relationship Id="rId74" Type="http://schemas.openxmlformats.org/officeDocument/2006/relationships/hyperlink" Target="https://www.sec.gov/Archives/edgar/data/1684693/000117891320000911/exhibit_4-15.htm" TargetMode="External"/><Relationship Id="rId75" Type="http://schemas.openxmlformats.org/officeDocument/2006/relationships/hyperlink" Target="https://www.sec.gov/Archives/edgar/data/1684693/000157104917007701/t1702381_ex10-12.htm" TargetMode="External"/><Relationship Id="rId76" Type="http://schemas.openxmlformats.org/officeDocument/2006/relationships/hyperlink" Target="https://www.sec.gov/Archives/edgar/data/1684693/000157104917007701/t1702381_ex10-13.htm" TargetMode="External"/><Relationship Id="rId77" Type="http://schemas.openxmlformats.org/officeDocument/2006/relationships/hyperlink" Target="https://www.sec.gov/Archives/edgar/data/1684693/000157104917007701/t1702381_ex10-14.htm" TargetMode="External"/><Relationship Id="rId78" Type="http://schemas.openxmlformats.org/officeDocument/2006/relationships/hyperlink" Target="https://www.sec.gov/Archives/edgar/data/1684693/000157104917007701/t1702381_ex10-15.htm" TargetMode="External"/><Relationship Id="rId79" Type="http://schemas.openxmlformats.org/officeDocument/2006/relationships/hyperlink" Target="https://www.sec.gov/Archives/edgar/data/1684693/000114420418004431/tv483839_ex10-16.htm" TargetMode="External"/><Relationship Id="rId80" Type="http://schemas.openxmlformats.org/officeDocument/2006/relationships/hyperlink" Target="https://www.sec.gov/Archives/edgar/data/1684693/000117891322001373/exhibit_4-19.htm" TargetMode="External"/><Relationship Id="rId81" Type="http://schemas.openxmlformats.org/officeDocument/2006/relationships/hyperlink" Target="https://www.sec.gov/Archives/edgar/data/1684693/000117891322001373/exhibit_4-20.htm" TargetMode="External"/><Relationship Id="rId82" Type="http://schemas.openxmlformats.org/officeDocument/2006/relationships/hyperlink" Target="https://www.sec.gov/Archives/edgar/data/1684693/000117891322001373/exhibit_4-21.htm" TargetMode="External"/><Relationship Id="rId83" Type="http://schemas.openxmlformats.org/officeDocument/2006/relationships/hyperlink" Target="https://www.sec.gov/Archives/edgar/data/1684693/000117891322001373/exhibit_4-22.htm" TargetMode="External"/><Relationship Id="rId84" Type="http://schemas.openxmlformats.org/officeDocument/2006/relationships/hyperlink" Target="https://www.sec.gov/Archives/edgar/data/1684693/000117891322001373/exhibit_4-2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2022-04-07T15:09:44Z</dcterms:created>
  <dcterms:modified xsi:type="dcterms:W3CDTF">2022-04-07T15:09:44Z</dcterms:modified>
</cp:coreProperties>
</file>