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79"/>
        <w:spacing w:after="0"/>
        <w:rPr>
          <w:sz w:val="20"/>
          <w:szCs w:val="20"/>
          <w:color w:val="auto"/>
        </w:rPr>
      </w:pPr>
      <w:r>
        <w:rPr>
          <w:rFonts w:ascii="Times New Roman" w:cs="Times New Roman" w:eastAsia="Times New Roman" w:hAnsi="Times New Roman"/>
          <w:sz w:val="25"/>
          <w:szCs w:val="25"/>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47" w:lineRule="exact"/>
        <w:rPr>
          <w:sz w:val="24"/>
          <w:szCs w:val="24"/>
          <w:color w:val="auto"/>
        </w:rPr>
      </w:pPr>
    </w:p>
    <w:p>
      <w:pPr>
        <w:jc w:val="center"/>
        <w:ind w:right="-379"/>
        <w:spacing w:after="0"/>
        <w:rPr>
          <w:sz w:val="20"/>
          <w:szCs w:val="20"/>
          <w:color w:val="auto"/>
        </w:rPr>
      </w:pPr>
      <w:r>
        <w:rPr>
          <w:rFonts w:ascii="Times New Roman" w:cs="Times New Roman" w:eastAsia="Times New Roman" w:hAnsi="Times New Roman"/>
          <w:sz w:val="25"/>
          <w:szCs w:val="25"/>
          <w:b w:val="1"/>
          <w:bCs w:val="1"/>
          <w:color w:val="auto"/>
        </w:rPr>
        <w:t>SECURITIES AND EXCHANGE COMMISSION</w:t>
      </w:r>
    </w:p>
    <w:p>
      <w:pPr>
        <w:spacing w:after="0" w:line="23" w:lineRule="exact"/>
        <w:rPr>
          <w:sz w:val="24"/>
          <w:szCs w:val="24"/>
          <w:color w:val="auto"/>
        </w:rPr>
      </w:pPr>
    </w:p>
    <w:p>
      <w:pPr>
        <w:jc w:val="center"/>
        <w:ind w:right="-37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77" w:lineRule="exact"/>
        <w:rPr>
          <w:sz w:val="24"/>
          <w:szCs w:val="24"/>
          <w:color w:val="auto"/>
        </w:rPr>
      </w:pPr>
    </w:p>
    <w:p>
      <w:pPr>
        <w:jc w:val="center"/>
        <w:ind w:right="-379"/>
        <w:spacing w:after="0"/>
        <w:rPr>
          <w:sz w:val="20"/>
          <w:szCs w:val="20"/>
          <w:color w:val="auto"/>
        </w:rPr>
      </w:pPr>
      <w:r>
        <w:rPr>
          <w:rFonts w:ascii="Times New Roman" w:cs="Times New Roman" w:eastAsia="Times New Roman" w:hAnsi="Times New Roman"/>
          <w:sz w:val="25"/>
          <w:szCs w:val="25"/>
          <w:b w:val="1"/>
          <w:bCs w:val="1"/>
          <w:color w:val="auto"/>
        </w:rPr>
        <w:t>FORM 6-K</w:t>
      </w:r>
    </w:p>
    <w:p>
      <w:pPr>
        <w:spacing w:after="0" w:line="291" w:lineRule="exact"/>
        <w:rPr>
          <w:sz w:val="24"/>
          <w:szCs w:val="24"/>
          <w:color w:val="auto"/>
        </w:rPr>
      </w:pPr>
    </w:p>
    <w:p>
      <w:pPr>
        <w:jc w:val="center"/>
        <w:ind w:right="-379"/>
        <w:spacing w:after="0"/>
        <w:rPr>
          <w:sz w:val="20"/>
          <w:szCs w:val="20"/>
          <w:color w:val="auto"/>
        </w:rPr>
      </w:pPr>
      <w:r>
        <w:rPr>
          <w:rFonts w:ascii="Times New Roman" w:cs="Times New Roman" w:eastAsia="Times New Roman" w:hAnsi="Times New Roman"/>
          <w:sz w:val="22"/>
          <w:szCs w:val="22"/>
          <w:b w:val="1"/>
          <w:bCs w:val="1"/>
          <w:color w:val="auto"/>
        </w:rPr>
        <w:t>Report of Foreign Private Issuer</w:t>
      </w:r>
    </w:p>
    <w:p>
      <w:pPr>
        <w:spacing w:after="0" w:line="33" w:lineRule="exact"/>
        <w:rPr>
          <w:sz w:val="24"/>
          <w:szCs w:val="24"/>
          <w:color w:val="auto"/>
        </w:rPr>
      </w:pPr>
    </w:p>
    <w:p>
      <w:pPr>
        <w:jc w:val="center"/>
        <w:ind w:right="-379"/>
        <w:spacing w:after="0"/>
        <w:rPr>
          <w:sz w:val="20"/>
          <w:szCs w:val="20"/>
          <w:color w:val="auto"/>
        </w:rPr>
      </w:pPr>
      <w:r>
        <w:rPr>
          <w:rFonts w:ascii="Times New Roman" w:cs="Times New Roman" w:eastAsia="Times New Roman" w:hAnsi="Times New Roman"/>
          <w:sz w:val="22"/>
          <w:szCs w:val="22"/>
          <w:b w:val="1"/>
          <w:bCs w:val="1"/>
          <w:color w:val="auto"/>
        </w:rPr>
        <w:t>Pursuant to Rule 13a-16 or 15d-16</w:t>
      </w:r>
    </w:p>
    <w:p>
      <w:pPr>
        <w:spacing w:after="0" w:line="17" w:lineRule="exact"/>
        <w:rPr>
          <w:sz w:val="24"/>
          <w:szCs w:val="24"/>
          <w:color w:val="auto"/>
        </w:rPr>
      </w:pPr>
    </w:p>
    <w:p>
      <w:pPr>
        <w:jc w:val="center"/>
        <w:ind w:right="-379"/>
        <w:spacing w:after="0"/>
        <w:rPr>
          <w:sz w:val="20"/>
          <w:szCs w:val="20"/>
          <w:color w:val="auto"/>
        </w:rPr>
      </w:pPr>
      <w:r>
        <w:rPr>
          <w:rFonts w:ascii="Times New Roman" w:cs="Times New Roman" w:eastAsia="Times New Roman" w:hAnsi="Times New Roman"/>
          <w:sz w:val="22"/>
          <w:szCs w:val="22"/>
          <w:b w:val="1"/>
          <w:bCs w:val="1"/>
          <w:color w:val="auto"/>
        </w:rPr>
        <w:t>Under the Securities Exchange Act of 1934</w:t>
      </w:r>
    </w:p>
    <w:p>
      <w:pPr>
        <w:spacing w:after="0" w:line="271" w:lineRule="exact"/>
        <w:rPr>
          <w:sz w:val="24"/>
          <w:szCs w:val="24"/>
          <w:color w:val="auto"/>
        </w:rPr>
      </w:pPr>
    </w:p>
    <w:p>
      <w:pPr>
        <w:jc w:val="center"/>
        <w:ind w:right="-379"/>
        <w:spacing w:after="0"/>
        <w:rPr>
          <w:sz w:val="20"/>
          <w:szCs w:val="20"/>
          <w:color w:val="auto"/>
        </w:rPr>
      </w:pPr>
      <w:r>
        <w:rPr>
          <w:rFonts w:ascii="Times New Roman" w:cs="Times New Roman" w:eastAsia="Times New Roman" w:hAnsi="Times New Roman"/>
          <w:sz w:val="22"/>
          <w:szCs w:val="22"/>
          <w:b w:val="1"/>
          <w:bCs w:val="1"/>
          <w:color w:val="auto"/>
        </w:rPr>
        <w:t>For the month of January 2023</w:t>
      </w:r>
    </w:p>
    <w:p>
      <w:pPr>
        <w:spacing w:after="0" w:line="287" w:lineRule="exact"/>
        <w:rPr>
          <w:sz w:val="24"/>
          <w:szCs w:val="24"/>
          <w:color w:val="auto"/>
        </w:rPr>
      </w:pPr>
    </w:p>
    <w:p>
      <w:pPr>
        <w:jc w:val="center"/>
        <w:ind w:right="-379"/>
        <w:spacing w:after="0"/>
        <w:rPr>
          <w:sz w:val="20"/>
          <w:szCs w:val="20"/>
          <w:color w:val="auto"/>
        </w:rPr>
      </w:pPr>
      <w:r>
        <w:rPr>
          <w:rFonts w:ascii="Times New Roman" w:cs="Times New Roman" w:eastAsia="Times New Roman" w:hAnsi="Times New Roman"/>
          <w:sz w:val="22"/>
          <w:szCs w:val="22"/>
          <w:b w:val="1"/>
          <w:bCs w:val="1"/>
          <w:color w:val="auto"/>
        </w:rPr>
        <w:t>Commission File Number 001-38367</w:t>
      </w:r>
    </w:p>
    <w:p>
      <w:pPr>
        <w:spacing w:after="0" w:line="280" w:lineRule="exact"/>
        <w:rPr>
          <w:sz w:val="24"/>
          <w:szCs w:val="24"/>
          <w:color w:val="auto"/>
        </w:rPr>
      </w:pPr>
    </w:p>
    <w:p>
      <w:pPr>
        <w:jc w:val="center"/>
        <w:ind w:right="-379"/>
        <w:spacing w:after="0"/>
        <w:rPr>
          <w:sz w:val="20"/>
          <w:szCs w:val="20"/>
          <w:color w:val="auto"/>
        </w:rPr>
      </w:pPr>
      <w:r>
        <w:rPr>
          <w:rFonts w:ascii="Times New Roman" w:cs="Times New Roman" w:eastAsia="Times New Roman" w:hAnsi="Times New Roman"/>
          <w:sz w:val="29"/>
          <w:szCs w:val="29"/>
          <w:b w:val="1"/>
          <w:bCs w:val="1"/>
          <w:color w:val="auto"/>
        </w:rPr>
        <w:t>SOL-GEL TECHNOLOGIES LTD.</w:t>
      </w:r>
    </w:p>
    <w:p>
      <w:pPr>
        <w:spacing w:after="0" w:line="49" w:lineRule="exact"/>
        <w:rPr>
          <w:sz w:val="24"/>
          <w:szCs w:val="24"/>
          <w:color w:val="auto"/>
        </w:rPr>
      </w:pPr>
    </w:p>
    <w:p>
      <w:pPr>
        <w:jc w:val="center"/>
        <w:ind w:right="-379"/>
        <w:spacing w:after="0"/>
        <w:rPr>
          <w:sz w:val="20"/>
          <w:szCs w:val="20"/>
          <w:color w:val="auto"/>
        </w:rPr>
      </w:pPr>
      <w:r>
        <w:rPr>
          <w:rFonts w:ascii="Times New Roman" w:cs="Times New Roman" w:eastAsia="Times New Roman" w:hAnsi="Times New Roman"/>
          <w:sz w:val="22"/>
          <w:szCs w:val="22"/>
          <w:color w:val="auto"/>
        </w:rPr>
        <w:t>(Translation of registrant’s name into English)</w:t>
      </w:r>
    </w:p>
    <w:p>
      <w:pPr>
        <w:spacing w:after="0" w:line="276" w:lineRule="exact"/>
        <w:rPr>
          <w:sz w:val="24"/>
          <w:szCs w:val="24"/>
          <w:color w:val="auto"/>
        </w:rPr>
      </w:pPr>
    </w:p>
    <w:p>
      <w:pPr>
        <w:jc w:val="center"/>
        <w:ind w:right="-379"/>
        <w:spacing w:after="0"/>
        <w:rPr>
          <w:sz w:val="20"/>
          <w:szCs w:val="20"/>
          <w:color w:val="auto"/>
        </w:rPr>
      </w:pPr>
      <w:r>
        <w:rPr>
          <w:rFonts w:ascii="Times New Roman" w:cs="Times New Roman" w:eastAsia="Times New Roman" w:hAnsi="Times New Roman"/>
          <w:sz w:val="22"/>
          <w:szCs w:val="22"/>
          <w:b w:val="1"/>
          <w:bCs w:val="1"/>
          <w:color w:val="auto"/>
        </w:rPr>
        <w:t>7 Golda Meir Street</w:t>
      </w:r>
    </w:p>
    <w:p>
      <w:pPr>
        <w:spacing w:after="0" w:line="33" w:lineRule="exact"/>
        <w:rPr>
          <w:sz w:val="24"/>
          <w:szCs w:val="24"/>
          <w:color w:val="auto"/>
        </w:rPr>
      </w:pPr>
    </w:p>
    <w:p>
      <w:pPr>
        <w:jc w:val="center"/>
        <w:ind w:right="-379"/>
        <w:spacing w:after="0"/>
        <w:rPr>
          <w:sz w:val="20"/>
          <w:szCs w:val="20"/>
          <w:color w:val="auto"/>
        </w:rPr>
      </w:pPr>
      <w:r>
        <w:rPr>
          <w:rFonts w:ascii="Times New Roman" w:cs="Times New Roman" w:eastAsia="Times New Roman" w:hAnsi="Times New Roman"/>
          <w:sz w:val="22"/>
          <w:szCs w:val="22"/>
          <w:b w:val="1"/>
          <w:bCs w:val="1"/>
          <w:color w:val="auto"/>
        </w:rPr>
        <w:t>Ness Ziona 7403650, Israel</w:t>
      </w:r>
    </w:p>
    <w:p>
      <w:pPr>
        <w:spacing w:after="0" w:line="17" w:lineRule="exact"/>
        <w:rPr>
          <w:sz w:val="24"/>
          <w:szCs w:val="24"/>
          <w:color w:val="auto"/>
        </w:rPr>
      </w:pPr>
    </w:p>
    <w:p>
      <w:pPr>
        <w:jc w:val="center"/>
        <w:ind w:right="-379"/>
        <w:spacing w:after="0"/>
        <w:rPr>
          <w:sz w:val="20"/>
          <w:szCs w:val="20"/>
          <w:color w:val="auto"/>
        </w:rPr>
      </w:pPr>
      <w:r>
        <w:rPr>
          <w:rFonts w:ascii="Times New Roman" w:cs="Times New Roman" w:eastAsia="Times New Roman" w:hAnsi="Times New Roman"/>
          <w:sz w:val="22"/>
          <w:szCs w:val="22"/>
          <w:color w:val="auto"/>
        </w:rPr>
        <w:t>(Address of principal executive offices)</w:t>
      </w:r>
    </w:p>
    <w:p>
      <w:pPr>
        <w:spacing w:after="0" w:line="275"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Indicate by check mark whether the registrant files or will file annual reports under cover Form 20-F or Form 40-F.</w:t>
      </w:r>
    </w:p>
    <w:p>
      <w:pPr>
        <w:spacing w:after="0" w:line="253" w:lineRule="exact"/>
        <w:rPr>
          <w:sz w:val="24"/>
          <w:szCs w:val="24"/>
          <w:color w:val="auto"/>
        </w:rPr>
      </w:pPr>
    </w:p>
    <w:p>
      <w:pPr>
        <w:jc w:val="center"/>
        <w:ind w:right="-399"/>
        <w:spacing w:after="0" w:line="253" w:lineRule="exact"/>
        <w:tabs>
          <w:tab w:leader="none" w:pos="560" w:val="left"/>
        </w:tabs>
        <w:rPr>
          <w:sz w:val="20"/>
          <w:szCs w:val="20"/>
          <w:color w:val="auto"/>
        </w:rPr>
      </w:pPr>
      <w:r>
        <w:rPr>
          <w:rFonts w:ascii="Times New Roman" w:cs="Times New Roman" w:eastAsia="Times New Roman" w:hAnsi="Times New Roman"/>
          <w:sz w:val="22"/>
          <w:szCs w:val="22"/>
          <w:color w:val="auto"/>
        </w:rPr>
        <w:t xml:space="preserve">Form 20-F </w:t>
      </w:r>
      <w:r>
        <w:rPr>
          <w:rFonts w:ascii="MS PGothic" w:cs="MS PGothic" w:eastAsia="MS PGothic" w:hAnsi="MS PGothic"/>
          <w:sz w:val="22"/>
          <w:szCs w:val="22"/>
          <w:color w:val="auto"/>
        </w:rPr>
        <w:t>☒</w:t>
      </w:r>
      <w:r>
        <w:rPr>
          <w:sz w:val="20"/>
          <w:szCs w:val="20"/>
          <w:color w:val="auto"/>
        </w:rPr>
        <w:tab/>
      </w:r>
      <w:r>
        <w:rPr>
          <w:rFonts w:ascii="Times New Roman" w:cs="Times New Roman" w:eastAsia="Times New Roman" w:hAnsi="Times New Roman"/>
          <w:sz w:val="21"/>
          <w:szCs w:val="21"/>
          <w:color w:val="auto"/>
        </w:rPr>
        <w:t xml:space="preserve">Form 40-F </w:t>
      </w:r>
      <w:r>
        <w:rPr>
          <w:rFonts w:ascii="MS PGothic" w:cs="MS PGothic" w:eastAsia="MS PGothic" w:hAnsi="MS PGothic"/>
          <w:sz w:val="21"/>
          <w:szCs w:val="21"/>
          <w:color w:val="auto"/>
        </w:rPr>
        <w:t>☐</w:t>
      </w:r>
    </w:p>
    <w:p>
      <w:pPr>
        <w:spacing w:after="0" w:line="321" w:lineRule="exact"/>
        <w:rPr>
          <w:sz w:val="24"/>
          <w:szCs w:val="24"/>
          <w:color w:val="auto"/>
        </w:rPr>
      </w:pPr>
    </w:p>
    <w:p>
      <w:pPr>
        <w:ind w:left="440"/>
        <w:spacing w:after="0"/>
        <w:rPr>
          <w:sz w:val="20"/>
          <w:szCs w:val="20"/>
          <w:color w:val="auto"/>
        </w:rPr>
      </w:pPr>
      <w:r>
        <w:rPr>
          <w:rFonts w:ascii="Times New Roman" w:cs="Times New Roman" w:eastAsia="Times New Roman" w:hAnsi="Times New Roman"/>
          <w:sz w:val="21"/>
          <w:szCs w:val="21"/>
          <w:color w:val="auto"/>
        </w:rPr>
        <w:t>Indicate by check mark if the registrant is submitting the Form 6-K in paper as permitted by Regulation S-T Rule 101(b)</w:t>
      </w:r>
    </w:p>
    <w:p>
      <w:pPr>
        <w:spacing w:after="0" w:line="41" w:lineRule="exact"/>
        <w:rPr>
          <w:sz w:val="24"/>
          <w:szCs w:val="24"/>
          <w:color w:val="auto"/>
        </w:rPr>
      </w:pPr>
    </w:p>
    <w:p>
      <w:pPr>
        <w:spacing w:after="0" w:line="253" w:lineRule="exact"/>
        <w:rPr>
          <w:sz w:val="20"/>
          <w:szCs w:val="20"/>
          <w:color w:val="auto"/>
        </w:rPr>
      </w:pPr>
      <w:r>
        <w:rPr>
          <w:rFonts w:ascii="Times New Roman" w:cs="Times New Roman" w:eastAsia="Times New Roman" w:hAnsi="Times New Roman"/>
          <w:sz w:val="22"/>
          <w:szCs w:val="22"/>
          <w:color w:val="auto"/>
        </w:rPr>
        <w:t xml:space="preserve">(1): </w:t>
      </w:r>
      <w:r>
        <w:rPr>
          <w:rFonts w:ascii="MS PGothic" w:cs="MS PGothic" w:eastAsia="MS PGothic" w:hAnsi="MS PGothic"/>
          <w:sz w:val="22"/>
          <w:szCs w:val="22"/>
          <w:color w:val="auto"/>
        </w:rPr>
        <w:t>☐</w:t>
      </w:r>
    </w:p>
    <w:p>
      <w:pPr>
        <w:spacing w:after="0" w:line="275" w:lineRule="exact"/>
        <w:rPr>
          <w:sz w:val="24"/>
          <w:szCs w:val="24"/>
          <w:color w:val="auto"/>
        </w:rPr>
      </w:pPr>
    </w:p>
    <w:p>
      <w:pPr>
        <w:ind w:left="440"/>
        <w:spacing w:after="0"/>
        <w:rPr>
          <w:sz w:val="20"/>
          <w:szCs w:val="20"/>
          <w:color w:val="auto"/>
        </w:rPr>
      </w:pPr>
      <w:r>
        <w:rPr>
          <w:rFonts w:ascii="Times New Roman" w:cs="Times New Roman" w:eastAsia="Times New Roman" w:hAnsi="Times New Roman"/>
          <w:sz w:val="21"/>
          <w:szCs w:val="21"/>
          <w:color w:val="auto"/>
        </w:rPr>
        <w:t>Indicate by check mark if the registrant is submitting the Form 6-K in paper as permitted by Regulation S-T Rule 101(b)</w:t>
      </w:r>
    </w:p>
    <w:p>
      <w:pPr>
        <w:spacing w:after="0" w:line="41" w:lineRule="exact"/>
        <w:rPr>
          <w:sz w:val="24"/>
          <w:szCs w:val="24"/>
          <w:color w:val="auto"/>
        </w:rPr>
      </w:pPr>
    </w:p>
    <w:p>
      <w:pPr>
        <w:spacing w:after="0" w:line="253" w:lineRule="exact"/>
        <w:rPr>
          <w:sz w:val="20"/>
          <w:szCs w:val="20"/>
          <w:color w:val="auto"/>
        </w:rPr>
      </w:pPr>
      <w:r>
        <w:rPr>
          <w:rFonts w:ascii="Times New Roman" w:cs="Times New Roman" w:eastAsia="Times New Roman" w:hAnsi="Times New Roman"/>
          <w:sz w:val="22"/>
          <w:szCs w:val="22"/>
          <w:color w:val="auto"/>
        </w:rPr>
        <w:t xml:space="preserve">(7): </w:t>
      </w:r>
      <w:r>
        <w:rPr>
          <w:rFonts w:ascii="MS PGothic" w:cs="MS PGothic" w:eastAsia="MS PGothic" w:hAnsi="MS PGothic"/>
          <w:sz w:val="22"/>
          <w:szCs w:val="22"/>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466090</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860"/>
          </w:cols>
          <w:pgMar w:left="320" w:top="1083" w:right="719" w:bottom="1440" w:gutter="0" w:footer="0" w:header="0"/>
        </w:sectPr>
      </w:pPr>
    </w:p>
    <w:bookmarkStart w:id="1" w:name="page2"/>
    <w:bookmarkEnd w:id="1"/>
    <w:p>
      <w:pPr>
        <w:jc w:val="center"/>
        <w:ind w:right="-99"/>
        <w:spacing w:after="0"/>
        <w:rPr>
          <w:sz w:val="20"/>
          <w:szCs w:val="20"/>
          <w:color w:val="auto"/>
        </w:rPr>
      </w:pPr>
      <w:r>
        <w:rPr>
          <w:rFonts w:ascii="Times New Roman" w:cs="Times New Roman" w:eastAsia="Times New Roman" w:hAnsi="Times New Roman"/>
          <w:sz w:val="22"/>
          <w:szCs w:val="22"/>
          <w:b w:val="1"/>
          <w:bCs w:val="1"/>
          <w:color w:val="auto"/>
        </w:rPr>
        <w:t>INFORMATION CONTAINED IN THIS REPORT ON FORM 6-K</w:t>
      </w:r>
    </w:p>
    <w:p>
      <w:pPr>
        <w:spacing w:after="0" w:line="287" w:lineRule="exact"/>
        <w:rPr>
          <w:sz w:val="20"/>
          <w:szCs w:val="20"/>
          <w:color w:val="auto"/>
        </w:rPr>
      </w:pPr>
    </w:p>
    <w:p>
      <w:pPr>
        <w:spacing w:after="0" w:line="238" w:lineRule="auto"/>
        <w:rPr>
          <w:sz w:val="20"/>
          <w:szCs w:val="20"/>
          <w:color w:val="auto"/>
        </w:rPr>
      </w:pPr>
      <w:r>
        <w:rPr>
          <w:rFonts w:ascii="Times New Roman" w:cs="Times New Roman" w:eastAsia="Times New Roman" w:hAnsi="Times New Roman"/>
          <w:sz w:val="22"/>
          <w:szCs w:val="22"/>
          <w:color w:val="auto"/>
        </w:rPr>
        <w:t>On April 19, 2022, Sol-Gel Technologies Ltd. (the “Company”) entered into an Open Market Sale Agreement</w:t>
      </w:r>
      <w:r>
        <w:rPr>
          <w:rFonts w:ascii="Times New Roman" w:cs="Times New Roman" w:eastAsia="Times New Roman" w:hAnsi="Times New Roman"/>
          <w:sz w:val="35"/>
          <w:szCs w:val="35"/>
          <w:color w:val="auto"/>
          <w:vertAlign w:val="superscript"/>
        </w:rPr>
        <w:t>SM</w:t>
      </w:r>
      <w:r>
        <w:rPr>
          <w:rFonts w:ascii="Times New Roman" w:cs="Times New Roman" w:eastAsia="Times New Roman" w:hAnsi="Times New Roman"/>
          <w:sz w:val="22"/>
          <w:szCs w:val="22"/>
          <w:color w:val="auto"/>
        </w:rPr>
        <w:t xml:space="preserve"> (the “Sale Agreement”) with Jefferies LLC with respect to an “at-the-market” offering program (the “ATM Program”), pursuant to which the Company could offer and sell ordinary shares, par value NIS 0.1 per share (the “Shares”), having aggregate gross sales proceeds of up to $23.0 million, from time to time, through Jefferies LLC as its sales agent. The Company filed a registration statement on Form F-3 (File No. 333-264190) with the Securities and Exchange Commission on April 7, 2022, that was declared effective on April 13, 2022; a prospectus supplement relating to the sale of the Shares under the ATM Program (the “ATM Prospectus”) was filed on April 19, 2022.</w:t>
      </w:r>
    </w:p>
    <w:p>
      <w:pPr>
        <w:spacing w:after="0" w:line="260" w:lineRule="exact"/>
        <w:rPr>
          <w:sz w:val="20"/>
          <w:szCs w:val="20"/>
          <w:color w:val="auto"/>
        </w:rPr>
      </w:pPr>
    </w:p>
    <w:p>
      <w:pPr>
        <w:ind w:right="80"/>
        <w:spacing w:after="0" w:line="284" w:lineRule="auto"/>
        <w:rPr>
          <w:sz w:val="20"/>
          <w:szCs w:val="20"/>
          <w:color w:val="auto"/>
        </w:rPr>
      </w:pPr>
      <w:r>
        <w:rPr>
          <w:rFonts w:ascii="Times New Roman" w:cs="Times New Roman" w:eastAsia="Times New Roman" w:hAnsi="Times New Roman"/>
          <w:sz w:val="22"/>
          <w:szCs w:val="22"/>
          <w:color w:val="auto"/>
        </w:rPr>
        <w:t>On January 23, 2023, the Company terminated the Sale Agreement, effective on the same date. The Company has not offered or sold any Shares, and will not do so, in connection with the ATM Program and the ATM Prospectus.</w:t>
      </w:r>
    </w:p>
    <w:p>
      <w:pPr>
        <w:spacing w:after="0" w:line="211" w:lineRule="exact"/>
        <w:rPr>
          <w:sz w:val="20"/>
          <w:szCs w:val="20"/>
          <w:color w:val="auto"/>
        </w:rPr>
      </w:pPr>
    </w:p>
    <w:p>
      <w:pPr>
        <w:ind w:right="280"/>
        <w:spacing w:after="0" w:line="284" w:lineRule="auto"/>
        <w:rPr>
          <w:sz w:val="20"/>
          <w:szCs w:val="20"/>
          <w:color w:val="auto"/>
        </w:rPr>
      </w:pPr>
      <w:r>
        <w:rPr>
          <w:rFonts w:ascii="Times New Roman" w:cs="Times New Roman" w:eastAsia="Times New Roman" w:hAnsi="Times New Roman"/>
          <w:sz w:val="22"/>
          <w:szCs w:val="22"/>
          <w:color w:val="auto"/>
        </w:rPr>
        <w:t>A copy of the Sale Agreement was filed as Exhibit 1.1 to the Company’s Report on Form 6-K filed with the SEC on April 19, 2022.</w:t>
      </w:r>
    </w:p>
    <w:p>
      <w:pPr>
        <w:spacing w:after="0" w:line="211" w:lineRule="exact"/>
        <w:rPr>
          <w:sz w:val="20"/>
          <w:szCs w:val="20"/>
          <w:color w:val="auto"/>
        </w:rPr>
      </w:pPr>
    </w:p>
    <w:p>
      <w:pPr>
        <w:ind w:right="940"/>
        <w:spacing w:after="0" w:line="284" w:lineRule="auto"/>
        <w:rPr>
          <w:sz w:val="20"/>
          <w:szCs w:val="20"/>
          <w:color w:val="auto"/>
        </w:rPr>
      </w:pPr>
      <w:r>
        <w:rPr>
          <w:rFonts w:ascii="Times New Roman" w:cs="Times New Roman" w:eastAsia="Times New Roman" w:hAnsi="Times New Roman"/>
          <w:sz w:val="22"/>
          <w:szCs w:val="22"/>
          <w:color w:val="auto"/>
        </w:rPr>
        <w:t>This Report on Form 6-K is hereby incorporated by reference into the Company's Registration Statement on Form F-3 (Registration No. 333-264190).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426085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20" w:top="392" w:right="419" w:bottom="1440" w:gutter="0" w:footer="0" w:header="0"/>
        </w:sectPr>
      </w:pPr>
    </w:p>
    <w:bookmarkStart w:id="2" w:name="page3"/>
    <w:bookmarkEnd w:id="2"/>
    <w:p>
      <w:pPr>
        <w:jc w:val="center"/>
        <w:ind w:right="-99"/>
        <w:spacing w:after="0"/>
        <w:rPr>
          <w:sz w:val="20"/>
          <w:szCs w:val="20"/>
          <w:color w:val="auto"/>
        </w:rPr>
      </w:pPr>
      <w:r>
        <w:rPr>
          <w:rFonts w:ascii="Times New Roman" w:cs="Times New Roman" w:eastAsia="Times New Roman" w:hAnsi="Times New Roman"/>
          <w:sz w:val="22"/>
          <w:szCs w:val="22"/>
          <w:b w:val="1"/>
          <w:bCs w:val="1"/>
          <w:color w:val="auto"/>
        </w:rPr>
        <w:t>SIGNATURES</w:t>
      </w:r>
    </w:p>
    <w:p>
      <w:pPr>
        <w:spacing w:after="0" w:line="291" w:lineRule="exact"/>
        <w:rPr>
          <w:sz w:val="20"/>
          <w:szCs w:val="20"/>
          <w:color w:val="auto"/>
        </w:rPr>
      </w:pPr>
    </w:p>
    <w:p>
      <w:pPr>
        <w:ind w:firstLine="441"/>
        <w:spacing w:after="0" w:line="284" w:lineRule="auto"/>
        <w:rPr>
          <w:sz w:val="20"/>
          <w:szCs w:val="20"/>
          <w:color w:val="auto"/>
        </w:rPr>
      </w:pPr>
      <w:r>
        <w:rPr>
          <w:rFonts w:ascii="Times New Roman" w:cs="Times New Roman" w:eastAsia="Times New Roman" w:hAnsi="Times New Roman"/>
          <w:sz w:val="22"/>
          <w:szCs w:val="22"/>
          <w:color w:val="auto"/>
        </w:rPr>
        <w:t>Pursuant to the requirements of the Securities Exchange Act of 1934, the Registrant has duly caused this report to be signed on its behalf by the undersigned, thereunto duly authorized.</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256" w:lineRule="exact"/>
        <w:rPr>
          <w:sz w:val="20"/>
          <w:szCs w:val="20"/>
          <w:color w:val="auto"/>
        </w:rPr>
      </w:pPr>
    </w:p>
    <w:p>
      <w:pPr>
        <w:spacing w:after="0"/>
        <w:tabs>
          <w:tab w:leader="none" w:pos="5620" w:val="left"/>
        </w:tabs>
        <w:rPr>
          <w:sz w:val="20"/>
          <w:szCs w:val="20"/>
          <w:color w:val="auto"/>
        </w:rPr>
      </w:pPr>
      <w:r>
        <w:rPr>
          <w:rFonts w:ascii="Times New Roman" w:cs="Times New Roman" w:eastAsia="Times New Roman" w:hAnsi="Times New Roman"/>
          <w:sz w:val="18"/>
          <w:szCs w:val="18"/>
          <w:color w:val="auto"/>
        </w:rPr>
        <w:t>Date: January 27, 2023</w:t>
      </w:r>
      <w:r>
        <w:rPr>
          <w:sz w:val="20"/>
          <w:szCs w:val="20"/>
          <w:color w:val="auto"/>
        </w:rPr>
        <w:tab/>
      </w:r>
      <w:r>
        <w:rPr>
          <w:rFonts w:ascii="Times New Roman" w:cs="Times New Roman" w:eastAsia="Times New Roman" w:hAnsi="Times New Roman"/>
          <w:sz w:val="18"/>
          <w:szCs w:val="18"/>
          <w:color w:val="auto"/>
        </w:rPr>
        <w:t>By: /s/ Gilad Mamlok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3794125</wp:posOffset>
            </wp:positionH>
            <wp:positionV relativeFrom="paragraph">
              <wp:posOffset>26035</wp:posOffset>
            </wp:positionV>
            <wp:extent cx="106299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62990" cy="17145"/>
                    </a:xfrm>
                    <a:prstGeom prst="rect">
                      <a:avLst/>
                    </a:prstGeom>
                    <a:noFill/>
                  </pic:spPr>
                </pic:pic>
              </a:graphicData>
            </a:graphic>
          </wp:anchor>
        </w:drawing>
      </w:r>
    </w:p>
    <w:p>
      <w:pPr>
        <w:spacing w:after="0" w:line="30" w:lineRule="exact"/>
        <w:rPr>
          <w:sz w:val="20"/>
          <w:szCs w:val="20"/>
          <w:color w:val="auto"/>
        </w:rPr>
      </w:pPr>
    </w:p>
    <w:p>
      <w:pPr>
        <w:ind w:left="5980"/>
        <w:spacing w:after="0"/>
        <w:rPr>
          <w:sz w:val="20"/>
          <w:szCs w:val="20"/>
          <w:color w:val="auto"/>
        </w:rPr>
      </w:pPr>
      <w:r>
        <w:rPr>
          <w:rFonts w:ascii="Times New Roman" w:cs="Times New Roman" w:eastAsia="Times New Roman" w:hAnsi="Times New Roman"/>
          <w:sz w:val="18"/>
          <w:szCs w:val="18"/>
          <w:color w:val="auto"/>
        </w:rPr>
        <w:t>Gilad Mamlok</w:t>
      </w:r>
    </w:p>
    <w:p>
      <w:pPr>
        <w:spacing w:after="0" w:line="27" w:lineRule="exact"/>
        <w:rPr>
          <w:sz w:val="20"/>
          <w:szCs w:val="20"/>
          <w:color w:val="auto"/>
        </w:rPr>
      </w:pPr>
    </w:p>
    <w:p>
      <w:pPr>
        <w:ind w:left="5980"/>
        <w:spacing w:after="0"/>
        <w:rPr>
          <w:sz w:val="20"/>
          <w:szCs w:val="20"/>
          <w:color w:val="auto"/>
        </w:rPr>
      </w:pPr>
      <w:r>
        <w:rPr>
          <w:rFonts w:ascii="Times New Roman" w:cs="Times New Roman" w:eastAsia="Times New Roman" w:hAnsi="Times New Roman"/>
          <w:sz w:val="18"/>
          <w:szCs w:val="18"/>
          <w:color w:val="auto"/>
        </w:rPr>
        <w:t>Chief Financial</w:t>
      </w:r>
    </w:p>
    <w:p>
      <w:pPr>
        <w:spacing w:after="0" w:line="23" w:lineRule="exact"/>
        <w:rPr>
          <w:sz w:val="20"/>
          <w:szCs w:val="20"/>
          <w:color w:val="auto"/>
        </w:rPr>
      </w:pPr>
    </w:p>
    <w:p>
      <w:pPr>
        <w:ind w:left="5980"/>
        <w:spacing w:after="0"/>
        <w:rPr>
          <w:sz w:val="20"/>
          <w:szCs w:val="20"/>
          <w:color w:val="auto"/>
        </w:rPr>
      </w:pPr>
      <w:r>
        <w:rPr>
          <w:rFonts w:ascii="Times New Roman" w:cs="Times New Roman" w:eastAsia="Times New Roman" w:hAnsi="Times New Roman"/>
          <w:sz w:val="18"/>
          <w:szCs w:val="18"/>
          <w:color w:val="auto"/>
        </w:rPr>
        <w:t>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348615</wp:posOffset>
            </wp:positionV>
            <wp:extent cx="713232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sectPr>
      <w:pgSz w:w="11900" w:h="16838" w:orient="portrait"/>
      <w:cols w:equalWidth="0" w:num="1">
        <w:col w:w="11140"/>
      </w:cols>
      <w:pgMar w:left="320" w:top="392"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2023-01-27T06:16:50Z</dcterms:created>
  <dcterms:modified xsi:type="dcterms:W3CDTF">2023-01-27T06:16:50Z</dcterms:modified>
</cp:coreProperties>
</file>